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QUADRIL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quadril"/>
          <w:tag w:val="Lado_quadril"/>
          <w:id w:val="90049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110"/>
        <w:textAlignment w:val="baseline"/>
      </w:pPr>
      <w:r>
        <w:rPr>
          <w:caps/>
          <w:color w:val="595959"/>
          <w:spacing w:val="40"/>
          <w:sz w:val="17"/>
          <w:szCs w:val="17"/>
        </w:rPr>
        <w:t xml:space="preserve">MODELO DETALHADO (por face)</w:t>
      </w:r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keepNext/>
        <w:keepLines/>
        <w:spacing w:before="90" w:after="50"/>
        <w:textAlignment w:val="baseline"/>
      </w:pPr>
      <w:r>
        <w:rPr>
          <w:b/>
          <w:bCs/>
          <w:color w:val="3F7A5E"/>
          <w:spacing w:val="30"/>
          <w:sz w:val="19"/>
          <w:szCs w:val="19"/>
        </w:rPr>
        <w:t xml:space="preserve">1. FACE ANTERIOR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a)</w:t>
      </w:r>
      <w:r>
        <w:tab/>
      </w:r>
      <w:r>
        <w:rPr>
          <w:color w:val="1A1A1A"/>
          <w:sz w:val="22"/>
          <w:szCs w:val="22"/>
        </w:rPr>
        <w:t xml:space="preserve">Articulação coxofemoral sem sinais de coleção líquida intra ou extra-articular.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b)</w:t>
      </w:r>
      <w:r>
        <w:tab/>
      </w:r>
      <w:r>
        <w:rPr>
          <w:color w:val="1A1A1A"/>
          <w:sz w:val="22"/>
          <w:szCs w:val="22"/>
        </w:rPr>
        <w:t xml:space="preserve">Tendões dos músculos adutores da coxa, inseridos no púbis, apresentam ecotextura preservada.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c)</w:t>
      </w:r>
      <w:r>
        <w:tab/>
      </w:r>
      <w:r>
        <w:rPr>
          <w:color w:val="1A1A1A"/>
          <w:sz w:val="22"/>
          <w:szCs w:val="22"/>
        </w:rPr>
        <w:t xml:space="preserve">Tendão do músculo iliopsoas, inserido no trocanter menor, apresentando ecogenicidade habitual.</w:t>
      </w:r>
    </w:p>
    <w:p>
      <w:pPr>
        <w:pStyle w:val="Standard"/>
        <w:keepNext/>
        <w:keepLines/>
        <w:spacing w:before="90" w:after="50"/>
        <w:textAlignment w:val="baseline"/>
      </w:pPr>
      <w:r>
        <w:rPr>
          <w:b/>
          <w:bCs/>
          <w:color w:val="3F7A5E"/>
          <w:spacing w:val="30"/>
          <w:sz w:val="19"/>
          <w:szCs w:val="19"/>
        </w:rPr>
        <w:t xml:space="preserve">2. FACE LATERAL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d)</w:t>
      </w:r>
      <w:r>
        <w:tab/>
      </w:r>
      <w:r>
        <w:rPr>
          <w:color w:val="1A1A1A"/>
          <w:sz w:val="22"/>
          <w:szCs w:val="22"/>
        </w:rPr>
        <w:t xml:space="preserve">Bursa trocantérica apresentando espessura normal, sem evidência de coleções líquidas.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e)</w:t>
      </w:r>
      <w:r>
        <w:tab/>
      </w:r>
      <w:r>
        <w:rPr>
          <w:color w:val="1A1A1A"/>
          <w:sz w:val="22"/>
          <w:szCs w:val="22"/>
        </w:rPr>
        <w:t xml:space="preserve">Superfícies ósseas adjacentes com contornos regulares.</w:t>
      </w:r>
    </w:p>
    <w:p>
      <w:pPr>
        <w:pStyle w:val="Standard"/>
        <w:keepNext/>
        <w:keepLines/>
        <w:spacing w:before="90" w:after="50"/>
        <w:textAlignment w:val="baseline"/>
      </w:pPr>
      <w:r>
        <w:rPr>
          <w:b/>
          <w:bCs/>
          <w:color w:val="3F7A5E"/>
          <w:spacing w:val="30"/>
          <w:sz w:val="19"/>
          <w:szCs w:val="19"/>
        </w:rPr>
        <w:t xml:space="preserve">3. FACE POSTERIOR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f)</w:t>
      </w:r>
      <w:r>
        <w:tab/>
      </w:r>
      <w:r>
        <w:rPr>
          <w:color w:val="1A1A1A"/>
          <w:sz w:val="22"/>
          <w:szCs w:val="22"/>
        </w:rPr>
        <w:t xml:space="preserve">Tendões dos músculos extensores da coxa (semitendinoso, semimembranoso e cabeça longa do bíceps femoral), inseridos na tuberosidade isquiática, apresentam ecotextura habitual.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g)</w:t>
      </w:r>
      <w:r>
        <w:tab/>
      </w:r>
      <w:r>
        <w:rPr>
          <w:color w:val="1A1A1A"/>
          <w:sz w:val="22"/>
          <w:szCs w:val="22"/>
        </w:rPr>
        <w:t xml:space="preserve">Bursa isquiática com espessura normal.</w:t>
      </w:r>
    </w:p>
    <w:p>
      <w:pPr>
        <w:pStyle w:val="Standard"/>
        <w:keepNext/>
        <w:keepLines/>
        <w:spacing w:before="90" w:after="50"/>
        <w:textAlignment w:val="baseline"/>
      </w:pPr>
      <w:r>
        <w:rPr>
          <w:b/>
          <w:bCs/>
          <w:color w:val="3F7A5E"/>
          <w:spacing w:val="30"/>
          <w:sz w:val="19"/>
          <w:szCs w:val="19"/>
        </w:rPr>
        <w:t xml:space="preserve">4. CONCLUSÃO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h)</w:t>
      </w:r>
      <w:r>
        <w:tab/>
      </w:r>
      <w:r>
        <w:rPr>
          <w:color w:val="1A1A1A"/>
          <w:sz w:val="22"/>
          <w:szCs w:val="22"/>
        </w:rPr>
        <w:t xml:space="preserve">Não observamos tumorações de partes moles ou coleções líquidas detectáveis ao método.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i)</w:t>
      </w:r>
      <w:r>
        <w:tab/>
      </w:r>
      <w:r>
        <w:rPr>
          <w:color w:val="1A1A1A"/>
          <w:sz w:val="22"/>
          <w:szCs w:val="22"/>
        </w:rPr>
        <w:t xml:space="preserve">Não observamos sinais ecográficos de roturas ou calcificações.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quadril_0"/>
          <w:tag w:val="Impressao_quadril_0"/>
          <w:id w:val="90050"/>
          <w:dropDownList>
            <w:listItem w:displayText="Estudo ecográfico sem alterações ao método." w:value="Estudo ecográfico sem alterações ao método."/>
            <w:listItem w:displayText="Bursite trocantérica." w:value="Bursite trocantérica."/>
            <w:listItem w:displayText="Tendinopatia glútea (síndrome da dor trocantérica lateral)." w:value="Tendinopatia glútea (síndrome da dor trocantérica lateral)."/>
            <w:listItem w:displayText="Rotura parcial do tendão do glúteo médio / mínimo." w:value="Rotura parcial do tendão do glúteo médio / mínimo."/>
            <w:listItem w:displayText="Derrame articular coxofemoral." w:value="Derrame articular coxofemoral."/>
            <w:listItem w:displayText="Bursite do iliopsoas." w:value="Bursite do iliopsoas."/>
            <w:listItem w:displayText="Tendinopatia dos adutores da coxa." w:value="Tendinopatia dos adutores da coxa."/>
            <w:listItem w:displayText="Tendinopatia proximal dos isquiotibiais." w:value="Tendinopatia proximal dos isquiotibiais."/>
            <w:listItem w:displayText="Ressalto externo / interno do quadril demonstrado ao estudo dinâmico." w:value="Ressalto externo / interno do quadril demonstrado ao estudo dinâmico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O QUADRIL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Face anterior — articulação coxofemoral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Derrame articular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Distensão líquida do recesso anterior da articulação coxofemoral, com distância colo-cápsula de ..... mm (assimetria superior a 2 mm em relação ao lado contralateral é considerada significativa).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Sinovite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Proliferação sinovial no recesso anterior, com hiperemia ao estudo Doppler, compatível com sinovite.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Artropatia degenerativa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Osteofitose marginal junto à transição cabeça-colo femoral, com irregularidade das superfícies ósseas.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Face anterior — adutores e iliopsoas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dos adutores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Tendões adutores espessados, com padrão fibrilar heterogêneo junto à inserção púbica, compatível com tendinopatia (pubalgia).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dos adutores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parcial das fibras do tendão do ....., medindo ..... mm, junto à inserção púbica.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do iliopsoas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do iliopsoas espessado e com padrão fibrilar heterogêneo junto à inserção no trocanter menor.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do iliopsoas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do iliopsoas com distensão líquida medindo ..... x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Ressalto interno (dinâmico)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Ao estudo dinâmico observa-se ressalto do tendão do iliopsoas sobre a eminência iliopectínea durante a extensão do quadril.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do reto femoral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direto / indireto do reto femoral espessado e heterogêneo junto à inserção na espinha ilíaca ântero-inferior.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Face lateral — bursa trocantérica e tendões glúteos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trocantérica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trocantérica com distensão líquida medindo ..... x ..... mm e espessamento sinovial, compatível com bursite.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glútea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do glúteo médio / mínimo espessado, com padrão fibrilar heterogêneo e áreas hipoecogênicas junto à inserção no trocanter maior, compatível com tendinopatia (síndrome da dor trocantérica lateral).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parcial glútea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hipo/anecoica com descontinuidade parcial das fibras do tendão do glúteo ....., medindo ..... mm junto à faceta ..... do trocanter maior.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 glútea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tendão do glúteo ....., com retração do coto em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Entesopatia trocantérica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Irregularidade cortical e entesófito junto à faceta ..... do trocanter maior.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Ressalto externo (dinâmico)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Ao estudo dinâmico observa-se ressalto do trato iliotibial sobre o trocanter maior durante a flexo-extensão do quadril.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Face posterior — isquiotibiais e bursa isquiática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proximal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conjunto dos isquiotibiais espessado e com padrão fibrilar heterogêneo junto à inserção na tuberosidade isquiática, compatível com tendinopatia.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/ avulsão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das fibras do tendão conjunto dos isquiotibiais junto à tuberosidade isquiática, com retração de ..... mm e coleção hemática adjacente.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isquiática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isquiática com distensão líquida medindo ..... x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Calcificação da entese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Focos hiperecogênicos com sombra acústica posterior junto à entese isquiática.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Conclusão — partes moles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Tumoração de partes moles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nodular ....., de contornos ....., medindo ..... x ..... x ..... mm, com vascularização ..... ao estudo Doppler — sugere-se complementação com ressonância magnética.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Coleção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líquida de conteúdo ....., medindo ..... x ..... mm, situada em ......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