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On</w:t>
      </w:r>
      <w:r>
        <w:t xml:space="preserve"> </w:t>
      </w:r>
      <w:hyperlink r:id="rId20">
        <w:r>
          <w:rPr>
            <w:rStyle w:val="Hyperlink"/>
          </w:rPr>
          <w:t xml:space="preserve">Sunday, 30th October 2005</w:t>
        </w:r>
      </w:hyperlink>
      <w:r>
        <w:t xml:space="preserve">, the Mountbatten building at the University of Southampton burnt to the ground. The Mathematics building is just south of this: however, the fire did not spread so it was untouched.</w:t>
      </w:r>
    </w:p>
    <w:p>
      <w:pPr>
        <w:pStyle w:val="BodyText"/>
      </w:pPr>
      <w:r>
        <w:t xml:space="preserve">The Mountbatten building contained a lab housing a range of hazardous materials. The polluted air column rapidly rose and spread.</w:t>
      </w:r>
    </w:p>
    <w:bookmarkStart w:id="36" w:name="assignment"/>
    <w:p>
      <w:pPr>
        <w:pStyle w:val="Heading2"/>
      </w:pPr>
      <w:r>
        <w:t xml:space="preserve">Assignment</w:t>
      </w:r>
    </w:p>
    <w:p>
      <w:pPr>
        <w:numPr>
          <w:ilvl w:val="0"/>
          <w:numId w:val="1001"/>
        </w:numPr>
        <w:pStyle w:val="Compact"/>
      </w:pPr>
      <w:r>
        <w:t xml:space="preserve">Choose a way of modelling the pollutant spread.</w:t>
      </w:r>
    </w:p>
    <w:p>
      <w:pPr>
        <w:numPr>
          <w:ilvl w:val="0"/>
          <w:numId w:val="1001"/>
        </w:numPr>
        <w:pStyle w:val="Compact"/>
      </w:pPr>
      <w:r>
        <w:t xml:space="preserve">Choose a method to numerically solve your model on an unstructured grid.</w:t>
      </w:r>
    </w:p>
    <w:p>
      <w:pPr>
        <w:numPr>
          <w:ilvl w:val="0"/>
          <w:numId w:val="1001"/>
        </w:numPr>
        <w:pStyle w:val="Compact"/>
      </w:pPr>
      <w:r>
        <w:t xml:space="preserve">Write a code to solve the model using the chosen method.</w:t>
      </w:r>
    </w:p>
    <w:p>
      <w:pPr>
        <w:numPr>
          <w:ilvl w:val="0"/>
          <w:numId w:val="1001"/>
        </w:numPr>
        <w:pStyle w:val="Compact"/>
      </w:pPr>
      <w:r>
        <w:t xml:space="preserve">Find how much of the pollutant passed over the University of Reading, using some of the provided grids.</w:t>
      </w:r>
    </w:p>
    <w:p>
      <w:pPr>
        <w:numPr>
          <w:ilvl w:val="0"/>
          <w:numId w:val="1001"/>
        </w:numPr>
        <w:pStyle w:val="Compact"/>
      </w:pPr>
      <w:r>
        <w:t xml:space="preserve">Write a report of no more than ten pages (not including references and appendices) explaining your results and their accuracy, both in terms of modelling and numerics.</w:t>
      </w:r>
    </w:p>
    <w:bookmarkStart w:id="27" w:name="grids"/>
    <w:p>
      <w:pPr>
        <w:pStyle w:val="Heading3"/>
      </w:pPr>
      <w:r>
        <w:t xml:space="preserve">Grids</w:t>
      </w:r>
    </w:p>
    <w:bookmarkStart w:id="23" w:name="grids-provided"/>
    <w:p>
      <w:pPr>
        <w:pStyle w:val="Heading4"/>
      </w:pPr>
      <w:r>
        <w:t xml:space="preserve">Grids provided</w:t>
      </w:r>
    </w:p>
    <w:p>
      <w:pPr>
        <w:pStyle w:val="FirstParagraph"/>
      </w:pPr>
      <w:r>
        <w:t xml:space="preserve">Two sets of unstructured grids are provided, using different reference lengthscales.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England, Scotland, Wales</w:t>
        </w:r>
      </w:hyperlink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Southern Local Authorities</w:t>
        </w:r>
      </w:hyperlink>
    </w:p>
    <w:p>
      <w:pPr>
        <w:pStyle w:val="FirstParagraph"/>
      </w:pPr>
      <w:r>
        <w:t xml:space="preserve">The expectation is that only one set of grids will be used. Different lengthscales can be used for grid convergence studies.</w:t>
      </w:r>
    </w:p>
    <w:bookmarkEnd w:id="23"/>
    <w:bookmarkStart w:id="25" w:name="conventions-and-locations"/>
    <w:p>
      <w:pPr>
        <w:pStyle w:val="Heading4"/>
      </w:pPr>
      <w:r>
        <w:t xml:space="preserve">Conventions and locations</w:t>
      </w:r>
    </w:p>
    <w:p>
      <w:pPr>
        <w:pStyle w:val="FirstParagraph"/>
      </w:pPr>
      <w:r>
        <w:t xml:space="preserve">The coordinates used are given in metres (the projected coordinate reference system is</w:t>
      </w:r>
      <w:r>
        <w:t xml:space="preserve"> </w:t>
      </w:r>
      <w:hyperlink r:id="rId24">
        <w:r>
          <w:rPr>
            <w:rStyle w:val="Hyperlink"/>
          </w:rPr>
          <w:t xml:space="preserve">EPSG:27700</w:t>
        </w:r>
      </w:hyperlink>
      <w:r>
        <w:t xml:space="preserve">). In this coordinate system relevant locations are</w:t>
      </w:r>
    </w:p>
    <w:p>
      <w:pPr>
        <w:numPr>
          <w:ilvl w:val="0"/>
          <w:numId w:val="1003"/>
        </w:numPr>
        <w:pStyle w:val="Compact"/>
      </w:pPr>
      <w:r>
        <w:t xml:space="preserve">University of Southampton, Mountbatten Building: (442365, 115483)</w:t>
      </w:r>
    </w:p>
    <w:p>
      <w:pPr>
        <w:numPr>
          <w:ilvl w:val="0"/>
          <w:numId w:val="1003"/>
        </w:numPr>
        <w:pStyle w:val="Compact"/>
      </w:pPr>
      <w:r>
        <w:t xml:space="preserve">University of Reading, Brian Hoskins Building: (473993, 171625)</w:t>
      </w:r>
    </w:p>
    <w:bookmarkEnd w:id="25"/>
    <w:bookmarkStart w:id="26" w:name="file-usage"/>
    <w:p>
      <w:pPr>
        <w:pStyle w:val="Heading4"/>
      </w:pPr>
      <w:r>
        <w:t xml:space="preserve">File usage</w:t>
      </w:r>
    </w:p>
    <w:p>
      <w:pPr>
        <w:pStyle w:val="FirstParagraph"/>
      </w:pPr>
      <w:r>
        <w:t xml:space="preserve">The grids are defined in terms of three files: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&lt;name&gt;_nodes_&lt;scale&gt;.txt</w:t>
      </w:r>
      <w:r>
        <w:t xml:space="preserve">: the location of the nodes of the grid;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&lt;name&gt;_IEN_&lt;scale&gt;.txt</w:t>
      </w:r>
      <w:r>
        <w:t xml:space="preserve">: the mapping from global element number to global node numbers;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&lt;name&gt;_bdry_&lt;scale&gt;.txt</w:t>
      </w:r>
      <w:r>
        <w:t xml:space="preserve">: which global node numbers lie on the boundary.</w:t>
      </w:r>
    </w:p>
    <w:p>
      <w:pPr>
        <w:pStyle w:val="FirstParagraph"/>
      </w:pPr>
      <w:r>
        <w:t xml:space="preserve">These can be imported and used with standard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 </w:t>
      </w:r>
      <w:r>
        <w:t xml:space="preserve">functions. For example,</w:t>
      </w:r>
    </w:p>
    <w:p>
      <w:pPr>
        <w:pStyle w:val="SourceCode"/>
      </w:pPr>
      <w:r>
        <w:rPr>
          <w:rStyle w:val="NormalTok"/>
        </w:rPr>
        <w:t xml:space="preserve">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np.loadtxt(</w:t>
      </w:r>
      <w:r>
        <w:rPr>
          <w:rStyle w:val="StringTok"/>
        </w:rPr>
        <w:t xml:space="preserve">'data/esw_nodes_100k.txt'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np.loadtxt(</w:t>
      </w:r>
      <w:r>
        <w:rPr>
          <w:rStyle w:val="StringTok"/>
        </w:rPr>
        <w:t xml:space="preserve">'data/esw_IEN_100k.txt'</w:t>
      </w:r>
      <w:r>
        <w:rPr>
          <w:rStyle w:val="NormalTok"/>
        </w:rPr>
        <w:t xml:space="preserve">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np.int64)</w:t>
      </w:r>
      <w:r>
        <w:br/>
      </w:r>
      <w:r>
        <w:rPr>
          <w:rStyle w:val="NormalTok"/>
        </w:rPr>
        <w:t xml:space="preserve">boundary_nodes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np.loadtxt(</w:t>
      </w:r>
      <w:r>
        <w:rPr>
          <w:rStyle w:val="StringTok"/>
        </w:rPr>
        <w:t xml:space="preserve">'data/esw_bdry_100k.txt'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np.int64)</w:t>
      </w:r>
      <w:r>
        <w:br/>
      </w:r>
      <w:r>
        <w:br/>
      </w:r>
      <w:r>
        <w:rPr>
          <w:rStyle w:val="NormalTok"/>
        </w:rPr>
        <w:t xml:space="preserve">plt.triplot(nodes[:,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nodes[:,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triangles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IEN)</w:t>
      </w:r>
      <w:r>
        <w:br/>
      </w:r>
      <w:r>
        <w:rPr>
          <w:rStyle w:val="NormalTok"/>
        </w:rPr>
        <w:t xml:space="preserve">plt.plot(nodes[boundary_nodes,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nodes[boundary_nodes,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will load and plot the coarsest grid, marking the boundary points.</w:t>
      </w:r>
    </w:p>
    <w:bookmarkEnd w:id="26"/>
    <w:bookmarkEnd w:id="27"/>
    <w:bookmarkStart w:id="30" w:name="models"/>
    <w:p>
      <w:pPr>
        <w:pStyle w:val="Heading3"/>
      </w:pPr>
      <w:r>
        <w:t xml:space="preserve">Models</w:t>
      </w:r>
    </w:p>
    <w:bookmarkStart w:id="28" w:name="equations"/>
    <w:p>
      <w:pPr>
        <w:pStyle w:val="Heading4"/>
      </w:pPr>
      <w:r>
        <w:t xml:space="preserve">Equations</w:t>
      </w:r>
    </w:p>
    <w:p>
      <w:pPr>
        <w:pStyle w:val="FirstParagraph"/>
      </w:pPr>
      <w:r>
        <w:t xml:space="preserve">The minimal model would solve for the pollutant as a scalar field indicating the pollutant concentration normalized to one over Southampton. This could be done using a time independent or time dependent model. The velocity field could be imposed (in the simplest model) or solved for (much more complex). A reasonable approximation to the wind conditions that day would be a constant 10 metre per second wind to the north.</w:t>
      </w:r>
    </w:p>
    <w:bookmarkEnd w:id="28"/>
    <w:bookmarkStart w:id="29" w:name="source-or-boundary-conditions"/>
    <w:p>
      <w:pPr>
        <w:pStyle w:val="Heading4"/>
      </w:pPr>
      <w:r>
        <w:t xml:space="preserve">Source or boundary conditions</w:t>
      </w:r>
    </w:p>
    <w:p>
      <w:pPr>
        <w:pStyle w:val="FirstParagraph"/>
      </w:pPr>
      <w:r>
        <w:t xml:space="preserve">The pollutant was sourced by the fire at a very specific and narrow location. However, on all practical grids this source will be within a single element, and that element will be very close to the boundary. The pollutant can therefore be injected into the domain either using a localised source function (local in space for stationary models; for time dependent models, the fire lasted about 8 hours) or by setting Dirichlet boundary conditions over some relevant boundary nodes.</w:t>
      </w:r>
    </w:p>
    <w:bookmarkEnd w:id="29"/>
    <w:bookmarkEnd w:id="30"/>
    <w:bookmarkStart w:id="31" w:name="methods"/>
    <w:p>
      <w:pPr>
        <w:pStyle w:val="Heading3"/>
      </w:pPr>
      <w:r>
        <w:t xml:space="preserve">Methods</w:t>
      </w:r>
    </w:p>
    <w:p>
      <w:pPr>
        <w:pStyle w:val="FirstParagraph"/>
      </w:pPr>
      <w:r>
        <w:t xml:space="preserve">In this section we have seen essentially three methods that would work on unstructured meshes;</w:t>
      </w:r>
    </w:p>
    <w:p>
      <w:pPr>
        <w:numPr>
          <w:ilvl w:val="0"/>
          <w:numId w:val="1005"/>
        </w:numPr>
        <w:pStyle w:val="Compact"/>
      </w:pPr>
      <w:r>
        <w:t xml:space="preserve">time independent Galerkin finite element solutions of diffusion equations (advection terms can be added, with care);</w:t>
      </w:r>
    </w:p>
    <w:p>
      <w:pPr>
        <w:numPr>
          <w:ilvl w:val="0"/>
          <w:numId w:val="1005"/>
        </w:numPr>
        <w:pStyle w:val="Compact"/>
      </w:pPr>
      <w:r>
        <w:t xml:space="preserve">time dependent Galerkin finite element solutions of advection equations (diffusion terms can be added, with care);</w:t>
      </w:r>
    </w:p>
    <w:p>
      <w:pPr>
        <w:numPr>
          <w:ilvl w:val="0"/>
          <w:numId w:val="1005"/>
        </w:numPr>
        <w:pStyle w:val="Compact"/>
      </w:pPr>
      <w:r>
        <w:t xml:space="preserve">time dependent Discontinuous Galerkin finite element solutions of advection equations (adding diffusive terms requires careful work).</w:t>
      </w:r>
    </w:p>
    <w:p>
      <w:pPr>
        <w:pStyle w:val="FirstParagraph"/>
      </w:pPr>
      <w:r>
        <w:t xml:space="preserve">The choice of method should be linked to the model chosen.</w:t>
      </w:r>
    </w:p>
    <w:p>
      <w:pPr>
        <w:pStyle w:val="BodyText"/>
      </w:pPr>
      <w:r>
        <w:t xml:space="preserve">Code from standard modules (eg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,</w:t>
      </w:r>
      <w:r>
        <w:t xml:space="preserve"> </w:t>
      </w:r>
      <w:r>
        <w:rPr>
          <w:rStyle w:val="VerbatimChar"/>
        </w:rPr>
        <w:t xml:space="preserve">scipy</w:t>
      </w:r>
      <w:r>
        <w:t xml:space="preserve">,</w:t>
      </w:r>
      <w:r>
        <w:t xml:space="preserve"> </w:t>
      </w:r>
      <w:r>
        <w:rPr>
          <w:rStyle w:val="VerbatimChar"/>
        </w:rPr>
        <w:t xml:space="preserve">quadpy</w:t>
      </w:r>
      <w:r>
        <w:t xml:space="preserve">) can be used, but full PDE solving packages (eg</w:t>
      </w:r>
      <w:r>
        <w:t xml:space="preserve"> </w:t>
      </w:r>
      <w:r>
        <w:rPr>
          <w:rStyle w:val="VerbatimChar"/>
        </w:rPr>
        <w:t xml:space="preserve">FEniCS</w:t>
      </w:r>
      <w:r>
        <w:t xml:space="preserve">,</w:t>
      </w:r>
      <w:r>
        <w:t xml:space="preserve"> </w:t>
      </w:r>
      <w:r>
        <w:rPr>
          <w:rStyle w:val="VerbatimChar"/>
        </w:rPr>
        <w:t xml:space="preserve">dedalus</w:t>
      </w:r>
      <w:r>
        <w:t xml:space="preserve">) cannot.</w:t>
      </w:r>
    </w:p>
    <w:bookmarkEnd w:id="31"/>
    <w:bookmarkStart w:id="32" w:name="report"/>
    <w:p>
      <w:pPr>
        <w:pStyle w:val="Heading3"/>
      </w:pPr>
      <w:r>
        <w:t xml:space="preserve">Report</w:t>
      </w:r>
    </w:p>
    <w:p>
      <w:pPr>
        <w:pStyle w:val="FirstParagraph"/>
      </w:pPr>
      <w:r>
        <w:t xml:space="preserve">The report should be between 6 and 10 pages and should include</w:t>
      </w:r>
    </w:p>
    <w:p>
      <w:pPr>
        <w:numPr>
          <w:ilvl w:val="0"/>
          <w:numId w:val="1006"/>
        </w:numPr>
        <w:pStyle w:val="Compact"/>
      </w:pPr>
      <w:r>
        <w:t xml:space="preserve">the model used and the equations to be solved;</w:t>
      </w:r>
    </w:p>
    <w:p>
      <w:pPr>
        <w:numPr>
          <w:ilvl w:val="0"/>
          <w:numId w:val="1006"/>
        </w:numPr>
        <w:pStyle w:val="Compact"/>
      </w:pPr>
      <w:r>
        <w:t xml:space="preserve">the method used, appropriately referenced. If terms are needed extending beyond those given in notes or lectures they should be defined in full (calculations can be deferred to appendices);</w:t>
      </w:r>
    </w:p>
    <w:p>
      <w:pPr>
        <w:numPr>
          <w:ilvl w:val="0"/>
          <w:numId w:val="1006"/>
        </w:numPr>
        <w:pStyle w:val="Compact"/>
      </w:pPr>
      <w:r>
        <w:t xml:space="preserve">the choice of initial and boundary conditions;</w:t>
      </w:r>
    </w:p>
    <w:p>
      <w:pPr>
        <w:numPr>
          <w:ilvl w:val="0"/>
          <w:numId w:val="1006"/>
        </w:numPr>
        <w:pStyle w:val="Compact"/>
      </w:pPr>
      <w:r>
        <w:t xml:space="preserve">the choice of output quantity to represent</w:t>
      </w:r>
      <w:r>
        <w:t xml:space="preserve"> </w:t>
      </w:r>
      <w:r>
        <w:t xml:space="preserve">“</w:t>
      </w:r>
      <w:r>
        <w:t xml:space="preserve">pollutant over Reading</w:t>
      </w:r>
      <w:r>
        <w:t xml:space="preserve">”</w:t>
      </w:r>
      <w: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the results, with appropriate figures;</w:t>
      </w:r>
    </w:p>
    <w:p>
      <w:pPr>
        <w:numPr>
          <w:ilvl w:val="0"/>
          <w:numId w:val="1006"/>
        </w:numPr>
        <w:pStyle w:val="Compact"/>
      </w:pPr>
      <w:r>
        <w:t xml:space="preserve">a discussion/critique of the accuracy of all choices made and methods used.</w:t>
      </w:r>
    </w:p>
    <w:bookmarkEnd w:id="32"/>
    <w:bookmarkStart w:id="33" w:name="code"/>
    <w:p>
      <w:pPr>
        <w:pStyle w:val="Heading3"/>
      </w:pPr>
      <w:r>
        <w:t xml:space="preserve">Code</w:t>
      </w:r>
    </w:p>
    <w:p>
      <w:pPr>
        <w:numPr>
          <w:ilvl w:val="0"/>
          <w:numId w:val="1007"/>
        </w:numPr>
        <w:pStyle w:val="Compact"/>
      </w:pPr>
      <w:r>
        <w:t xml:space="preserve">The report should include a link to an accessible version control repository containing the code.</w:t>
      </w:r>
    </w:p>
    <w:p>
      <w:pPr>
        <w:numPr>
          <w:ilvl w:val="0"/>
          <w:numId w:val="1007"/>
        </w:numPr>
        <w:pStyle w:val="Compact"/>
      </w:pPr>
      <w:r>
        <w:t xml:space="preserve">The code should be runnable in</w:t>
      </w:r>
      <w:r>
        <w:t xml:space="preserve"> </w:t>
      </w:r>
      <w:r>
        <w:t xml:space="preserve">“</w:t>
      </w:r>
      <w:r>
        <w:t xml:space="preserve">finite time</w:t>
      </w:r>
      <w:r>
        <w:t xml:space="preserve">”</w:t>
      </w:r>
      <w:r>
        <w:t xml:space="preserve"> </w:t>
      </w:r>
      <w:r>
        <w:t xml:space="preserve">- less than 10 minutes maximum on a laptop.</w:t>
      </w:r>
    </w:p>
    <w:p>
      <w:pPr>
        <w:numPr>
          <w:ilvl w:val="0"/>
          <w:numId w:val="1007"/>
        </w:numPr>
        <w:pStyle w:val="Compact"/>
      </w:pPr>
      <w:r>
        <w:t xml:space="preserve">Code documentation is essential.</w:t>
      </w:r>
    </w:p>
    <w:p>
      <w:pPr>
        <w:numPr>
          <w:ilvl w:val="0"/>
          <w:numId w:val="1007"/>
        </w:numPr>
        <w:pStyle w:val="Compact"/>
      </w:pPr>
      <w:r>
        <w:t xml:space="preserve">Code tests are useful.</w:t>
      </w:r>
    </w:p>
    <w:bookmarkEnd w:id="33"/>
    <w:bookmarkStart w:id="35" w:name="submission"/>
    <w:p>
      <w:pPr>
        <w:pStyle w:val="Heading3"/>
      </w:pPr>
      <w:r>
        <w:t xml:space="preserve">Submission</w:t>
      </w:r>
    </w:p>
    <w:p>
      <w:pPr>
        <w:pStyle w:val="FirstParagraph"/>
      </w:pPr>
      <w:r>
        <w:t xml:space="preserve">Email a PDF version of the report together with a link to the version control repository by the end of Friday 20th December 2024 to</w:t>
      </w:r>
      <w:r>
        <w:t xml:space="preserve"> </w:t>
      </w:r>
      <w:hyperlink r:id="rId34">
        <w:r>
          <w:rPr>
            <w:rStyle w:val="Hyperlink"/>
          </w:rPr>
          <w:t xml:space="preserve">I.Hawke@soton.ac.uk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news.bbc.co.uk/1/hi/england/hampshire/4390048.stm" TargetMode="External" /><Relationship Type="http://schemas.openxmlformats.org/officeDocument/2006/relationships/hyperlink" Id="rId24" Target="https://epsg.io/27700" TargetMode="External" /><Relationship Type="http://schemas.openxmlformats.org/officeDocument/2006/relationships/hyperlink" Id="rId21" Target="https://ianhawke.github.io/mfc_cdt_numerics/_assignment/data/esw_grids.zip" TargetMode="External" /><Relationship Type="http://schemas.openxmlformats.org/officeDocument/2006/relationships/hyperlink" Id="rId22" Target="https://ianhawke.github.io/mfc_cdt_numerics/_assignment/data/las_grids.zip" TargetMode="External" /><Relationship Type="http://schemas.openxmlformats.org/officeDocument/2006/relationships/hyperlink" Id="rId34" Target="mailto:I.Hawke@soton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news.bbc.co.uk/1/hi/england/hampshire/4390048.stm" TargetMode="External" /><Relationship Type="http://schemas.openxmlformats.org/officeDocument/2006/relationships/hyperlink" Id="rId24" Target="https://epsg.io/27700" TargetMode="External" /><Relationship Type="http://schemas.openxmlformats.org/officeDocument/2006/relationships/hyperlink" Id="rId21" Target="https://ianhawke.github.io/mfc_cdt_numerics/_assignment/data/esw_grids.zip" TargetMode="External" /><Relationship Type="http://schemas.openxmlformats.org/officeDocument/2006/relationships/hyperlink" Id="rId22" Target="https://ianhawke.github.io/mfc_cdt_numerics/_assignment/data/las_grids.zip" TargetMode="External" /><Relationship Type="http://schemas.openxmlformats.org/officeDocument/2006/relationships/hyperlink" Id="rId34" Target="mailto:I.Hawke@soton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/>
  <cp:keywords/>
  <dcterms:created xsi:type="dcterms:W3CDTF">2024-11-07T16:17:43Z</dcterms:created>
  <dcterms:modified xsi:type="dcterms:W3CDTF">2024-11-07T16:17:43Z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