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widowControl/>
      </w:pPr>
      <w:r>
        <w:t>APJ PARTNER ENABLEMENT PROGRAM</w:t>
      </w:r>
    </w:p>
    <w:p>
      <w:pPr>
        <w:pStyle w:val="Title"/>
        <w:widowControl/>
      </w:pPr>
      <w:r>
        <w:t>APJ Partner POV Dojo Program Blueprint</w:t>
      </w:r>
    </w:p>
    <w:p>
      <w:pPr>
        <w:pStyle w:val="Subtitle"/>
        <w:widowControl/>
      </w:pPr>
      <w:r>
        <w:t>Program Blueprint, Golden Tenant Design and Field Readiness Framework</w:t>
      </w:r>
    </w:p>
    <w:p>
      <w:pPr>
        <w:spacing w:after="360" w:line="300" w:lineRule="auto"/>
        <w:widowControl/>
      </w:pPr>
      <w:r>
        <w:rPr>
          <w:rFonts w:ascii="Calibri" w:hAnsi="Calibri" w:eastAsia="Calibri"/>
          <w:b w:val="0"/>
          <w:i w:val="0"/>
          <w:color w:val="1E293B"/>
          <w:sz w:val="24"/>
        </w:rPr>
        <w:t>A competency-based program that prepares partners to qualify, plan, execute and communicate customer-specific Wiz Proofs of Value with repeatable quality.</w:t>
      </w:r>
    </w:p>
    <w:tbl>
      <w:tblPr>
        <w:tblStyle w:val="TableGrid"/>
        <w:tblW w:type="dxa" w:w="9360"/>
        <w:jc w:val="left"/>
        <w:tblLayout w:type="fixed"/>
        <w:tblLook w:firstColumn="1" w:firstRow="1" w:lastColumn="0" w:lastRow="0" w:noHBand="0" w:noVBand="1" w:val="04A0"/>
        <w:tblInd w:w="120" w:type="dxa"/>
      </w:tblPr>
      <w:tblGrid>
        <w:gridCol w:w="1900"/>
        <w:gridCol w:w="2300"/>
        <w:gridCol w:w="1800"/>
        <w:gridCol w:w="3360"/>
      </w:tblGrid>
      <w:tr>
        <w:trPr>
          <w:tblHeader w:val="true"/>
        </w:trPr>
        <w:tc>
          <w:tcPr>
            <w:tcW w:type="dxa" w:w="1900"/>
            <w:tcMar>
              <w:top w:w="80" w:type="dxa"/>
              <w:start w:w="120" w:type="dxa"/>
              <w:bottom w:w="80" w:type="dxa"/>
              <w:end w:w="120" w:type="dxa"/>
            </w:tcMar>
            <w:vAlign w:val="center"/>
            <w:shd w:fill="F2F4F7"/>
          </w:tcPr>
          <w:p>
            <w:pPr>
              <w:spacing w:after="0"/>
              <w:jc w:val="center"/>
            </w:pPr>
            <w:r>
              <w:rPr>
                <w:rFonts w:ascii="Calibri" w:hAnsi="Calibri" w:eastAsia="Calibri"/>
                <w:b/>
                <w:i w:val="0"/>
                <w:color w:val="0B2545"/>
                <w:sz w:val="19"/>
              </w:rPr>
              <w:t>Program</w:t>
            </w:r>
          </w:p>
        </w:tc>
        <w:tc>
          <w:tcPr>
            <w:tcW w:type="dxa" w:w="2300"/>
            <w:tcMar>
              <w:top w:w="80" w:type="dxa"/>
              <w:start w:w="120" w:type="dxa"/>
              <w:bottom w:w="80" w:type="dxa"/>
              <w:end w:w="120" w:type="dxa"/>
            </w:tcMar>
            <w:vAlign w:val="center"/>
            <w:shd w:fill="F2F4F7"/>
          </w:tcPr>
          <w:p>
            <w:pPr>
              <w:spacing w:after="0"/>
              <w:jc w:val="center"/>
            </w:pPr>
            <w:r>
              <w:rPr>
                <w:rFonts w:ascii="Calibri" w:hAnsi="Calibri" w:eastAsia="Calibri"/>
                <w:b/>
                <w:i w:val="0"/>
                <w:color w:val="0B2545"/>
                <w:sz w:val="19"/>
              </w:rPr>
              <w:t>Scope</w:t>
            </w:r>
          </w:p>
        </w:tc>
        <w:tc>
          <w:tcPr>
            <w:tcW w:type="dxa" w:w="1800"/>
            <w:tcMar>
              <w:top w:w="80" w:type="dxa"/>
              <w:start w:w="120" w:type="dxa"/>
              <w:bottom w:w="80" w:type="dxa"/>
              <w:end w:w="120" w:type="dxa"/>
            </w:tcMar>
            <w:vAlign w:val="center"/>
            <w:shd w:fill="F2F4F7"/>
          </w:tcPr>
          <w:p>
            <w:pPr>
              <w:spacing w:after="0"/>
              <w:jc w:val="center"/>
            </w:pPr>
            <w:r>
              <w:rPr>
                <w:rFonts w:ascii="Calibri" w:hAnsi="Calibri" w:eastAsia="Calibri"/>
                <w:b/>
                <w:i w:val="0"/>
                <w:color w:val="0B2545"/>
                <w:sz w:val="19"/>
              </w:rPr>
              <w:t>Version</w:t>
            </w:r>
          </w:p>
        </w:tc>
        <w:tc>
          <w:tcPr>
            <w:tcW w:type="dxa" w:w="3360"/>
            <w:tcMar>
              <w:top w:w="80" w:type="dxa"/>
              <w:start w:w="120" w:type="dxa"/>
              <w:bottom w:w="80" w:type="dxa"/>
              <w:end w:w="120" w:type="dxa"/>
            </w:tcMar>
            <w:vAlign w:val="center"/>
            <w:shd w:fill="F2F4F7"/>
          </w:tcPr>
          <w:p>
            <w:pPr>
              <w:spacing w:after="0"/>
              <w:jc w:val="center"/>
            </w:pPr>
            <w:r>
              <w:rPr>
                <w:rFonts w:ascii="Calibri" w:hAnsi="Calibri" w:eastAsia="Calibri"/>
                <w:b/>
                <w:i w:val="0"/>
                <w:color w:val="0B2545"/>
                <w:sz w:val="19"/>
              </w:rPr>
              <w:t>Owner</w:t>
            </w:r>
          </w:p>
        </w:tc>
      </w:tr>
      <w:tr>
        <w:trPr>
          <w:cantSplit/>
        </w:trPr>
        <w:tc>
          <w:tcPr>
            <w:tcW w:type="dxa" w:w="1900"/>
          </w:tcPr>
          <w:p>
            <w:pPr>
              <w:spacing w:after="0" w:line="264" w:lineRule="auto"/>
              <w:jc w:val="center"/>
            </w:pPr>
            <w:r>
              <w:rPr>
                <w:rFonts w:ascii="Calibri" w:hAnsi="Calibri" w:eastAsia="Calibri"/>
                <w:b w:val="0"/>
                <w:i w:val="0"/>
                <w:color w:val="1E293B"/>
                <w:sz w:val="19"/>
              </w:rPr>
              <w:t>Partner POV Dojo</w:t>
            </w:r>
          </w:p>
        </w:tc>
        <w:tc>
          <w:tcPr>
            <w:tcW w:type="dxa" w:w="2300"/>
          </w:tcPr>
          <w:p>
            <w:pPr>
              <w:spacing w:after="0" w:line="264" w:lineRule="auto"/>
              <w:jc w:val="center"/>
            </w:pPr>
            <w:r>
              <w:rPr>
                <w:rFonts w:ascii="Calibri" w:hAnsi="Calibri" w:eastAsia="Calibri"/>
                <w:b w:val="0"/>
                <w:i w:val="0"/>
                <w:color w:val="1E293B"/>
                <w:sz w:val="19"/>
              </w:rPr>
              <w:t>Asia Pacific &amp; Japan</w:t>
            </w:r>
          </w:p>
        </w:tc>
        <w:tc>
          <w:tcPr>
            <w:tcW w:type="dxa" w:w="1800"/>
          </w:tcPr>
          <w:p>
            <w:pPr>
              <w:spacing w:after="0" w:line="264" w:lineRule="auto"/>
              <w:jc w:val="center"/>
            </w:pPr>
            <w:r>
              <w:rPr>
                <w:rFonts w:ascii="Calibri" w:hAnsi="Calibri" w:eastAsia="Calibri"/>
                <w:b w:val="0"/>
                <w:i w:val="0"/>
                <w:color w:val="1E293B"/>
                <w:sz w:val="19"/>
              </w:rPr>
              <w:t>Draft v0.9</w:t>
            </w:r>
          </w:p>
        </w:tc>
        <w:tc>
          <w:tcPr>
            <w:tcW w:type="dxa" w:w="3360"/>
          </w:tcPr>
          <w:p>
            <w:pPr>
              <w:spacing w:after="0" w:line="264" w:lineRule="auto"/>
              <w:jc w:val="center"/>
            </w:pPr>
            <w:r>
              <w:rPr>
                <w:rFonts w:ascii="Calibri" w:hAnsi="Calibri" w:eastAsia="Calibri"/>
                <w:b w:val="0"/>
                <w:i w:val="0"/>
                <w:color w:val="1E293B"/>
                <w:sz w:val="19"/>
              </w:rPr>
              <w:t>APJ Partner Solutions Architecture</w:t>
            </w:r>
          </w:p>
        </w:tc>
      </w:tr>
    </w:tbl>
    <w:p>
      <w:pPr>
        <w:spacing w:after="20"/>
        <w:widowControl/>
      </w:pPr>
    </w:p>
    <w:p>
      <w:pPr>
        <w:keepLines/>
        <w:spacing w:before="80" w:after="200"/>
        <w:widowControl/>
      </w:pPr>
      <w:r>
        <w:rPr>
          <w:rFonts w:ascii="Calibri" w:hAnsi="Calibri" w:eastAsia="Calibri"/>
          <w:b/>
          <w:i w:val="0"/>
          <w:color w:val="000000"/>
          <w:sz w:val="21"/>
        </w:rPr>
        <w:t xml:space="preserve">PROGRAM THESIS: </w:t>
      </w:r>
      <w:r>
        <w:rPr>
          <w:rFonts w:ascii="Calibri" w:hAnsi="Calibri" w:eastAsia="Calibri"/>
          <w:b w:val="0"/>
          <w:i w:val="0"/>
          <w:color w:val="1E293B"/>
          <w:sz w:val="21"/>
        </w:rPr>
        <w:t>Reduce poorly qualified POVs and increase the share of partner-led POVs that reach an evidence-based executive decision.</w:t>
      </w:r>
    </w:p>
    <w:p>
      <w:pPr>
        <w:spacing w:after="120" w:line="300" w:lineRule="auto"/>
        <w:widowControl/>
      </w:pPr>
      <w:r>
        <w:rPr>
          <w:rFonts w:ascii="Calibri" w:hAnsi="Calibri" w:eastAsia="Calibri"/>
          <w:b w:val="0"/>
          <w:i/>
          <w:color w:val="64748B"/>
          <w:sz w:val="19"/>
        </w:rPr>
        <w:t>Status: Working proposal for APJ stakeholder review. Internal definitions, tenant licensing, accreditation authority and score thresholds require validation with Global Partner Enablement, Product, Legal and Regional Leadership.</w:t>
      </w:r>
    </w:p>
    <w:p>
      <w:pPr>
        <w:pStyle w:val="Heading1"/>
        <w:widowControl/>
      </w:pPr>
      <w:r>
        <w:t>Document Guide</w:t>
      </w:r>
    </w:p>
    <w:p>
      <w:pPr>
        <w:spacing w:after="120" w:line="300" w:lineRule="auto"/>
        <w:widowControl/>
      </w:pPr>
      <w:r>
        <w:rPr>
          <w:rFonts w:ascii="Calibri" w:hAnsi="Calibri" w:eastAsia="Calibri"/>
          <w:b w:val="0"/>
          <w:i w:val="0"/>
          <w:color w:val="1E293B"/>
          <w:sz w:val="22"/>
        </w:rPr>
        <w:t>This blueprint is designed to support an APJ program decision and to serve as the starting point for curriculum development. It intentionally separates globally consistent program controls from regional overlays.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9"/>
              </w:rPr>
              <w:t>Part</w:t>
            </w:r>
          </w:p>
        </w:tc>
        <w:tc>
          <w:tcPr>
            <w:tcW w:type="dxa" w:w="75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9"/>
              </w:rPr>
              <w:t>Purpose</w:t>
            </w:r>
          </w:p>
        </w:tc>
      </w:tr>
      <w:tr>
        <w:trPr>
          <w:cantSplit/>
        </w:trPr>
        <w:tc>
          <w:tcPr>
            <w:tcW w:type="dxa" w:w="1800"/>
          </w:tcPr>
          <w:p>
            <w:pPr>
              <w:spacing w:after="0" w:line="264" w:lineRule="auto"/>
            </w:pPr>
            <w:r>
              <w:rPr>
                <w:rFonts w:ascii="Calibri" w:hAnsi="Calibri" w:eastAsia="Calibri"/>
                <w:b w:val="0"/>
                <w:i w:val="0"/>
                <w:color w:val="1E293B"/>
                <w:sz w:val="19"/>
              </w:rPr>
              <w:t>I. Strategy</w:t>
            </w:r>
          </w:p>
        </w:tc>
        <w:tc>
          <w:tcPr>
            <w:tcW w:type="dxa" w:w="7560"/>
          </w:tcPr>
          <w:p>
            <w:pPr>
              <w:spacing w:after="0" w:line="264" w:lineRule="auto"/>
            </w:pPr>
            <w:r>
              <w:rPr>
                <w:rFonts w:ascii="Calibri" w:hAnsi="Calibri" w:eastAsia="Calibri"/>
                <w:b w:val="0"/>
                <w:i w:val="0"/>
                <w:color w:val="1E293B"/>
                <w:sz w:val="19"/>
              </w:rPr>
              <w:t>Why the program exists, the target outcomes, audience and guardrails.</w:t>
            </w:r>
          </w:p>
        </w:tc>
      </w:tr>
      <w:tr>
        <w:trPr>
          <w:cantSplit/>
        </w:trPr>
        <w:tc>
          <w:tcPr>
            <w:tcW w:type="dxa" w:w="1800"/>
          </w:tcPr>
          <w:p>
            <w:pPr>
              <w:spacing w:after="0" w:line="264" w:lineRule="auto"/>
            </w:pPr>
            <w:r>
              <w:rPr>
                <w:rFonts w:ascii="Calibri" w:hAnsi="Calibri" w:eastAsia="Calibri"/>
                <w:b w:val="0"/>
                <w:i w:val="0"/>
                <w:color w:val="1E293B"/>
                <w:sz w:val="19"/>
              </w:rPr>
              <w:t>II. Golden Scenario</w:t>
            </w:r>
          </w:p>
        </w:tc>
        <w:tc>
          <w:tcPr>
            <w:tcW w:type="dxa" w:w="7560"/>
          </w:tcPr>
          <w:p>
            <w:pPr>
              <w:spacing w:after="0" w:line="264" w:lineRule="auto"/>
            </w:pPr>
            <w:r>
              <w:rPr>
                <w:rFonts w:ascii="Calibri" w:hAnsi="Calibri" w:eastAsia="Calibri"/>
                <w:b w:val="0"/>
                <w:i w:val="0"/>
                <w:color w:val="1E293B"/>
                <w:sz w:val="19"/>
              </w:rPr>
              <w:t>The fictional customer, personas, tenant architecture and seeded risk stories used in the Dojo.</w:t>
            </w:r>
          </w:p>
        </w:tc>
      </w:tr>
      <w:tr>
        <w:trPr>
          <w:cantSplit/>
        </w:trPr>
        <w:tc>
          <w:tcPr>
            <w:tcW w:type="dxa" w:w="1800"/>
          </w:tcPr>
          <w:p>
            <w:pPr>
              <w:spacing w:after="0" w:line="264" w:lineRule="auto"/>
            </w:pPr>
            <w:r>
              <w:rPr>
                <w:rFonts w:ascii="Calibri" w:hAnsi="Calibri" w:eastAsia="Calibri"/>
                <w:b w:val="0"/>
                <w:i w:val="0"/>
                <w:color w:val="1E293B"/>
                <w:sz w:val="19"/>
              </w:rPr>
              <w:t>III. Learning Experience</w:t>
            </w:r>
          </w:p>
        </w:tc>
        <w:tc>
          <w:tcPr>
            <w:tcW w:type="dxa" w:w="7560"/>
          </w:tcPr>
          <w:p>
            <w:pPr>
              <w:spacing w:after="0" w:line="264" w:lineRule="auto"/>
            </w:pPr>
            <w:r>
              <w:rPr>
                <w:rFonts w:ascii="Calibri" w:hAnsi="Calibri" w:eastAsia="Calibri"/>
                <w:b w:val="0"/>
                <w:i w:val="0"/>
                <w:color w:val="1E293B"/>
                <w:sz w:val="19"/>
              </w:rPr>
              <w:t>Pre-work, live workshop agenda, simulations, deliverables and facilitation model.</w:t>
            </w:r>
          </w:p>
        </w:tc>
      </w:tr>
      <w:tr>
        <w:trPr>
          <w:cantSplit/>
        </w:trPr>
        <w:tc>
          <w:tcPr>
            <w:tcW w:type="dxa" w:w="1800"/>
          </w:tcPr>
          <w:p>
            <w:pPr>
              <w:spacing w:after="0" w:line="264" w:lineRule="auto"/>
            </w:pPr>
            <w:r>
              <w:rPr>
                <w:rFonts w:ascii="Calibri" w:hAnsi="Calibri" w:eastAsia="Calibri"/>
                <w:b w:val="0"/>
                <w:i w:val="0"/>
                <w:color w:val="1E293B"/>
                <w:sz w:val="19"/>
              </w:rPr>
              <w:t>IV. Readiness &amp; Accreditation</w:t>
            </w:r>
          </w:p>
        </w:tc>
        <w:tc>
          <w:tcPr>
            <w:tcW w:type="dxa" w:w="7560"/>
          </w:tcPr>
          <w:p>
            <w:pPr>
              <w:spacing w:after="0" w:line="264" w:lineRule="auto"/>
            </w:pPr>
            <w:r>
              <w:rPr>
                <w:rFonts w:ascii="Calibri" w:hAnsi="Calibri" w:eastAsia="Calibri"/>
                <w:b w:val="0"/>
                <w:i w:val="0"/>
                <w:color w:val="1E293B"/>
                <w:sz w:val="19"/>
              </w:rPr>
              <w:t>Entry gates, evaluation rubric, field validation and renewal model.</w:t>
            </w:r>
          </w:p>
        </w:tc>
      </w:tr>
      <w:tr>
        <w:trPr>
          <w:cantSplit/>
        </w:trPr>
        <w:tc>
          <w:tcPr>
            <w:tcW w:type="dxa" w:w="1800"/>
          </w:tcPr>
          <w:p>
            <w:pPr>
              <w:spacing w:after="0" w:line="264" w:lineRule="auto"/>
            </w:pPr>
            <w:r>
              <w:rPr>
                <w:rFonts w:ascii="Calibri" w:hAnsi="Calibri" w:eastAsia="Calibri"/>
                <w:b w:val="0"/>
                <w:i w:val="0"/>
                <w:color w:val="1E293B"/>
                <w:sz w:val="19"/>
              </w:rPr>
              <w:t>V. APJ Operating Model</w:t>
            </w:r>
          </w:p>
        </w:tc>
        <w:tc>
          <w:tcPr>
            <w:tcW w:type="dxa" w:w="7560"/>
          </w:tcPr>
          <w:p>
            <w:pPr>
              <w:spacing w:after="0" w:line="264" w:lineRule="auto"/>
            </w:pPr>
            <w:r>
              <w:rPr>
                <w:rFonts w:ascii="Calibri" w:hAnsi="Calibri" w:eastAsia="Calibri"/>
                <w:b w:val="0"/>
                <w:i w:val="0"/>
                <w:color w:val="1E293B"/>
                <w:sz w:val="19"/>
              </w:rPr>
              <w:t>Localization, governance, KPIs, launch plan, risks and decisions required.</w:t>
            </w:r>
          </w:p>
        </w:tc>
      </w:tr>
      <w:tr>
        <w:trPr>
          <w:cantSplit/>
        </w:trPr>
        <w:tc>
          <w:tcPr>
            <w:tcW w:type="dxa" w:w="1800"/>
          </w:tcPr>
          <w:p>
            <w:pPr>
              <w:spacing w:after="0" w:line="264" w:lineRule="auto"/>
            </w:pPr>
            <w:r>
              <w:rPr>
                <w:rFonts w:ascii="Calibri" w:hAnsi="Calibri" w:eastAsia="Calibri"/>
                <w:b w:val="0"/>
                <w:i w:val="0"/>
                <w:color w:val="1E293B"/>
                <w:sz w:val="19"/>
              </w:rPr>
              <w:t>Appendices</w:t>
            </w:r>
          </w:p>
        </w:tc>
        <w:tc>
          <w:tcPr>
            <w:tcW w:type="dxa" w:w="7560"/>
          </w:tcPr>
          <w:p>
            <w:pPr>
              <w:spacing w:after="0" w:line="264" w:lineRule="auto"/>
            </w:pPr>
            <w:r>
              <w:rPr>
                <w:rFonts w:ascii="Calibri" w:hAnsi="Calibri" w:eastAsia="Calibri"/>
                <w:b w:val="0"/>
                <w:i w:val="0"/>
                <w:color w:val="1E293B"/>
                <w:sz w:val="19"/>
              </w:rPr>
              <w:t>Reusable discovery inputs, role cards, scorecards and artifact inventory.</w:t>
            </w:r>
          </w:p>
        </w:tc>
      </w:tr>
    </w:tbl>
    <w:p>
      <w:pPr>
        <w:spacing w:after="20"/>
        <w:widowControl/>
      </w:pPr>
    </w:p>
    <w:p>
      <w:pPr>
        <w:pStyle w:val="Heading2"/>
        <w:widowControl/>
      </w:pPr>
      <w:r>
        <w:t>Recommended Decisions from APJ Leadership</w:t>
      </w:r>
    </w:p>
    <w:p>
      <w:pPr>
        <w:numPr>
          <w:ilvl w:val="0"/>
          <w:numId w:val="10"/>
        </w:numPr>
        <w:spacing w:after="80" w:line="300" w:lineRule="auto"/>
        <w:ind w:left="540" w:hanging="271"/>
        <w:widowControl/>
      </w:pPr>
      <w:r>
        <w:rPr>
          <w:rFonts w:ascii="Calibri" w:hAnsi="Calibri" w:eastAsia="Calibri"/>
          <w:b w:val="0"/>
          <w:i w:val="0"/>
          <w:color w:val="1E293B"/>
          <w:sz w:val="22"/>
        </w:rPr>
        <w:t>Approve the program objective: field readiness rather than course completion.</w:t>
      </w:r>
    </w:p>
    <w:p>
      <w:pPr>
        <w:numPr>
          <w:ilvl w:val="0"/>
          <w:numId w:val="10"/>
        </w:numPr>
        <w:spacing w:after="80" w:line="300" w:lineRule="auto"/>
        <w:ind w:left="540" w:hanging="271"/>
        <w:widowControl/>
      </w:pPr>
      <w:r>
        <w:rPr>
          <w:rFonts w:ascii="Calibri" w:hAnsi="Calibri" w:eastAsia="Calibri"/>
          <w:b w:val="0"/>
          <w:i w:val="0"/>
          <w:color w:val="1E293B"/>
          <w:sz w:val="22"/>
        </w:rPr>
        <w:t>Approve a centrally governed Golden Tenant with regionally adaptable scenarios.</w:t>
      </w:r>
    </w:p>
    <w:p>
      <w:pPr>
        <w:numPr>
          <w:ilvl w:val="0"/>
          <w:numId w:val="10"/>
        </w:numPr>
        <w:spacing w:after="80" w:line="300" w:lineRule="auto"/>
        <w:ind w:left="540" w:hanging="271"/>
        <w:widowControl/>
      </w:pPr>
      <w:r>
        <w:rPr>
          <w:rFonts w:ascii="Calibri" w:hAnsi="Calibri" w:eastAsia="Calibri"/>
          <w:b w:val="0"/>
          <w:i w:val="0"/>
          <w:color w:val="1E293B"/>
          <w:sz w:val="22"/>
        </w:rPr>
        <w:t>Approve a three-level accreditation path: Dojo Ready, POV Co-Lead and Partner POV Lead.</w:t>
      </w:r>
    </w:p>
    <w:p>
      <w:pPr>
        <w:numPr>
          <w:ilvl w:val="0"/>
          <w:numId w:val="10"/>
        </w:numPr>
        <w:spacing w:after="80" w:line="300" w:lineRule="auto"/>
        <w:ind w:left="540" w:hanging="271"/>
        <w:widowControl/>
      </w:pPr>
      <w:r>
        <w:rPr>
          <w:rFonts w:ascii="Calibri" w:hAnsi="Calibri" w:eastAsia="Calibri"/>
          <w:b w:val="0"/>
          <w:i w:val="0"/>
          <w:color w:val="1E293B"/>
          <w:sz w:val="22"/>
        </w:rPr>
        <w:t>Nominate two lighthouse regions and two lighthouse partners for the first pilot.</w:t>
      </w:r>
    </w:p>
    <w:p>
      <w:pPr>
        <w:numPr>
          <w:ilvl w:val="0"/>
          <w:numId w:val="10"/>
        </w:numPr>
        <w:spacing w:after="80" w:line="300" w:lineRule="auto"/>
        <w:ind w:left="540" w:hanging="271"/>
        <w:widowControl/>
      </w:pPr>
      <w:r>
        <w:rPr>
          <w:rFonts w:ascii="Calibri" w:hAnsi="Calibri" w:eastAsia="Calibri"/>
          <w:b w:val="0"/>
          <w:i w:val="0"/>
          <w:color w:val="1E293B"/>
          <w:sz w:val="22"/>
        </w:rPr>
        <w:t>Assign an APJ Program Owner, Lab Owner and Regional Field Mentors.</w:t>
      </w:r>
    </w:p>
    <w:p>
      <w:pPr>
        <w:pStyle w:val="Heading1"/>
        <w:widowControl/>
      </w:pPr>
      <w:r>
        <w:t>I. Strategy</w:t>
      </w:r>
    </w:p>
    <w:p>
      <w:pPr>
        <w:pStyle w:val="Heading2"/>
        <w:widowControl/>
      </w:pPr>
      <w:r>
        <w:t>1. Executive Summary</w:t>
      </w:r>
    </w:p>
    <w:p>
      <w:pPr>
        <w:spacing w:after="120" w:line="300" w:lineRule="auto"/>
        <w:widowControl/>
      </w:pPr>
      <w:r>
        <w:rPr>
          <w:rFonts w:ascii="Calibri" w:hAnsi="Calibri" w:eastAsia="Calibri"/>
          <w:b w:val="0"/>
          <w:i w:val="0"/>
          <w:color w:val="1E293B"/>
          <w:sz w:val="22"/>
        </w:rPr>
        <w:t>Partner POV Dojo is a blended, evidence-based enablement program for partner presales professionals. Participants first acquire product and cloud fundamentals, then complete a two-day simulated POV using a common multi-cloud customer and Golden Tenant, and finally prove their capability on a live, qualified opportunity under field supervision.</w:t>
      </w:r>
    </w:p>
    <w:p>
      <w:pPr>
        <w:keepLines/>
        <w:spacing w:before="80" w:after="200"/>
        <w:widowControl/>
      </w:pPr>
      <w:r>
        <w:rPr>
          <w:rFonts w:ascii="Calibri" w:hAnsi="Calibri" w:eastAsia="Calibri"/>
          <w:b/>
          <w:i w:val="0"/>
          <w:color w:val="000000"/>
          <w:sz w:val="21"/>
        </w:rPr>
        <w:t xml:space="preserve">NORTH STAR: </w:t>
      </w:r>
      <w:r>
        <w:rPr>
          <w:rFonts w:ascii="Calibri" w:hAnsi="Calibri" w:eastAsia="Calibri"/>
          <w:b w:val="0"/>
          <w:i w:val="0"/>
          <w:color w:val="1E293B"/>
          <w:sz w:val="21"/>
        </w:rPr>
        <w:t>Percentage of qualified partner-led POVs that begin with agreed success criteria and reach an executive playback with a clear customer decision.</w:t>
      </w:r>
    </w:p>
    <w:p>
      <w:pPr>
        <w:pStyle w:val="Heading3"/>
        <w:widowControl/>
      </w:pPr>
      <w:r>
        <w:t>Why this program is needed</w:t>
      </w:r>
    </w:p>
    <w:p>
      <w:pPr>
        <w:numPr>
          <w:ilvl w:val="0"/>
          <w:numId w:val="10"/>
        </w:numPr>
        <w:spacing w:after="80" w:line="300" w:lineRule="auto"/>
        <w:ind w:left="540" w:hanging="271"/>
        <w:widowControl/>
      </w:pPr>
      <w:r>
        <w:rPr>
          <w:rFonts w:ascii="Calibri" w:hAnsi="Calibri" w:eastAsia="Calibri"/>
          <w:b w:val="0"/>
          <w:i w:val="0"/>
          <w:color w:val="1E293B"/>
          <w:sz w:val="22"/>
        </w:rPr>
        <w:t>Partners often treat a POV as the fastest path to revenue, even when Discovery, sponsorship, access or decision criteria are incomplete.</w:t>
      </w:r>
    </w:p>
    <w:p>
      <w:pPr>
        <w:numPr>
          <w:ilvl w:val="0"/>
          <w:numId w:val="10"/>
        </w:numPr>
        <w:spacing w:after="80" w:line="300" w:lineRule="auto"/>
        <w:ind w:left="540" w:hanging="271"/>
        <w:widowControl/>
      </w:pPr>
      <w:r>
        <w:rPr>
          <w:rFonts w:ascii="Calibri" w:hAnsi="Calibri" w:eastAsia="Calibri"/>
          <w:b w:val="0"/>
          <w:i w:val="0"/>
          <w:color w:val="1E293B"/>
          <w:sz w:val="22"/>
        </w:rPr>
        <w:t>Product knowledge alone does not demonstrate the ability to control scope, operate the first 24 hours, prioritize findings or lead an executive decision.</w:t>
      </w:r>
    </w:p>
    <w:p>
      <w:pPr>
        <w:numPr>
          <w:ilvl w:val="0"/>
          <w:numId w:val="10"/>
        </w:numPr>
        <w:spacing w:after="80" w:line="300" w:lineRule="auto"/>
        <w:ind w:left="540" w:hanging="271"/>
        <w:widowControl/>
      </w:pPr>
      <w:r>
        <w:rPr>
          <w:rFonts w:ascii="Calibri" w:hAnsi="Calibri" w:eastAsia="Calibri"/>
          <w:b w:val="0"/>
          <w:i w:val="0"/>
          <w:color w:val="1E293B"/>
          <w:sz w:val="22"/>
        </w:rPr>
        <w:t>APJ requires a repeatable global core while accommodating different languages, cloud mixes, partner maturity levels and regulatory conversations.</w:t>
      </w:r>
    </w:p>
    <w:p>
      <w:pPr>
        <w:numPr>
          <w:ilvl w:val="0"/>
          <w:numId w:val="10"/>
        </w:numPr>
        <w:spacing w:after="80" w:line="300" w:lineRule="auto"/>
        <w:ind w:left="540" w:hanging="271"/>
        <w:widowControl/>
      </w:pPr>
      <w:r>
        <w:rPr>
          <w:rFonts w:ascii="Calibri" w:hAnsi="Calibri" w:eastAsia="Calibri"/>
          <w:b w:val="0"/>
          <w:i w:val="0"/>
          <w:color w:val="1E293B"/>
          <w:sz w:val="22"/>
        </w:rPr>
        <w:t>Wiz field teams need a reliable way to identify which partners can observe, co-lead or independently lead a POV.</w:t>
      </w:r>
    </w:p>
    <w:p>
      <w:pPr>
        <w:pStyle w:val="Heading3"/>
        <w:widowControl/>
      </w:pPr>
      <w:r>
        <w:t>Program promise</w:t>
      </w:r>
    </w:p>
    <w:p>
      <w:pPr>
        <w:spacing w:after="120" w:line="300" w:lineRule="auto"/>
        <w:widowControl/>
      </w:pPr>
      <w:r>
        <w:rPr>
          <w:rFonts w:ascii="Calibri" w:hAnsi="Calibri" w:eastAsia="Calibri"/>
          <w:b w:val="0"/>
          <w:i w:val="0"/>
          <w:color w:val="1E293B"/>
          <w:sz w:val="22"/>
        </w:rPr>
        <w:t>A graduate will not merely know how to navigate Wiz. The graduate will demonstrate that they can decide whether a POV should start, define what must be proven, run the engagement safely and convert technical evidence into a business decision.</w:t>
      </w:r>
    </w:p>
    <w:p>
      <w:pPr>
        <w:pStyle w:val="Heading2"/>
        <w:widowControl/>
      </w:pPr>
      <w:r>
        <w:t>2. Program Charter</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Element</w:t>
            </w:r>
          </w:p>
        </w:tc>
        <w:tc>
          <w:tcPr>
            <w:tcW w:type="dxa" w:w="74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Proposed Definition</w:t>
            </w:r>
          </w:p>
        </w:tc>
      </w:tr>
      <w:tr>
        <w:trPr>
          <w:cantSplit/>
        </w:trPr>
        <w:tc>
          <w:tcPr>
            <w:tcW w:type="dxa" w:w="1900"/>
          </w:tcPr>
          <w:p>
            <w:pPr>
              <w:spacing w:after="0" w:line="264" w:lineRule="auto"/>
            </w:pPr>
            <w:r>
              <w:rPr>
                <w:rFonts w:ascii="Calibri" w:hAnsi="Calibri" w:eastAsia="Calibri"/>
                <w:b w:val="0"/>
                <w:i w:val="0"/>
                <w:color w:val="1E293B"/>
                <w:sz w:val="18"/>
              </w:rPr>
              <w:t>Mission</w:t>
            </w:r>
          </w:p>
        </w:tc>
        <w:tc>
          <w:tcPr>
            <w:tcW w:type="dxa" w:w="7460"/>
          </w:tcPr>
          <w:p>
            <w:pPr>
              <w:spacing w:after="0" w:line="264" w:lineRule="auto"/>
            </w:pPr>
            <w:r>
              <w:rPr>
                <w:rFonts w:ascii="Calibri" w:hAnsi="Calibri" w:eastAsia="Calibri"/>
                <w:b w:val="0"/>
                <w:i w:val="0"/>
                <w:color w:val="1E293B"/>
                <w:sz w:val="18"/>
              </w:rPr>
              <w:t>Enable APJ partners to qualify, design, execute and communicate Wiz POVs with repeatable quality and controlled risk.</w:t>
            </w:r>
          </w:p>
        </w:tc>
      </w:tr>
      <w:tr>
        <w:trPr>
          <w:cantSplit/>
        </w:trPr>
        <w:tc>
          <w:tcPr>
            <w:tcW w:type="dxa" w:w="1900"/>
          </w:tcPr>
          <w:p>
            <w:pPr>
              <w:spacing w:after="0" w:line="264" w:lineRule="auto"/>
            </w:pPr>
            <w:r>
              <w:rPr>
                <w:rFonts w:ascii="Calibri" w:hAnsi="Calibri" w:eastAsia="Calibri"/>
                <w:b w:val="0"/>
                <w:i w:val="0"/>
                <w:color w:val="1E293B"/>
                <w:sz w:val="18"/>
              </w:rPr>
              <w:t>Primary audience</w:t>
            </w:r>
          </w:p>
        </w:tc>
        <w:tc>
          <w:tcPr>
            <w:tcW w:type="dxa" w:w="7460"/>
          </w:tcPr>
          <w:p>
            <w:pPr>
              <w:spacing w:after="0" w:line="264" w:lineRule="auto"/>
            </w:pPr>
            <w:r>
              <w:rPr>
                <w:rFonts w:ascii="Calibri" w:hAnsi="Calibri" w:eastAsia="Calibri"/>
                <w:b w:val="0"/>
                <w:i w:val="0"/>
                <w:color w:val="1E293B"/>
                <w:sz w:val="18"/>
              </w:rPr>
              <w:t>Partner presales engineers, security architects and cloud architects assigned to customer-facing opportunities.</w:t>
            </w:r>
          </w:p>
        </w:tc>
      </w:tr>
      <w:tr>
        <w:trPr>
          <w:cantSplit/>
        </w:trPr>
        <w:tc>
          <w:tcPr>
            <w:tcW w:type="dxa" w:w="1900"/>
          </w:tcPr>
          <w:p>
            <w:pPr>
              <w:spacing w:after="0" w:line="264" w:lineRule="auto"/>
            </w:pPr>
            <w:r>
              <w:rPr>
                <w:rFonts w:ascii="Calibri" w:hAnsi="Calibri" w:eastAsia="Calibri"/>
                <w:b w:val="0"/>
                <w:i w:val="0"/>
                <w:color w:val="1E293B"/>
                <w:sz w:val="18"/>
              </w:rPr>
              <w:t>Secondary audience</w:t>
            </w:r>
          </w:p>
        </w:tc>
        <w:tc>
          <w:tcPr>
            <w:tcW w:type="dxa" w:w="7460"/>
          </w:tcPr>
          <w:p>
            <w:pPr>
              <w:spacing w:after="0" w:line="264" w:lineRule="auto"/>
            </w:pPr>
            <w:r>
              <w:rPr>
                <w:rFonts w:ascii="Calibri" w:hAnsi="Calibri" w:eastAsia="Calibri"/>
                <w:b w:val="0"/>
                <w:i w:val="0"/>
                <w:color w:val="1E293B"/>
                <w:sz w:val="18"/>
              </w:rPr>
              <w:t>Partner sales leaders, practice leads and regional Wiz field mentors.</w:t>
            </w:r>
          </w:p>
        </w:tc>
      </w:tr>
      <w:tr>
        <w:trPr>
          <w:cantSplit/>
        </w:trPr>
        <w:tc>
          <w:tcPr>
            <w:tcW w:type="dxa" w:w="1900"/>
          </w:tcPr>
          <w:p>
            <w:pPr>
              <w:spacing w:after="0" w:line="264" w:lineRule="auto"/>
            </w:pPr>
            <w:r>
              <w:rPr>
                <w:rFonts w:ascii="Calibri" w:hAnsi="Calibri" w:eastAsia="Calibri"/>
                <w:b w:val="0"/>
                <w:i w:val="0"/>
                <w:color w:val="1E293B"/>
                <w:sz w:val="18"/>
              </w:rPr>
              <w:t>Business outcomes</w:t>
            </w:r>
          </w:p>
        </w:tc>
        <w:tc>
          <w:tcPr>
            <w:tcW w:type="dxa" w:w="7460"/>
          </w:tcPr>
          <w:p>
            <w:pPr>
              <w:spacing w:after="0" w:line="264" w:lineRule="auto"/>
            </w:pPr>
            <w:r>
              <w:rPr>
                <w:rFonts w:ascii="Calibri" w:hAnsi="Calibri" w:eastAsia="Calibri"/>
                <w:b w:val="0"/>
                <w:i w:val="0"/>
                <w:color w:val="1E293B"/>
                <w:sz w:val="18"/>
              </w:rPr>
              <w:t>Higher POV quality, greater partner ownership, shorter time to first value, clearer executive decisions and lower avoidable Wiz SE effort.</w:t>
            </w:r>
          </w:p>
        </w:tc>
      </w:tr>
      <w:tr>
        <w:trPr>
          <w:cantSplit/>
        </w:trPr>
        <w:tc>
          <w:tcPr>
            <w:tcW w:type="dxa" w:w="1900"/>
          </w:tcPr>
          <w:p>
            <w:pPr>
              <w:spacing w:after="0" w:line="264" w:lineRule="auto"/>
            </w:pPr>
            <w:r>
              <w:rPr>
                <w:rFonts w:ascii="Calibri" w:hAnsi="Calibri" w:eastAsia="Calibri"/>
                <w:b w:val="0"/>
                <w:i w:val="0"/>
                <w:color w:val="1E293B"/>
                <w:sz w:val="18"/>
              </w:rPr>
              <w:t>Delivery model</w:t>
            </w:r>
          </w:p>
        </w:tc>
        <w:tc>
          <w:tcPr>
            <w:tcW w:type="dxa" w:w="7460"/>
          </w:tcPr>
          <w:p>
            <w:pPr>
              <w:spacing w:after="0" w:line="264" w:lineRule="auto"/>
            </w:pPr>
            <w:r>
              <w:rPr>
                <w:rFonts w:ascii="Calibri" w:hAnsi="Calibri" w:eastAsia="Calibri"/>
                <w:b w:val="0"/>
                <w:i w:val="0"/>
                <w:color w:val="1E293B"/>
                <w:sz w:val="18"/>
              </w:rPr>
              <w:t>4-6 hours self-paced pre-work, two live days, 30-45 day field practicum and accreditation board.</w:t>
            </w:r>
          </w:p>
        </w:tc>
      </w:tr>
      <w:tr>
        <w:trPr>
          <w:cantSplit/>
        </w:trPr>
        <w:tc>
          <w:tcPr>
            <w:tcW w:type="dxa" w:w="1900"/>
          </w:tcPr>
          <w:p>
            <w:pPr>
              <w:spacing w:after="0" w:line="264" w:lineRule="auto"/>
            </w:pPr>
            <w:r>
              <w:rPr>
                <w:rFonts w:ascii="Calibri" w:hAnsi="Calibri" w:eastAsia="Calibri"/>
                <w:b w:val="0"/>
                <w:i w:val="0"/>
                <w:color w:val="1E293B"/>
                <w:sz w:val="18"/>
              </w:rPr>
              <w:t>Initial scale</w:t>
            </w:r>
          </w:p>
        </w:tc>
        <w:tc>
          <w:tcPr>
            <w:tcW w:type="dxa" w:w="7460"/>
          </w:tcPr>
          <w:p>
            <w:pPr>
              <w:spacing w:after="0" w:line="264" w:lineRule="auto"/>
            </w:pPr>
            <w:r>
              <w:rPr>
                <w:rFonts w:ascii="Calibri" w:hAnsi="Calibri" w:eastAsia="Calibri"/>
                <w:b w:val="0"/>
                <w:i w:val="0"/>
                <w:color w:val="1E293B"/>
                <w:sz w:val="18"/>
              </w:rPr>
              <w:t>6-12 participants per cohort; up to four teams; two facilitators plus one lab owner/evaluator.</w:t>
            </w:r>
          </w:p>
        </w:tc>
      </w:tr>
      <w:tr>
        <w:trPr>
          <w:cantSplit/>
        </w:trPr>
        <w:tc>
          <w:tcPr>
            <w:tcW w:type="dxa" w:w="1900"/>
          </w:tcPr>
          <w:p>
            <w:pPr>
              <w:spacing w:after="0" w:line="264" w:lineRule="auto"/>
            </w:pPr>
            <w:r>
              <w:rPr>
                <w:rFonts w:ascii="Calibri" w:hAnsi="Calibri" w:eastAsia="Calibri"/>
                <w:b w:val="0"/>
                <w:i w:val="0"/>
                <w:color w:val="1E293B"/>
                <w:sz w:val="18"/>
              </w:rPr>
              <w:t>Program owner</w:t>
            </w:r>
          </w:p>
        </w:tc>
        <w:tc>
          <w:tcPr>
            <w:tcW w:type="dxa" w:w="7460"/>
          </w:tcPr>
          <w:p>
            <w:pPr>
              <w:spacing w:after="0" w:line="264" w:lineRule="auto"/>
            </w:pPr>
            <w:r>
              <w:rPr>
                <w:rFonts w:ascii="Calibri" w:hAnsi="Calibri" w:eastAsia="Calibri"/>
                <w:b w:val="0"/>
                <w:i w:val="0"/>
                <w:color w:val="1E293B"/>
                <w:sz w:val="18"/>
              </w:rPr>
              <w:t>APJ Partner Solutions Architecture, jointly governed with Global Partner Enablement and regional partner leadership.</w:t>
            </w:r>
          </w:p>
        </w:tc>
      </w:tr>
      <w:tr>
        <w:trPr>
          <w:cantSplit/>
        </w:trPr>
        <w:tc>
          <w:tcPr>
            <w:tcW w:type="dxa" w:w="1900"/>
          </w:tcPr>
          <w:p>
            <w:pPr>
              <w:spacing w:after="0" w:line="264" w:lineRule="auto"/>
            </w:pPr>
            <w:r>
              <w:rPr>
                <w:rFonts w:ascii="Calibri" w:hAnsi="Calibri" w:eastAsia="Calibri"/>
                <w:b w:val="0"/>
                <w:i w:val="0"/>
                <w:color w:val="1E293B"/>
                <w:sz w:val="18"/>
              </w:rPr>
              <w:t>Review cadence</w:t>
            </w:r>
          </w:p>
        </w:tc>
        <w:tc>
          <w:tcPr>
            <w:tcW w:type="dxa" w:w="7460"/>
          </w:tcPr>
          <w:p>
            <w:pPr>
              <w:spacing w:after="0" w:line="264" w:lineRule="auto"/>
            </w:pPr>
            <w:r>
              <w:rPr>
                <w:rFonts w:ascii="Calibri" w:hAnsi="Calibri" w:eastAsia="Calibri"/>
                <w:b w:val="0"/>
                <w:i w:val="0"/>
                <w:color w:val="1E293B"/>
                <w:sz w:val="18"/>
              </w:rPr>
              <w:t>Quarterly curriculum review; tenant health review before every cohort; annual accreditation policy review.</w:t>
            </w:r>
          </w:p>
        </w:tc>
      </w:tr>
    </w:tbl>
    <w:p>
      <w:pPr>
        <w:spacing w:after="20"/>
        <w:widowControl/>
      </w:pPr>
    </w:p>
    <w:p>
      <w:pPr>
        <w:pStyle w:val="Heading3"/>
        <w:widowControl/>
      </w:pPr>
      <w:r>
        <w:t>Non-goals</w:t>
      </w:r>
    </w:p>
    <w:p>
      <w:pPr>
        <w:numPr>
          <w:ilvl w:val="0"/>
          <w:numId w:val="10"/>
        </w:numPr>
        <w:spacing w:after="80" w:line="300" w:lineRule="auto"/>
        <w:ind w:left="540" w:hanging="271"/>
        <w:widowControl/>
      </w:pPr>
      <w:r>
        <w:rPr>
          <w:rFonts w:ascii="Calibri" w:hAnsi="Calibri" w:eastAsia="Calibri"/>
          <w:b w:val="0"/>
          <w:i w:val="0"/>
          <w:color w:val="1E293B"/>
          <w:sz w:val="22"/>
        </w:rPr>
        <w:t>A general product overview or feature-tour bootcamp.</w:t>
      </w:r>
    </w:p>
    <w:p>
      <w:pPr>
        <w:numPr>
          <w:ilvl w:val="0"/>
          <w:numId w:val="10"/>
        </w:numPr>
        <w:spacing w:after="80" w:line="300" w:lineRule="auto"/>
        <w:ind w:left="540" w:hanging="271"/>
        <w:widowControl/>
      </w:pPr>
      <w:r>
        <w:rPr>
          <w:rFonts w:ascii="Calibri" w:hAnsi="Calibri" w:eastAsia="Calibri"/>
          <w:b w:val="0"/>
          <w:i w:val="0"/>
          <w:color w:val="1E293B"/>
          <w:sz w:val="22"/>
        </w:rPr>
        <w:t>A replacement for required foundational technical training or partner accreditation.</w:t>
      </w:r>
    </w:p>
    <w:p>
      <w:pPr>
        <w:numPr>
          <w:ilvl w:val="0"/>
          <w:numId w:val="10"/>
        </w:numPr>
        <w:spacing w:after="80" w:line="300" w:lineRule="auto"/>
        <w:ind w:left="540" w:hanging="271"/>
        <w:widowControl/>
      </w:pPr>
      <w:r>
        <w:rPr>
          <w:rFonts w:ascii="Calibri" w:hAnsi="Calibri" w:eastAsia="Calibri"/>
          <w:b w:val="0"/>
          <w:i w:val="0"/>
          <w:color w:val="1E293B"/>
          <w:sz w:val="22"/>
        </w:rPr>
        <w:t>Automatic authorization to lead customer POVs immediately after classroom completion.</w:t>
      </w:r>
    </w:p>
    <w:p>
      <w:pPr>
        <w:numPr>
          <w:ilvl w:val="0"/>
          <w:numId w:val="10"/>
        </w:numPr>
        <w:spacing w:after="80" w:line="300" w:lineRule="auto"/>
        <w:ind w:left="540" w:hanging="271"/>
        <w:widowControl/>
      </w:pPr>
      <w:r>
        <w:rPr>
          <w:rFonts w:ascii="Calibri" w:hAnsi="Calibri" w:eastAsia="Calibri"/>
          <w:b w:val="0"/>
          <w:i w:val="0"/>
          <w:color w:val="1E293B"/>
          <w:sz w:val="22"/>
        </w:rPr>
        <w:t>A free-form customer assessment without a documented buying decision or next step.</w:t>
      </w:r>
    </w:p>
    <w:p>
      <w:pPr>
        <w:numPr>
          <w:ilvl w:val="0"/>
          <w:numId w:val="10"/>
        </w:numPr>
        <w:spacing w:after="80" w:line="300" w:lineRule="auto"/>
        <w:ind w:left="540" w:hanging="271"/>
        <w:widowControl/>
      </w:pPr>
      <w:r>
        <w:rPr>
          <w:rFonts w:ascii="Calibri" w:hAnsi="Calibri" w:eastAsia="Calibri"/>
          <w:b w:val="0"/>
          <w:i w:val="0"/>
          <w:color w:val="1E293B"/>
          <w:sz w:val="22"/>
        </w:rPr>
        <w:t>A universal script that ignores customer context, product entitlement or regional requirements.</w:t>
      </w:r>
    </w:p>
    <w:p>
      <w:pPr>
        <w:pStyle w:val="Heading2"/>
        <w:widowControl/>
      </w:pPr>
      <w:r>
        <w:t>3. Design Principles and Guardrails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Principle</w:t>
            </w:r>
          </w:p>
        </w:tc>
        <w:tc>
          <w:tcPr>
            <w:tcW w:type="dxa" w:w="72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Program Implication</w:t>
            </w:r>
          </w:p>
        </w:tc>
      </w:tr>
      <w:tr>
        <w:trPr>
          <w:cantSplit/>
        </w:trPr>
        <w:tc>
          <w:tcPr>
            <w:tcW w:type="dxa" w:w="2100"/>
          </w:tcPr>
          <w:p>
            <w:pPr>
              <w:spacing w:after="0" w:line="264" w:lineRule="auto"/>
            </w:pPr>
            <w:r>
              <w:rPr>
                <w:rFonts w:ascii="Calibri" w:hAnsi="Calibri" w:eastAsia="Calibri"/>
                <w:b w:val="0"/>
                <w:i w:val="0"/>
                <w:color w:val="1E293B"/>
                <w:sz w:val="18"/>
              </w:rPr>
              <w:t>Outcome before feature</w:t>
            </w:r>
          </w:p>
        </w:tc>
        <w:tc>
          <w:tcPr>
            <w:tcW w:type="dxa" w:w="7260"/>
          </w:tcPr>
          <w:p>
            <w:pPr>
              <w:spacing w:after="0" w:line="264" w:lineRule="auto"/>
            </w:pPr>
            <w:r>
              <w:rPr>
                <w:rFonts w:ascii="Calibri" w:hAnsi="Calibri" w:eastAsia="Calibri"/>
                <w:b w:val="0"/>
                <w:i w:val="0"/>
                <w:color w:val="1E293B"/>
                <w:sz w:val="18"/>
              </w:rPr>
              <w:t>Every lab begins with a customer decision and ends with evidence mapped to a business outcome.</w:t>
            </w:r>
          </w:p>
        </w:tc>
      </w:tr>
      <w:tr>
        <w:trPr>
          <w:cantSplit/>
        </w:trPr>
        <w:tc>
          <w:tcPr>
            <w:tcW w:type="dxa" w:w="2100"/>
          </w:tcPr>
          <w:p>
            <w:pPr>
              <w:spacing w:after="0" w:line="264" w:lineRule="auto"/>
            </w:pPr>
            <w:r>
              <w:rPr>
                <w:rFonts w:ascii="Calibri" w:hAnsi="Calibri" w:eastAsia="Calibri"/>
                <w:b w:val="0"/>
                <w:i w:val="0"/>
                <w:color w:val="1E293B"/>
                <w:sz w:val="18"/>
              </w:rPr>
              <w:t>No hypothesis, no POV</w:t>
            </w:r>
          </w:p>
        </w:tc>
        <w:tc>
          <w:tcPr>
            <w:tcW w:type="dxa" w:w="7260"/>
          </w:tcPr>
          <w:p>
            <w:pPr>
              <w:spacing w:after="0" w:line="264" w:lineRule="auto"/>
            </w:pPr>
            <w:r>
              <w:rPr>
                <w:rFonts w:ascii="Calibri" w:hAnsi="Calibri" w:eastAsia="Calibri"/>
                <w:b w:val="0"/>
                <w:i w:val="0"/>
                <w:color w:val="1E293B"/>
                <w:sz w:val="18"/>
              </w:rPr>
              <w:t>Discovery and measurable success criteria are mandatory before technical execution.</w:t>
            </w:r>
          </w:p>
        </w:tc>
      </w:tr>
      <w:tr>
        <w:trPr>
          <w:cantSplit/>
        </w:trPr>
        <w:tc>
          <w:tcPr>
            <w:tcW w:type="dxa" w:w="2100"/>
          </w:tcPr>
          <w:p>
            <w:pPr>
              <w:spacing w:after="0" w:line="264" w:lineRule="auto"/>
            </w:pPr>
            <w:r>
              <w:rPr>
                <w:rFonts w:ascii="Calibri" w:hAnsi="Calibri" w:eastAsia="Calibri"/>
                <w:b w:val="0"/>
                <w:i w:val="0"/>
                <w:color w:val="1E293B"/>
                <w:sz w:val="18"/>
              </w:rPr>
              <w:t>Standardize the core</w:t>
            </w:r>
          </w:p>
        </w:tc>
        <w:tc>
          <w:tcPr>
            <w:tcW w:type="dxa" w:w="7260"/>
          </w:tcPr>
          <w:p>
            <w:pPr>
              <w:spacing w:after="0" w:line="264" w:lineRule="auto"/>
            </w:pPr>
            <w:r>
              <w:rPr>
                <w:rFonts w:ascii="Calibri" w:hAnsi="Calibri" w:eastAsia="Calibri"/>
                <w:b w:val="0"/>
                <w:i w:val="0"/>
                <w:color w:val="1E293B"/>
                <w:sz w:val="18"/>
              </w:rPr>
              <w:t>Customer scenario, seeded risks, rubrics and core artifacts remain common across APJ.</w:t>
            </w:r>
          </w:p>
        </w:tc>
      </w:tr>
      <w:tr>
        <w:trPr>
          <w:cantSplit/>
        </w:trPr>
        <w:tc>
          <w:tcPr>
            <w:tcW w:type="dxa" w:w="2100"/>
          </w:tcPr>
          <w:p>
            <w:pPr>
              <w:spacing w:after="0" w:line="264" w:lineRule="auto"/>
            </w:pPr>
            <w:r>
              <w:rPr>
                <w:rFonts w:ascii="Calibri" w:hAnsi="Calibri" w:eastAsia="Calibri"/>
                <w:b w:val="0"/>
                <w:i w:val="0"/>
                <w:color w:val="1E293B"/>
                <w:sz w:val="18"/>
              </w:rPr>
              <w:t>Localize the edge</w:t>
            </w:r>
          </w:p>
        </w:tc>
        <w:tc>
          <w:tcPr>
            <w:tcW w:type="dxa" w:w="7260"/>
          </w:tcPr>
          <w:p>
            <w:pPr>
              <w:spacing w:after="0" w:line="264" w:lineRule="auto"/>
            </w:pPr>
            <w:r>
              <w:rPr>
                <w:rFonts w:ascii="Calibri" w:hAnsi="Calibri" w:eastAsia="Calibri"/>
                <w:b w:val="0"/>
                <w:i w:val="0"/>
                <w:color w:val="1E293B"/>
                <w:sz w:val="18"/>
              </w:rPr>
              <w:t>Language, regulatory context, objections and cloud emphasis can be adapted by region.</w:t>
            </w:r>
          </w:p>
        </w:tc>
      </w:tr>
      <w:tr>
        <w:trPr>
          <w:cantSplit/>
        </w:trPr>
        <w:tc>
          <w:tcPr>
            <w:tcW w:type="dxa" w:w="2100"/>
          </w:tcPr>
          <w:p>
            <w:pPr>
              <w:spacing w:after="0" w:line="264" w:lineRule="auto"/>
            </w:pPr>
            <w:r>
              <w:rPr>
                <w:rFonts w:ascii="Calibri" w:hAnsi="Calibri" w:eastAsia="Calibri"/>
                <w:b w:val="0"/>
                <w:i w:val="0"/>
                <w:color w:val="1E293B"/>
                <w:sz w:val="18"/>
              </w:rPr>
              <w:t>Practice under pressure</w:t>
            </w:r>
          </w:p>
        </w:tc>
        <w:tc>
          <w:tcPr>
            <w:tcW w:type="dxa" w:w="7260"/>
          </w:tcPr>
          <w:p>
            <w:pPr>
              <w:spacing w:after="0" w:line="264" w:lineRule="auto"/>
            </w:pPr>
            <w:r>
              <w:rPr>
                <w:rFonts w:ascii="Calibri" w:hAnsi="Calibri" w:eastAsia="Calibri"/>
                <w:b w:val="0"/>
                <w:i w:val="0"/>
                <w:color w:val="1E293B"/>
                <w:sz w:val="18"/>
              </w:rPr>
              <w:t>Role plays include incomplete information, access concerns, weak sponsorship and executive objections.</w:t>
            </w:r>
          </w:p>
        </w:tc>
      </w:tr>
      <w:tr>
        <w:trPr>
          <w:cantSplit/>
        </w:trPr>
        <w:tc>
          <w:tcPr>
            <w:tcW w:type="dxa" w:w="2100"/>
          </w:tcPr>
          <w:p>
            <w:pPr>
              <w:spacing w:after="0" w:line="264" w:lineRule="auto"/>
            </w:pPr>
            <w:r>
              <w:rPr>
                <w:rFonts w:ascii="Calibri" w:hAnsi="Calibri" w:eastAsia="Calibri"/>
                <w:b w:val="0"/>
                <w:i w:val="0"/>
                <w:color w:val="1E293B"/>
                <w:sz w:val="18"/>
              </w:rPr>
              <w:t>Field evidence matters</w:t>
            </w:r>
          </w:p>
        </w:tc>
        <w:tc>
          <w:tcPr>
            <w:tcW w:type="dxa" w:w="7260"/>
          </w:tcPr>
          <w:p>
            <w:pPr>
              <w:spacing w:after="0" w:line="264" w:lineRule="auto"/>
            </w:pPr>
            <w:r>
              <w:rPr>
                <w:rFonts w:ascii="Calibri" w:hAnsi="Calibri" w:eastAsia="Calibri"/>
                <w:b w:val="0"/>
                <w:i w:val="0"/>
                <w:color w:val="1E293B"/>
                <w:sz w:val="18"/>
              </w:rPr>
              <w:t>Simulation earns Dojo Ready; live execution evidence earns partner-led status.</w:t>
            </w:r>
          </w:p>
        </w:tc>
      </w:tr>
      <w:tr>
        <w:trPr>
          <w:cantSplit/>
        </w:trPr>
        <w:tc>
          <w:tcPr>
            <w:tcW w:type="dxa" w:w="2100"/>
          </w:tcPr>
          <w:p>
            <w:pPr>
              <w:spacing w:after="0" w:line="264" w:lineRule="auto"/>
            </w:pPr>
            <w:r>
              <w:rPr>
                <w:rFonts w:ascii="Calibri" w:hAnsi="Calibri" w:eastAsia="Calibri"/>
                <w:b w:val="0"/>
                <w:i w:val="0"/>
                <w:color w:val="1E293B"/>
                <w:sz w:val="18"/>
              </w:rPr>
              <w:t>A good No-Go is success</w:t>
            </w:r>
          </w:p>
        </w:tc>
        <w:tc>
          <w:tcPr>
            <w:tcW w:type="dxa" w:w="7260"/>
          </w:tcPr>
          <w:p>
            <w:pPr>
              <w:spacing w:after="0" w:line="264" w:lineRule="auto"/>
            </w:pPr>
            <w:r>
              <w:rPr>
                <w:rFonts w:ascii="Calibri" w:hAnsi="Calibri" w:eastAsia="Calibri"/>
                <w:b w:val="0"/>
                <w:i w:val="0"/>
                <w:color w:val="1E293B"/>
                <w:sz w:val="18"/>
              </w:rPr>
              <w:t>Stopping an unqualified POV protects time and improves win quality.</w:t>
            </w:r>
          </w:p>
        </w:tc>
      </w:tr>
      <w:tr>
        <w:trPr>
          <w:cantSplit/>
        </w:trPr>
        <w:tc>
          <w:tcPr>
            <w:tcW w:type="dxa" w:w="2100"/>
          </w:tcPr>
          <w:p>
            <w:pPr>
              <w:spacing w:after="0" w:line="264" w:lineRule="auto"/>
            </w:pPr>
            <w:r>
              <w:rPr>
                <w:rFonts w:ascii="Calibri" w:hAnsi="Calibri" w:eastAsia="Calibri"/>
                <w:b w:val="0"/>
                <w:i w:val="0"/>
                <w:color w:val="1E293B"/>
                <w:sz w:val="18"/>
              </w:rPr>
              <w:t>Safe by design</w:t>
            </w:r>
          </w:p>
        </w:tc>
        <w:tc>
          <w:tcPr>
            <w:tcW w:type="dxa" w:w="7260"/>
          </w:tcPr>
          <w:p>
            <w:pPr>
              <w:spacing w:after="0" w:line="264" w:lineRule="auto"/>
            </w:pPr>
            <w:r>
              <w:rPr>
                <w:rFonts w:ascii="Calibri" w:hAnsi="Calibri" w:eastAsia="Calibri"/>
                <w:b w:val="0"/>
                <w:i w:val="0"/>
                <w:color w:val="1E293B"/>
                <w:sz w:val="18"/>
              </w:rPr>
              <w:t>Training uses synthetic data, non-production accounts, least privilege and resettable environments.</w:t>
            </w:r>
          </w:p>
        </w:tc>
      </w:tr>
    </w:tbl>
    <w:p>
      <w:pPr>
        <w:spacing w:after="20"/>
        <w:widowControl/>
      </w:pPr>
    </w:p>
    <w:p>
      <w:pPr>
        <w:keepLines/>
        <w:spacing w:before="80" w:after="200"/>
        <w:widowControl/>
      </w:pPr>
      <w:r>
        <w:rPr>
          <w:rFonts w:ascii="Calibri" w:hAnsi="Calibri" w:eastAsia="Calibri"/>
          <w:b/>
          <w:i w:val="0"/>
          <w:color w:val="000000"/>
          <w:sz w:val="21"/>
        </w:rPr>
        <w:t xml:space="preserve">CORE MESSAGE: </w:t>
      </w:r>
      <w:r>
        <w:rPr>
          <w:rFonts w:ascii="Calibri" w:hAnsi="Calibri" w:eastAsia="Calibri"/>
          <w:b w:val="0"/>
          <w:i w:val="0"/>
          <w:color w:val="1E293B"/>
          <w:sz w:val="21"/>
        </w:rPr>
        <w:t>Golden Demo shows what is possible. Cloud Security Workshop agrees what matters. POV validates the agreed hypothesis in the customer environment.</w:t>
      </w:r>
    </w:p>
    <w:p>
      <w:pPr>
        <w:pStyle w:val="Heading2"/>
        <w:widowControl/>
      </w:pPr>
      <w:r>
        <w:t>4. Target Participants and Eligibility</w:t>
      </w:r>
    </w:p>
    <w:p>
      <w:pPr>
        <w:pStyle w:val="Heading3"/>
        <w:widowControl/>
      </w:pPr>
      <w:r>
        <w:t>Participant profile</w:t>
      </w:r>
    </w:p>
    <w:p>
      <w:pPr>
        <w:numPr>
          <w:ilvl w:val="0"/>
          <w:numId w:val="10"/>
        </w:numPr>
        <w:spacing w:after="80" w:line="300" w:lineRule="auto"/>
        <w:ind w:left="540" w:hanging="271"/>
        <w:widowControl/>
      </w:pPr>
      <w:r>
        <w:rPr>
          <w:rFonts w:ascii="Calibri" w:hAnsi="Calibri" w:eastAsia="Calibri"/>
          <w:b w:val="0"/>
          <w:i w:val="0"/>
          <w:color w:val="1E293B"/>
          <w:sz w:val="22"/>
        </w:rPr>
        <w:t>Partner presales engineer, cloud security architect or technical consultant with customer-facing responsibility.</w:t>
      </w:r>
    </w:p>
    <w:p>
      <w:pPr>
        <w:numPr>
          <w:ilvl w:val="0"/>
          <w:numId w:val="10"/>
        </w:numPr>
        <w:spacing w:after="80" w:line="300" w:lineRule="auto"/>
        <w:ind w:left="540" w:hanging="271"/>
        <w:widowControl/>
      </w:pPr>
      <w:r>
        <w:rPr>
          <w:rFonts w:ascii="Calibri" w:hAnsi="Calibri" w:eastAsia="Calibri"/>
          <w:b w:val="0"/>
          <w:i w:val="0"/>
          <w:color w:val="1E293B"/>
          <w:sz w:val="22"/>
        </w:rPr>
        <w:t>Working knowledge of at least one of AWS, Microsoft Azure or Google Cloud.</w:t>
      </w:r>
    </w:p>
    <w:p>
      <w:pPr>
        <w:numPr>
          <w:ilvl w:val="0"/>
          <w:numId w:val="10"/>
        </w:numPr>
        <w:spacing w:after="80" w:line="300" w:lineRule="auto"/>
        <w:ind w:left="540" w:hanging="271"/>
        <w:widowControl/>
      </w:pPr>
      <w:r>
        <w:rPr>
          <w:rFonts w:ascii="Calibri" w:hAnsi="Calibri" w:eastAsia="Calibri"/>
          <w:b w:val="0"/>
          <w:i w:val="0"/>
          <w:color w:val="1E293B"/>
          <w:sz w:val="22"/>
        </w:rPr>
        <w:t>Able to conduct technical discovery and present to both technical and business stakeholders.</w:t>
      </w:r>
    </w:p>
    <w:p>
      <w:pPr>
        <w:numPr>
          <w:ilvl w:val="0"/>
          <w:numId w:val="10"/>
        </w:numPr>
        <w:spacing w:after="80" w:line="300" w:lineRule="auto"/>
        <w:ind w:left="540" w:hanging="271"/>
        <w:widowControl/>
      </w:pPr>
      <w:r>
        <w:rPr>
          <w:rFonts w:ascii="Calibri" w:hAnsi="Calibri" w:eastAsia="Calibri"/>
          <w:b w:val="0"/>
          <w:i w:val="0"/>
          <w:color w:val="1E293B"/>
          <w:sz w:val="22"/>
        </w:rPr>
        <w:t>Nominated by the partner practice leader and assigned to a qualified opportunity or approved simulation case.</w:t>
      </w:r>
    </w:p>
    <w:p>
      <w:pPr>
        <w:pStyle w:val="Heading3"/>
        <w:widowControl/>
      </w:pPr>
      <w:r>
        <w:t>Mandatory entry requirements</w:t>
      </w:r>
    </w:p>
    <w:tbl>
      <w:tblPr>
        <w:tblStyle w:val="TableGrid"/>
        <w:tblW w:type="dxa" w:w="9360"/>
        <w:jc w:val="left"/>
        <w:tblLayout w:type="fixed"/>
        <w:tblLook w:firstColumn="1" w:firstRow="1" w:lastColumn="0" w:lastRow="0" w:noHBand="0" w:noVBand="1" w:val="04A0"/>
        <w:tblInd w:w="120" w:type="dxa"/>
      </w:tblPr>
      <w:tblGrid>
        <w:gridCol w:w="1900"/>
        <w:gridCol w:w="4860"/>
        <w:gridCol w:w="2600"/>
      </w:tblGrid>
      <w:tr>
        <w:trPr>
          <w:tblHeader w:val="true"/>
        </w:trPr>
        <w:tc>
          <w:tcPr>
            <w:tcW w:type="dxa" w:w="19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Gate</w:t>
            </w:r>
          </w:p>
        </w:tc>
        <w:tc>
          <w:tcPr>
            <w:tcW w:type="dxa" w:w="48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Evidence</w:t>
            </w:r>
          </w:p>
        </w:tc>
        <w:tc>
          <w:tcPr>
            <w:tcW w:type="dxa" w:w="26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Recommended Threshold</w:t>
            </w:r>
          </w:p>
        </w:tc>
      </w:tr>
      <w:tr>
        <w:trPr>
          <w:cantSplit/>
        </w:trPr>
        <w:tc>
          <w:tcPr>
            <w:tcW w:type="dxa" w:w="1900"/>
          </w:tcPr>
          <w:p>
            <w:pPr>
              <w:spacing w:after="0" w:line="264" w:lineRule="auto"/>
            </w:pPr>
            <w:r>
              <w:rPr>
                <w:rFonts w:ascii="Calibri" w:hAnsi="Calibri" w:eastAsia="Calibri"/>
                <w:b w:val="0"/>
                <w:i w:val="0"/>
                <w:color w:val="1E293B"/>
                <w:sz w:val="17"/>
              </w:rPr>
              <w:t>Technical foundation</w:t>
            </w:r>
          </w:p>
        </w:tc>
        <w:tc>
          <w:tcPr>
            <w:tcW w:type="dxa" w:w="4860"/>
          </w:tcPr>
          <w:p>
            <w:pPr>
              <w:spacing w:after="0" w:line="264" w:lineRule="auto"/>
            </w:pPr>
            <w:r>
              <w:rPr>
                <w:rFonts w:ascii="Calibri" w:hAnsi="Calibri" w:eastAsia="Calibri"/>
                <w:b w:val="0"/>
                <w:i w:val="0"/>
                <w:color w:val="1E293B"/>
                <w:sz w:val="17"/>
              </w:rPr>
              <w:t>Required Presales Technical Professional curriculum completed.</w:t>
            </w:r>
          </w:p>
        </w:tc>
        <w:tc>
          <w:tcPr>
            <w:tcW w:type="dxa" w:w="2600"/>
          </w:tcPr>
          <w:p>
            <w:pPr>
              <w:spacing w:after="0" w:line="264" w:lineRule="auto"/>
            </w:pPr>
            <w:r>
              <w:rPr>
                <w:rFonts w:ascii="Calibri" w:hAnsi="Calibri" w:eastAsia="Calibri"/>
                <w:b w:val="0"/>
                <w:i w:val="0"/>
                <w:color w:val="1E293B"/>
                <w:sz w:val="17"/>
              </w:rPr>
              <w:t>Complete</w:t>
            </w:r>
          </w:p>
        </w:tc>
      </w:tr>
      <w:tr>
        <w:trPr>
          <w:cantSplit/>
        </w:trPr>
        <w:tc>
          <w:tcPr>
            <w:tcW w:type="dxa" w:w="1900"/>
          </w:tcPr>
          <w:p>
            <w:pPr>
              <w:spacing w:after="0" w:line="264" w:lineRule="auto"/>
            </w:pPr>
            <w:r>
              <w:rPr>
                <w:rFonts w:ascii="Calibri" w:hAnsi="Calibri" w:eastAsia="Calibri"/>
                <w:b w:val="0"/>
                <w:i w:val="0"/>
                <w:color w:val="1E293B"/>
                <w:sz w:val="17"/>
              </w:rPr>
              <w:t>Platform foundation</w:t>
            </w:r>
          </w:p>
        </w:tc>
        <w:tc>
          <w:tcPr>
            <w:tcW w:type="dxa" w:w="4860"/>
          </w:tcPr>
          <w:p>
            <w:pPr>
              <w:spacing w:after="0" w:line="264" w:lineRule="auto"/>
            </w:pPr>
            <w:r>
              <w:rPr>
                <w:rFonts w:ascii="Calibri" w:hAnsi="Calibri" w:eastAsia="Calibri"/>
                <w:b w:val="0"/>
                <w:i w:val="0"/>
                <w:color w:val="1E293B"/>
                <w:sz w:val="17"/>
              </w:rPr>
              <w:t>Wiz fundamentals and Golden Demo Fundamentals completed.</w:t>
            </w:r>
          </w:p>
        </w:tc>
        <w:tc>
          <w:tcPr>
            <w:tcW w:type="dxa" w:w="2600"/>
          </w:tcPr>
          <w:p>
            <w:pPr>
              <w:spacing w:after="0" w:line="264" w:lineRule="auto"/>
            </w:pPr>
            <w:r>
              <w:rPr>
                <w:rFonts w:ascii="Calibri" w:hAnsi="Calibri" w:eastAsia="Calibri"/>
                <w:b w:val="0"/>
                <w:i w:val="0"/>
                <w:color w:val="1E293B"/>
                <w:sz w:val="17"/>
              </w:rPr>
              <w:t>Complete</w:t>
            </w:r>
          </w:p>
        </w:tc>
      </w:tr>
      <w:tr>
        <w:trPr>
          <w:cantSplit/>
        </w:trPr>
        <w:tc>
          <w:tcPr>
            <w:tcW w:type="dxa" w:w="1900"/>
          </w:tcPr>
          <w:p>
            <w:pPr>
              <w:spacing w:after="0" w:line="264" w:lineRule="auto"/>
            </w:pPr>
            <w:r>
              <w:rPr>
                <w:rFonts w:ascii="Calibri" w:hAnsi="Calibri" w:eastAsia="Calibri"/>
                <w:b w:val="0"/>
                <w:i w:val="0"/>
                <w:color w:val="1E293B"/>
                <w:sz w:val="17"/>
              </w:rPr>
              <w:t>Connector readiness</w:t>
            </w:r>
          </w:p>
        </w:tc>
        <w:tc>
          <w:tcPr>
            <w:tcW w:type="dxa" w:w="4860"/>
          </w:tcPr>
          <w:p>
            <w:pPr>
              <w:spacing w:after="0" w:line="264" w:lineRule="auto"/>
            </w:pPr>
            <w:r>
              <w:rPr>
                <w:rFonts w:ascii="Calibri" w:hAnsi="Calibri" w:eastAsia="Calibri"/>
                <w:b w:val="0"/>
                <w:i w:val="0"/>
                <w:color w:val="1E293B"/>
                <w:sz w:val="17"/>
              </w:rPr>
              <w:t>At least one AWS, Azure or GCP connector lab completed.</w:t>
            </w:r>
          </w:p>
        </w:tc>
        <w:tc>
          <w:tcPr>
            <w:tcW w:type="dxa" w:w="2600"/>
          </w:tcPr>
          <w:p>
            <w:pPr>
              <w:spacing w:after="0" w:line="264" w:lineRule="auto"/>
            </w:pPr>
            <w:r>
              <w:rPr>
                <w:rFonts w:ascii="Calibri" w:hAnsi="Calibri" w:eastAsia="Calibri"/>
                <w:b w:val="0"/>
                <w:i w:val="0"/>
                <w:color w:val="1E293B"/>
                <w:sz w:val="17"/>
              </w:rPr>
              <w:t>Pass</w:t>
            </w:r>
          </w:p>
        </w:tc>
      </w:tr>
      <w:tr>
        <w:trPr>
          <w:cantSplit/>
        </w:trPr>
        <w:tc>
          <w:tcPr>
            <w:tcW w:type="dxa" w:w="1900"/>
          </w:tcPr>
          <w:p>
            <w:pPr>
              <w:spacing w:after="0" w:line="264" w:lineRule="auto"/>
            </w:pPr>
            <w:r>
              <w:rPr>
                <w:rFonts w:ascii="Calibri" w:hAnsi="Calibri" w:eastAsia="Calibri"/>
                <w:b w:val="0"/>
                <w:i w:val="0"/>
                <w:color w:val="1E293B"/>
                <w:sz w:val="17"/>
              </w:rPr>
              <w:t>Knowledge check</w:t>
            </w:r>
          </w:p>
        </w:tc>
        <w:tc>
          <w:tcPr>
            <w:tcW w:type="dxa" w:w="4860"/>
          </w:tcPr>
          <w:p>
            <w:pPr>
              <w:spacing w:after="0" w:line="264" w:lineRule="auto"/>
            </w:pPr>
            <w:r>
              <w:rPr>
                <w:rFonts w:ascii="Calibri" w:hAnsi="Calibri" w:eastAsia="Calibri"/>
                <w:b w:val="0"/>
                <w:i w:val="0"/>
                <w:color w:val="1E293B"/>
                <w:sz w:val="17"/>
              </w:rPr>
              <w:t>Cloud journey, personas, licensing basics and Wiz foundation assessment.</w:t>
            </w:r>
          </w:p>
        </w:tc>
        <w:tc>
          <w:tcPr>
            <w:tcW w:type="dxa" w:w="2600"/>
          </w:tcPr>
          <w:p>
            <w:pPr>
              <w:spacing w:after="0" w:line="264" w:lineRule="auto"/>
            </w:pPr>
            <w:r>
              <w:rPr>
                <w:rFonts w:ascii="Calibri" w:hAnsi="Calibri" w:eastAsia="Calibri"/>
                <w:b w:val="0"/>
                <w:i w:val="0"/>
                <w:color w:val="1E293B"/>
                <w:sz w:val="17"/>
              </w:rPr>
              <w:t>80% or higher</w:t>
            </w:r>
          </w:p>
        </w:tc>
      </w:tr>
      <w:tr>
        <w:trPr>
          <w:cantSplit/>
        </w:trPr>
        <w:tc>
          <w:tcPr>
            <w:tcW w:type="dxa" w:w="1900"/>
          </w:tcPr>
          <w:p>
            <w:pPr>
              <w:spacing w:after="0" w:line="264" w:lineRule="auto"/>
            </w:pPr>
            <w:r>
              <w:rPr>
                <w:rFonts w:ascii="Calibri" w:hAnsi="Calibri" w:eastAsia="Calibri"/>
                <w:b w:val="0"/>
                <w:i w:val="0"/>
                <w:color w:val="1E293B"/>
                <w:sz w:val="17"/>
              </w:rPr>
              <w:t>Manager commitment</w:t>
            </w:r>
          </w:p>
        </w:tc>
        <w:tc>
          <w:tcPr>
            <w:tcW w:type="dxa" w:w="4860"/>
          </w:tcPr>
          <w:p>
            <w:pPr>
              <w:spacing w:after="0" w:line="264" w:lineRule="auto"/>
            </w:pPr>
            <w:r>
              <w:rPr>
                <w:rFonts w:ascii="Calibri" w:hAnsi="Calibri" w:eastAsia="Calibri"/>
                <w:b w:val="0"/>
                <w:i w:val="0"/>
                <w:color w:val="1E293B"/>
                <w:sz w:val="17"/>
              </w:rPr>
              <w:t>Partner leader confirms time for live workshop and 30-45 day practicum.</w:t>
            </w:r>
          </w:p>
        </w:tc>
        <w:tc>
          <w:tcPr>
            <w:tcW w:type="dxa" w:w="2600"/>
          </w:tcPr>
          <w:p>
            <w:pPr>
              <w:spacing w:after="0" w:line="264" w:lineRule="auto"/>
            </w:pPr>
            <w:r>
              <w:rPr>
                <w:rFonts w:ascii="Calibri" w:hAnsi="Calibri" w:eastAsia="Calibri"/>
                <w:b w:val="0"/>
                <w:i w:val="0"/>
                <w:color w:val="1E293B"/>
                <w:sz w:val="17"/>
              </w:rPr>
              <w:t>Written nomination</w:t>
            </w:r>
          </w:p>
        </w:tc>
      </w:tr>
      <w:tr>
        <w:trPr>
          <w:cantSplit/>
        </w:trPr>
        <w:tc>
          <w:tcPr>
            <w:tcW w:type="dxa" w:w="1900"/>
          </w:tcPr>
          <w:p>
            <w:pPr>
              <w:spacing w:after="0" w:line="264" w:lineRule="auto"/>
            </w:pPr>
            <w:r>
              <w:rPr>
                <w:rFonts w:ascii="Calibri" w:hAnsi="Calibri" w:eastAsia="Calibri"/>
                <w:b w:val="0"/>
                <w:i w:val="0"/>
                <w:color w:val="1E293B"/>
                <w:sz w:val="17"/>
              </w:rPr>
              <w:t>Opportunity context</w:t>
            </w:r>
          </w:p>
        </w:tc>
        <w:tc>
          <w:tcPr>
            <w:tcW w:type="dxa" w:w="4860"/>
          </w:tcPr>
          <w:p>
            <w:pPr>
              <w:spacing w:after="0" w:line="264" w:lineRule="auto"/>
            </w:pPr>
            <w:r>
              <w:rPr>
                <w:rFonts w:ascii="Calibri" w:hAnsi="Calibri" w:eastAsia="Calibri"/>
                <w:b w:val="0"/>
                <w:i w:val="0"/>
                <w:color w:val="1E293B"/>
                <w:sz w:val="17"/>
              </w:rPr>
              <w:t>Qualified live opportunity or approved Golden Customer assignment.</w:t>
            </w:r>
          </w:p>
        </w:tc>
        <w:tc>
          <w:tcPr>
            <w:tcW w:type="dxa" w:w="2600"/>
          </w:tcPr>
          <w:p>
            <w:pPr>
              <w:spacing w:after="0" w:line="264" w:lineRule="auto"/>
            </w:pPr>
            <w:r>
              <w:rPr>
                <w:rFonts w:ascii="Calibri" w:hAnsi="Calibri" w:eastAsia="Calibri"/>
                <w:b w:val="0"/>
                <w:i w:val="0"/>
                <w:color w:val="1E293B"/>
                <w:sz w:val="17"/>
              </w:rPr>
              <w:t>Available before Day 1</w:t>
            </w:r>
          </w:p>
        </w:tc>
      </w:tr>
    </w:tbl>
    <w:p>
      <w:pPr>
        <w:spacing w:after="20"/>
        <w:widowControl/>
      </w:pPr>
    </w:p>
    <w:p>
      <w:pPr>
        <w:spacing w:after="120" w:line="300" w:lineRule="auto"/>
        <w:widowControl/>
      </w:pPr>
      <w:r>
        <w:rPr>
          <w:rFonts w:ascii="Calibri" w:hAnsi="Calibri" w:eastAsia="Calibri"/>
          <w:b w:val="0"/>
          <w:i/>
          <w:color w:val="64748B"/>
          <w:sz w:val="19"/>
        </w:rPr>
        <w:t>Recommended exception policy: participants who lack a live opportunity may complete the simulation and earn Dojo Ready, but cannot progress to Partner POV Lead until field evidence is submitted.</w:t>
      </w:r>
    </w:p>
    <w:p>
      <w:pPr>
        <w:pStyle w:val="Heading2"/>
        <w:pageBreakBefore/>
        <w:widowControl/>
      </w:pPr>
      <w:r>
        <w:t>5. Competency Model</w:t>
      </w:r>
    </w:p>
    <w:tbl>
      <w:tblPr>
        <w:tblStyle w:val="TableGrid"/>
        <w:tblW w:type="dxa" w:w="9360"/>
        <w:jc w:val="left"/>
        <w:tblLayout w:type="fixed"/>
        <w:tblLook w:firstColumn="1" w:firstRow="1" w:lastColumn="0" w:lastRow="0" w:noHBand="0" w:noVBand="1" w:val="04A0"/>
        <w:tblInd w:w="120" w:type="dxa"/>
      </w:tblPr>
      <w:tblGrid>
        <w:gridCol w:w="1700"/>
        <w:gridCol w:w="4900"/>
        <w:gridCol w:w="2760"/>
      </w:tblGrid>
      <w:tr>
        <w:trPr>
          <w:tblHeader w:val="true"/>
        </w:trPr>
        <w:tc>
          <w:tcPr>
            <w:tcW w:type="dxa" w:w="17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Competency</w:t>
            </w:r>
          </w:p>
        </w:tc>
        <w:tc>
          <w:tcPr>
            <w:tcW w:type="dxa" w:w="49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Observable Behaviors</w:t>
            </w:r>
          </w:p>
        </w:tc>
        <w:tc>
          <w:tcPr>
            <w:tcW w:type="dxa" w:w="27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Evidence</w:t>
            </w:r>
          </w:p>
        </w:tc>
      </w:tr>
      <w:tr>
        <w:trPr>
          <w:cantSplit/>
        </w:trPr>
        <w:tc>
          <w:tcPr>
            <w:tcW w:type="dxa" w:w="1700"/>
          </w:tcPr>
          <w:p>
            <w:pPr>
              <w:spacing w:after="0" w:line="264" w:lineRule="auto"/>
            </w:pPr>
            <w:r>
              <w:rPr>
                <w:rFonts w:ascii="Calibri" w:hAnsi="Calibri" w:eastAsia="Calibri"/>
                <w:b w:val="0"/>
                <w:i w:val="0"/>
                <w:color w:val="1E293B"/>
                <w:sz w:val="17"/>
              </w:rPr>
              <w:t>Discover &amp; qualify</w:t>
            </w:r>
          </w:p>
        </w:tc>
        <w:tc>
          <w:tcPr>
            <w:tcW w:type="dxa" w:w="4900"/>
          </w:tcPr>
          <w:p>
            <w:pPr>
              <w:spacing w:after="0" w:line="264" w:lineRule="auto"/>
            </w:pPr>
            <w:r>
              <w:rPr>
                <w:rFonts w:ascii="Calibri" w:hAnsi="Calibri" w:eastAsia="Calibri"/>
                <w:b w:val="0"/>
                <w:i w:val="0"/>
                <w:color w:val="1E293B"/>
                <w:sz w:val="17"/>
              </w:rPr>
              <w:t>Surfaces business pain, current tools, cloud context, decision process, sponsor and technical constraints.</w:t>
            </w:r>
          </w:p>
        </w:tc>
        <w:tc>
          <w:tcPr>
            <w:tcW w:type="dxa" w:w="2760"/>
          </w:tcPr>
          <w:p>
            <w:pPr>
              <w:spacing w:after="0" w:line="264" w:lineRule="auto"/>
            </w:pPr>
            <w:r>
              <w:rPr>
                <w:rFonts w:ascii="Calibri" w:hAnsi="Calibri" w:eastAsia="Calibri"/>
                <w:b w:val="0"/>
                <w:i w:val="0"/>
                <w:color w:val="1E293B"/>
                <w:sz w:val="17"/>
              </w:rPr>
              <w:t>Discovery Canvas and qualification interview</w:t>
            </w:r>
          </w:p>
        </w:tc>
      </w:tr>
      <w:tr>
        <w:trPr>
          <w:cantSplit/>
        </w:trPr>
        <w:tc>
          <w:tcPr>
            <w:tcW w:type="dxa" w:w="1700"/>
          </w:tcPr>
          <w:p>
            <w:pPr>
              <w:spacing w:after="0" w:line="264" w:lineRule="auto"/>
            </w:pPr>
            <w:r>
              <w:rPr>
                <w:rFonts w:ascii="Calibri" w:hAnsi="Calibri" w:eastAsia="Calibri"/>
                <w:b w:val="0"/>
                <w:i w:val="0"/>
                <w:color w:val="1E293B"/>
                <w:sz w:val="17"/>
              </w:rPr>
              <w:t>Design for value</w:t>
            </w:r>
          </w:p>
        </w:tc>
        <w:tc>
          <w:tcPr>
            <w:tcW w:type="dxa" w:w="4900"/>
          </w:tcPr>
          <w:p>
            <w:pPr>
              <w:spacing w:after="0" w:line="264" w:lineRule="auto"/>
            </w:pPr>
            <w:r>
              <w:rPr>
                <w:rFonts w:ascii="Calibri" w:hAnsi="Calibri" w:eastAsia="Calibri"/>
                <w:b w:val="0"/>
                <w:i w:val="0"/>
                <w:color w:val="1E293B"/>
                <w:sz w:val="17"/>
              </w:rPr>
              <w:t>Converts customer pain into 2-4 measurable POV hypotheses and explicit exit criteria.</w:t>
            </w:r>
          </w:p>
        </w:tc>
        <w:tc>
          <w:tcPr>
            <w:tcW w:type="dxa" w:w="2760"/>
          </w:tcPr>
          <w:p>
            <w:pPr>
              <w:spacing w:after="0" w:line="264" w:lineRule="auto"/>
            </w:pPr>
            <w:r>
              <w:rPr>
                <w:rFonts w:ascii="Calibri" w:hAnsi="Calibri" w:eastAsia="Calibri"/>
                <w:b w:val="0"/>
                <w:i w:val="0"/>
                <w:color w:val="1E293B"/>
                <w:sz w:val="17"/>
              </w:rPr>
              <w:t>POV Success Plan</w:t>
            </w:r>
          </w:p>
        </w:tc>
      </w:tr>
      <w:tr>
        <w:trPr>
          <w:cantSplit/>
        </w:trPr>
        <w:tc>
          <w:tcPr>
            <w:tcW w:type="dxa" w:w="1700"/>
          </w:tcPr>
          <w:p>
            <w:pPr>
              <w:spacing w:after="0" w:line="264" w:lineRule="auto"/>
            </w:pPr>
            <w:r>
              <w:rPr>
                <w:rFonts w:ascii="Calibri" w:hAnsi="Calibri" w:eastAsia="Calibri"/>
                <w:b w:val="0"/>
                <w:i w:val="0"/>
                <w:color w:val="1E293B"/>
                <w:sz w:val="17"/>
              </w:rPr>
              <w:t>Prepare safely</w:t>
            </w:r>
          </w:p>
        </w:tc>
        <w:tc>
          <w:tcPr>
            <w:tcW w:type="dxa" w:w="4900"/>
          </w:tcPr>
          <w:p>
            <w:pPr>
              <w:spacing w:after="0" w:line="264" w:lineRule="auto"/>
            </w:pPr>
            <w:r>
              <w:rPr>
                <w:rFonts w:ascii="Calibri" w:hAnsi="Calibri" w:eastAsia="Calibri"/>
                <w:b w:val="0"/>
                <w:i w:val="0"/>
                <w:color w:val="1E293B"/>
                <w:sz w:val="17"/>
              </w:rPr>
              <w:t>Defines scope, roles, access, connector plan, data handling, timeline and escalation path.</w:t>
            </w:r>
          </w:p>
        </w:tc>
        <w:tc>
          <w:tcPr>
            <w:tcW w:type="dxa" w:w="2760"/>
          </w:tcPr>
          <w:p>
            <w:pPr>
              <w:spacing w:after="0" w:line="264" w:lineRule="auto"/>
            </w:pPr>
            <w:r>
              <w:rPr>
                <w:rFonts w:ascii="Calibri" w:hAnsi="Calibri" w:eastAsia="Calibri"/>
                <w:b w:val="0"/>
                <w:i w:val="0"/>
                <w:color w:val="1E293B"/>
                <w:sz w:val="17"/>
              </w:rPr>
              <w:t>Readiness Scorecard and RACI</w:t>
            </w:r>
          </w:p>
        </w:tc>
      </w:tr>
      <w:tr>
        <w:trPr>
          <w:cantSplit/>
        </w:trPr>
        <w:tc>
          <w:tcPr>
            <w:tcW w:type="dxa" w:w="1700"/>
          </w:tcPr>
          <w:p>
            <w:pPr>
              <w:spacing w:after="0" w:line="264" w:lineRule="auto"/>
            </w:pPr>
            <w:r>
              <w:rPr>
                <w:rFonts w:ascii="Calibri" w:hAnsi="Calibri" w:eastAsia="Calibri"/>
                <w:b w:val="0"/>
                <w:i w:val="0"/>
                <w:color w:val="1E293B"/>
                <w:sz w:val="17"/>
              </w:rPr>
              <w:t>Operate the POV</w:t>
            </w:r>
          </w:p>
        </w:tc>
        <w:tc>
          <w:tcPr>
            <w:tcW w:type="dxa" w:w="4900"/>
          </w:tcPr>
          <w:p>
            <w:pPr>
              <w:spacing w:after="0" w:line="264" w:lineRule="auto"/>
            </w:pPr>
            <w:r>
              <w:rPr>
                <w:rFonts w:ascii="Calibri" w:hAnsi="Calibri" w:eastAsia="Calibri"/>
                <w:b w:val="0"/>
                <w:i w:val="0"/>
                <w:color w:val="1E293B"/>
                <w:sz w:val="17"/>
              </w:rPr>
              <w:t>Runs Go/No-Go, first 24 hours, checkpoints, finding triage and issue recovery.</w:t>
            </w:r>
          </w:p>
        </w:tc>
        <w:tc>
          <w:tcPr>
            <w:tcW w:type="dxa" w:w="2760"/>
          </w:tcPr>
          <w:p>
            <w:pPr>
              <w:spacing w:after="0" w:line="264" w:lineRule="auto"/>
            </w:pPr>
            <w:r>
              <w:rPr>
                <w:rFonts w:ascii="Calibri" w:hAnsi="Calibri" w:eastAsia="Calibri"/>
                <w:b w:val="0"/>
                <w:i w:val="0"/>
                <w:color w:val="1E293B"/>
                <w:sz w:val="17"/>
              </w:rPr>
              <w:t>Execution log and facilitator observation</w:t>
            </w:r>
          </w:p>
        </w:tc>
      </w:tr>
      <w:tr>
        <w:trPr>
          <w:cantSplit/>
        </w:trPr>
        <w:tc>
          <w:tcPr>
            <w:tcW w:type="dxa" w:w="1700"/>
          </w:tcPr>
          <w:p>
            <w:pPr>
              <w:spacing w:after="0" w:line="264" w:lineRule="auto"/>
            </w:pPr>
            <w:r>
              <w:rPr>
                <w:rFonts w:ascii="Calibri" w:hAnsi="Calibri" w:eastAsia="Calibri"/>
                <w:b w:val="0"/>
                <w:i w:val="0"/>
                <w:color w:val="1E293B"/>
                <w:sz w:val="17"/>
              </w:rPr>
              <w:t>Interpret evidence</w:t>
            </w:r>
          </w:p>
        </w:tc>
        <w:tc>
          <w:tcPr>
            <w:tcW w:type="dxa" w:w="4900"/>
          </w:tcPr>
          <w:p>
            <w:pPr>
              <w:spacing w:after="0" w:line="264" w:lineRule="auto"/>
            </w:pPr>
            <w:r>
              <w:rPr>
                <w:rFonts w:ascii="Calibri" w:hAnsi="Calibri" w:eastAsia="Calibri"/>
                <w:b w:val="0"/>
                <w:i w:val="0"/>
                <w:color w:val="1E293B"/>
                <w:sz w:val="17"/>
              </w:rPr>
              <w:t>Prioritizes contextual risk and links evidence to owner, remediation and business impact.</w:t>
            </w:r>
          </w:p>
        </w:tc>
        <w:tc>
          <w:tcPr>
            <w:tcW w:type="dxa" w:w="2760"/>
          </w:tcPr>
          <w:p>
            <w:pPr>
              <w:spacing w:after="0" w:line="264" w:lineRule="auto"/>
            </w:pPr>
            <w:r>
              <w:rPr>
                <w:rFonts w:ascii="Calibri" w:hAnsi="Calibri" w:eastAsia="Calibri"/>
                <w:b w:val="0"/>
                <w:i w:val="0"/>
                <w:color w:val="1E293B"/>
                <w:sz w:val="17"/>
              </w:rPr>
              <w:t>Finding Evidence Log</w:t>
            </w:r>
          </w:p>
        </w:tc>
      </w:tr>
      <w:tr>
        <w:trPr>
          <w:cantSplit/>
        </w:trPr>
        <w:tc>
          <w:tcPr>
            <w:tcW w:type="dxa" w:w="1700"/>
          </w:tcPr>
          <w:p>
            <w:pPr>
              <w:spacing w:after="0" w:line="264" w:lineRule="auto"/>
            </w:pPr>
            <w:r>
              <w:rPr>
                <w:rFonts w:ascii="Calibri" w:hAnsi="Calibri" w:eastAsia="Calibri"/>
                <w:b w:val="0"/>
                <w:i w:val="0"/>
                <w:color w:val="1E293B"/>
                <w:sz w:val="17"/>
              </w:rPr>
              <w:t>Communicate decisions</w:t>
            </w:r>
          </w:p>
        </w:tc>
        <w:tc>
          <w:tcPr>
            <w:tcW w:type="dxa" w:w="4900"/>
          </w:tcPr>
          <w:p>
            <w:pPr>
              <w:spacing w:after="0" w:line="264" w:lineRule="auto"/>
            </w:pPr>
            <w:r>
              <w:rPr>
                <w:rFonts w:ascii="Calibri" w:hAnsi="Calibri" w:eastAsia="Calibri"/>
                <w:b w:val="0"/>
                <w:i w:val="0"/>
                <w:color w:val="1E293B"/>
                <w:sz w:val="17"/>
              </w:rPr>
              <w:t>Adapts the narrative by persona, handles objections and lands a clear next decision.</w:t>
            </w:r>
          </w:p>
        </w:tc>
        <w:tc>
          <w:tcPr>
            <w:tcW w:type="dxa" w:w="2760"/>
          </w:tcPr>
          <w:p>
            <w:pPr>
              <w:spacing w:after="0" w:line="264" w:lineRule="auto"/>
            </w:pPr>
            <w:r>
              <w:rPr>
                <w:rFonts w:ascii="Calibri" w:hAnsi="Calibri" w:eastAsia="Calibri"/>
                <w:b w:val="0"/>
                <w:i w:val="0"/>
                <w:color w:val="1E293B"/>
                <w:sz w:val="17"/>
              </w:rPr>
              <w:t>Technical review and executive playback</w:t>
            </w:r>
          </w:p>
        </w:tc>
      </w:tr>
      <w:tr>
        <w:trPr>
          <w:cantSplit/>
        </w:trPr>
        <w:tc>
          <w:tcPr>
            <w:tcW w:type="dxa" w:w="1700"/>
          </w:tcPr>
          <w:p>
            <w:pPr>
              <w:spacing w:after="0" w:line="264" w:lineRule="auto"/>
            </w:pPr>
            <w:r>
              <w:rPr>
                <w:rFonts w:ascii="Calibri" w:hAnsi="Calibri" w:eastAsia="Calibri"/>
                <w:b w:val="0"/>
                <w:i w:val="0"/>
                <w:color w:val="1E293B"/>
                <w:sz w:val="17"/>
              </w:rPr>
              <w:t>Lead responsibly</w:t>
            </w:r>
          </w:p>
        </w:tc>
        <w:tc>
          <w:tcPr>
            <w:tcW w:type="dxa" w:w="4900"/>
          </w:tcPr>
          <w:p>
            <w:pPr>
              <w:spacing w:after="0" w:line="264" w:lineRule="auto"/>
            </w:pPr>
            <w:r>
              <w:rPr>
                <w:rFonts w:ascii="Calibri" w:hAnsi="Calibri" w:eastAsia="Calibri"/>
                <w:b w:val="0"/>
                <w:i w:val="0"/>
                <w:color w:val="1E293B"/>
                <w:sz w:val="17"/>
              </w:rPr>
              <w:t>Maintains discipline, protects customer trust and uses escalation appropriately.</w:t>
            </w:r>
          </w:p>
        </w:tc>
        <w:tc>
          <w:tcPr>
            <w:tcW w:type="dxa" w:w="2760"/>
          </w:tcPr>
          <w:p>
            <w:pPr>
              <w:spacing w:after="0" w:line="264" w:lineRule="auto"/>
            </w:pPr>
            <w:r>
              <w:rPr>
                <w:rFonts w:ascii="Calibri" w:hAnsi="Calibri" w:eastAsia="Calibri"/>
                <w:b w:val="0"/>
                <w:i w:val="0"/>
                <w:color w:val="1E293B"/>
                <w:sz w:val="17"/>
              </w:rPr>
              <w:t>Field mentor evaluation</w:t>
            </w:r>
          </w:p>
        </w:tc>
      </w:tr>
    </w:tbl>
    <w:p>
      <w:pPr>
        <w:spacing w:after="20"/>
        <w:widowControl/>
      </w:pPr>
    </w:p>
    <w:p>
      <w:pPr>
        <w:pStyle w:val="Heading2"/>
        <w:widowControl/>
      </w:pPr>
      <w:r>
        <w:t>6. Learning Journey</w:t>
      </w:r>
    </w:p>
    <w:tbl>
      <w:tblPr>
        <w:tblStyle w:val="TableGrid"/>
        <w:tblW w:type="dxa" w:w="9360"/>
        <w:jc w:val="left"/>
        <w:tblLayout w:type="fixed"/>
        <w:tblLook w:firstColumn="1" w:firstRow="1" w:lastColumn="0" w:lastRow="0" w:noHBand="0" w:noVBand="1" w:val="04A0"/>
        <w:tblInd w:w="120" w:type="dxa"/>
      </w:tblPr>
      <w:tblGrid>
        <w:gridCol w:w="1800"/>
        <w:gridCol w:w="1400"/>
        <w:gridCol w:w="3860"/>
        <w:gridCol w:w="2300"/>
      </w:tblGrid>
      <w:tr>
        <w:trPr>
          <w:tblHeader w:val="true"/>
        </w:trPr>
        <w:tc>
          <w:tcPr>
            <w:tcW w:type="dxa" w:w="18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Stage</w:t>
            </w:r>
          </w:p>
        </w:tc>
        <w:tc>
          <w:tcPr>
            <w:tcW w:type="dxa" w:w="14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Duration</w:t>
            </w:r>
          </w:p>
        </w:tc>
        <w:tc>
          <w:tcPr>
            <w:tcW w:type="dxa" w:w="38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Primary Outcome</w:t>
            </w:r>
          </w:p>
        </w:tc>
        <w:tc>
          <w:tcPr>
            <w:tcW w:type="dxa" w:w="23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Gate</w:t>
            </w:r>
          </w:p>
        </w:tc>
      </w:tr>
      <w:tr>
        <w:trPr>
          <w:cantSplit/>
        </w:trPr>
        <w:tc>
          <w:tcPr>
            <w:tcW w:type="dxa" w:w="1800"/>
          </w:tcPr>
          <w:p>
            <w:pPr>
              <w:spacing w:after="0" w:line="264" w:lineRule="auto"/>
            </w:pPr>
            <w:r>
              <w:rPr>
                <w:rFonts w:ascii="Calibri" w:hAnsi="Calibri" w:eastAsia="Calibri"/>
                <w:b w:val="0"/>
                <w:i w:val="0"/>
                <w:color w:val="1E293B"/>
                <w:sz w:val="18"/>
              </w:rPr>
              <w:t>1. Foundation</w:t>
            </w:r>
          </w:p>
        </w:tc>
        <w:tc>
          <w:tcPr>
            <w:tcW w:type="dxa" w:w="1400"/>
          </w:tcPr>
          <w:p>
            <w:pPr>
              <w:spacing w:after="0" w:line="264" w:lineRule="auto"/>
            </w:pPr>
            <w:r>
              <w:rPr>
                <w:rFonts w:ascii="Calibri" w:hAnsi="Calibri" w:eastAsia="Calibri"/>
                <w:b w:val="0"/>
                <w:i w:val="0"/>
                <w:color w:val="1E293B"/>
                <w:sz w:val="18"/>
              </w:rPr>
              <w:t>1-2 weeks</w:t>
            </w:r>
          </w:p>
        </w:tc>
        <w:tc>
          <w:tcPr>
            <w:tcW w:type="dxa" w:w="3860"/>
          </w:tcPr>
          <w:p>
            <w:pPr>
              <w:spacing w:after="0" w:line="264" w:lineRule="auto"/>
            </w:pPr>
            <w:r>
              <w:rPr>
                <w:rFonts w:ascii="Calibri" w:hAnsi="Calibri" w:eastAsia="Calibri"/>
                <w:b w:val="0"/>
                <w:i w:val="0"/>
                <w:color w:val="1E293B"/>
                <w:sz w:val="18"/>
              </w:rPr>
              <w:t>Common product, cloud and persona baseline.</w:t>
            </w:r>
          </w:p>
        </w:tc>
        <w:tc>
          <w:tcPr>
            <w:tcW w:type="dxa" w:w="2300"/>
          </w:tcPr>
          <w:p>
            <w:pPr>
              <w:spacing w:after="0" w:line="264" w:lineRule="auto"/>
            </w:pPr>
            <w:r>
              <w:rPr>
                <w:rFonts w:ascii="Calibri" w:hAnsi="Calibri" w:eastAsia="Calibri"/>
                <w:b w:val="0"/>
                <w:i w:val="0"/>
                <w:color w:val="1E293B"/>
                <w:sz w:val="18"/>
              </w:rPr>
              <w:t>Pre-work pass</w:t>
            </w:r>
          </w:p>
        </w:tc>
      </w:tr>
      <w:tr>
        <w:trPr>
          <w:cantSplit/>
        </w:trPr>
        <w:tc>
          <w:tcPr>
            <w:tcW w:type="dxa" w:w="1800"/>
          </w:tcPr>
          <w:p>
            <w:pPr>
              <w:spacing w:after="0" w:line="264" w:lineRule="auto"/>
            </w:pPr>
            <w:r>
              <w:rPr>
                <w:rFonts w:ascii="Calibri" w:hAnsi="Calibri" w:eastAsia="Calibri"/>
                <w:b w:val="0"/>
                <w:i w:val="0"/>
                <w:color w:val="1E293B"/>
                <w:sz w:val="18"/>
              </w:rPr>
              <w:t>2. Live Dojo</w:t>
            </w:r>
          </w:p>
        </w:tc>
        <w:tc>
          <w:tcPr>
            <w:tcW w:type="dxa" w:w="1400"/>
          </w:tcPr>
          <w:p>
            <w:pPr>
              <w:spacing w:after="0" w:line="264" w:lineRule="auto"/>
            </w:pPr>
            <w:r>
              <w:rPr>
                <w:rFonts w:ascii="Calibri" w:hAnsi="Calibri" w:eastAsia="Calibri"/>
                <w:b w:val="0"/>
                <w:i w:val="0"/>
                <w:color w:val="1E293B"/>
                <w:sz w:val="18"/>
              </w:rPr>
              <w:t>2 days</w:t>
            </w:r>
          </w:p>
        </w:tc>
        <w:tc>
          <w:tcPr>
            <w:tcW w:type="dxa" w:w="3860"/>
          </w:tcPr>
          <w:p>
            <w:pPr>
              <w:spacing w:after="0" w:line="264" w:lineRule="auto"/>
            </w:pPr>
            <w:r>
              <w:rPr>
                <w:rFonts w:ascii="Calibri" w:hAnsi="Calibri" w:eastAsia="Calibri"/>
                <w:b w:val="0"/>
                <w:i w:val="0"/>
                <w:color w:val="1E293B"/>
                <w:sz w:val="18"/>
              </w:rPr>
              <w:t>End-to-end simulated POV execution.</w:t>
            </w:r>
          </w:p>
        </w:tc>
        <w:tc>
          <w:tcPr>
            <w:tcW w:type="dxa" w:w="2300"/>
          </w:tcPr>
          <w:p>
            <w:pPr>
              <w:spacing w:after="0" w:line="264" w:lineRule="auto"/>
            </w:pPr>
            <w:r>
              <w:rPr>
                <w:rFonts w:ascii="Calibri" w:hAnsi="Calibri" w:eastAsia="Calibri"/>
                <w:b w:val="0"/>
                <w:i w:val="0"/>
                <w:color w:val="1E293B"/>
                <w:sz w:val="18"/>
              </w:rPr>
              <w:t>Capstone &gt;= 80 with no critical fail</w:t>
            </w:r>
          </w:p>
        </w:tc>
      </w:tr>
      <w:tr>
        <w:trPr>
          <w:cantSplit/>
        </w:trPr>
        <w:tc>
          <w:tcPr>
            <w:tcW w:type="dxa" w:w="1800"/>
          </w:tcPr>
          <w:p>
            <w:pPr>
              <w:spacing w:after="0" w:line="264" w:lineRule="auto"/>
            </w:pPr>
            <w:r>
              <w:rPr>
                <w:rFonts w:ascii="Calibri" w:hAnsi="Calibri" w:eastAsia="Calibri"/>
                <w:b w:val="0"/>
                <w:i w:val="0"/>
                <w:color w:val="1E293B"/>
                <w:sz w:val="18"/>
              </w:rPr>
              <w:t>3. Field Practicum</w:t>
            </w:r>
          </w:p>
        </w:tc>
        <w:tc>
          <w:tcPr>
            <w:tcW w:type="dxa" w:w="1400"/>
          </w:tcPr>
          <w:p>
            <w:pPr>
              <w:spacing w:after="0" w:line="264" w:lineRule="auto"/>
            </w:pPr>
            <w:r>
              <w:rPr>
                <w:rFonts w:ascii="Calibri" w:hAnsi="Calibri" w:eastAsia="Calibri"/>
                <w:b w:val="0"/>
                <w:i w:val="0"/>
                <w:color w:val="1E293B"/>
                <w:sz w:val="18"/>
              </w:rPr>
              <w:t>30-45 days</w:t>
            </w:r>
          </w:p>
        </w:tc>
        <w:tc>
          <w:tcPr>
            <w:tcW w:type="dxa" w:w="3860"/>
          </w:tcPr>
          <w:p>
            <w:pPr>
              <w:spacing w:after="0" w:line="264" w:lineRule="auto"/>
            </w:pPr>
            <w:r>
              <w:rPr>
                <w:rFonts w:ascii="Calibri" w:hAnsi="Calibri" w:eastAsia="Calibri"/>
                <w:b w:val="0"/>
                <w:i w:val="0"/>
                <w:color w:val="1E293B"/>
                <w:sz w:val="18"/>
              </w:rPr>
              <w:t>Observed execution on a live qualified opportunity.</w:t>
            </w:r>
          </w:p>
        </w:tc>
        <w:tc>
          <w:tcPr>
            <w:tcW w:type="dxa" w:w="2300"/>
          </w:tcPr>
          <w:p>
            <w:pPr>
              <w:spacing w:after="0" w:line="264" w:lineRule="auto"/>
            </w:pPr>
            <w:r>
              <w:rPr>
                <w:rFonts w:ascii="Calibri" w:hAnsi="Calibri" w:eastAsia="Calibri"/>
                <w:b w:val="0"/>
                <w:i w:val="0"/>
                <w:color w:val="1E293B"/>
                <w:sz w:val="18"/>
              </w:rPr>
              <w:t>Mentor sign-off</w:t>
            </w:r>
          </w:p>
        </w:tc>
      </w:tr>
      <w:tr>
        <w:trPr>
          <w:cantSplit/>
        </w:trPr>
        <w:tc>
          <w:tcPr>
            <w:tcW w:type="dxa" w:w="1800"/>
          </w:tcPr>
          <w:p>
            <w:pPr>
              <w:spacing w:after="0" w:line="264" w:lineRule="auto"/>
            </w:pPr>
            <w:r>
              <w:rPr>
                <w:rFonts w:ascii="Calibri" w:hAnsi="Calibri" w:eastAsia="Calibri"/>
                <w:b w:val="0"/>
                <w:i w:val="0"/>
                <w:color w:val="1E293B"/>
                <w:sz w:val="18"/>
              </w:rPr>
              <w:t>4. Accreditation</w:t>
            </w:r>
          </w:p>
        </w:tc>
        <w:tc>
          <w:tcPr>
            <w:tcW w:type="dxa" w:w="1400"/>
          </w:tcPr>
          <w:p>
            <w:pPr>
              <w:spacing w:after="0" w:line="264" w:lineRule="auto"/>
            </w:pPr>
            <w:r>
              <w:rPr>
                <w:rFonts w:ascii="Calibri" w:hAnsi="Calibri" w:eastAsia="Calibri"/>
                <w:b w:val="0"/>
                <w:i w:val="0"/>
                <w:color w:val="1E293B"/>
                <w:sz w:val="18"/>
              </w:rPr>
              <w:t>60-minute board</w:t>
            </w:r>
          </w:p>
        </w:tc>
        <w:tc>
          <w:tcPr>
            <w:tcW w:type="dxa" w:w="3860"/>
          </w:tcPr>
          <w:p>
            <w:pPr>
              <w:spacing w:after="0" w:line="264" w:lineRule="auto"/>
            </w:pPr>
            <w:r>
              <w:rPr>
                <w:rFonts w:ascii="Calibri" w:hAnsi="Calibri" w:eastAsia="Calibri"/>
                <w:b w:val="0"/>
                <w:i w:val="0"/>
                <w:color w:val="1E293B"/>
                <w:sz w:val="18"/>
              </w:rPr>
              <w:t>Evidence review and level assignment.</w:t>
            </w:r>
          </w:p>
        </w:tc>
        <w:tc>
          <w:tcPr>
            <w:tcW w:type="dxa" w:w="2300"/>
          </w:tcPr>
          <w:p>
            <w:pPr>
              <w:spacing w:after="0" w:line="264" w:lineRule="auto"/>
            </w:pPr>
            <w:r>
              <w:rPr>
                <w:rFonts w:ascii="Calibri" w:hAnsi="Calibri" w:eastAsia="Calibri"/>
                <w:b w:val="0"/>
                <w:i w:val="0"/>
                <w:color w:val="1E293B"/>
                <w:sz w:val="18"/>
              </w:rPr>
              <w:t>Accreditation decision</w:t>
            </w:r>
          </w:p>
        </w:tc>
      </w:tr>
      <w:tr>
        <w:trPr>
          <w:cantSplit/>
        </w:trPr>
        <w:tc>
          <w:tcPr>
            <w:tcW w:type="dxa" w:w="1800"/>
          </w:tcPr>
          <w:p>
            <w:pPr>
              <w:spacing w:after="0" w:line="264" w:lineRule="auto"/>
            </w:pPr>
            <w:r>
              <w:rPr>
                <w:rFonts w:ascii="Calibri" w:hAnsi="Calibri" w:eastAsia="Calibri"/>
                <w:b w:val="0"/>
                <w:i w:val="0"/>
                <w:color w:val="1E293B"/>
                <w:sz w:val="18"/>
              </w:rPr>
              <w:t>5. Renewal</w:t>
            </w:r>
          </w:p>
        </w:tc>
        <w:tc>
          <w:tcPr>
            <w:tcW w:type="dxa" w:w="1400"/>
          </w:tcPr>
          <w:p>
            <w:pPr>
              <w:spacing w:after="0" w:line="264" w:lineRule="auto"/>
            </w:pPr>
            <w:r>
              <w:rPr>
                <w:rFonts w:ascii="Calibri" w:hAnsi="Calibri" w:eastAsia="Calibri"/>
                <w:b w:val="0"/>
                <w:i w:val="0"/>
                <w:color w:val="1E293B"/>
                <w:sz w:val="18"/>
              </w:rPr>
              <w:t>Every 12 months</w:t>
            </w:r>
          </w:p>
        </w:tc>
        <w:tc>
          <w:tcPr>
            <w:tcW w:type="dxa" w:w="3860"/>
          </w:tcPr>
          <w:p>
            <w:pPr>
              <w:spacing w:after="0" w:line="264" w:lineRule="auto"/>
            </w:pPr>
            <w:r>
              <w:rPr>
                <w:rFonts w:ascii="Calibri" w:hAnsi="Calibri" w:eastAsia="Calibri"/>
                <w:b w:val="0"/>
                <w:i w:val="0"/>
                <w:color w:val="1E293B"/>
                <w:sz w:val="18"/>
              </w:rPr>
              <w:t>Current product knowledge and recent field evidence.</w:t>
            </w:r>
          </w:p>
        </w:tc>
        <w:tc>
          <w:tcPr>
            <w:tcW w:type="dxa" w:w="2300"/>
          </w:tcPr>
          <w:p>
            <w:pPr>
              <w:spacing w:after="0" w:line="264" w:lineRule="auto"/>
            </w:pPr>
            <w:r>
              <w:rPr>
                <w:rFonts w:ascii="Calibri" w:hAnsi="Calibri" w:eastAsia="Calibri"/>
                <w:b w:val="0"/>
                <w:i w:val="0"/>
                <w:color w:val="1E293B"/>
                <w:sz w:val="18"/>
              </w:rPr>
              <w:t>Light recertification</w:t>
            </w:r>
          </w:p>
        </w:tc>
      </w:tr>
    </w:tbl>
    <w:p>
      <w:pPr>
        <w:spacing w:after="20"/>
        <w:widowControl/>
      </w:pPr>
    </w:p>
    <w:p>
      <w:pPr>
        <w:spacing w:after="120" w:line="300" w:lineRule="auto"/>
        <w:widowControl/>
      </w:pPr>
      <w:r>
        <w:rPr>
          <w:rFonts w:ascii="Calibri" w:hAnsi="Calibri" w:eastAsia="Calibri"/>
          <w:b w:val="0"/>
          <w:i w:val="0"/>
          <w:color w:val="1E293B"/>
          <w:sz w:val="22"/>
        </w:rPr>
        <w:t>Suggested delivery ratio for the live Dojo: approximately 30% instruction and 70% facilitated practice, role play, team work and feedback.</w:t>
      </w:r>
    </w:p>
    <w:p>
      <w:pPr>
        <w:pStyle w:val="Heading1"/>
        <w:widowControl/>
      </w:pPr>
      <w:r>
        <w:t>II. Golden Scenario</w:t>
      </w:r>
    </w:p>
    <w:p>
      <w:pPr>
        <w:pStyle w:val="Heading2"/>
        <w:widowControl/>
      </w:pPr>
      <w:r>
        <w:t>7. Golden Customer: Asteria Digital Holdings</w:t>
      </w:r>
    </w:p>
    <w:p>
      <w:pPr>
        <w:keepLines/>
        <w:spacing w:before="80" w:after="200"/>
        <w:widowControl/>
      </w:pPr>
      <w:r>
        <w:rPr>
          <w:rFonts w:ascii="Calibri" w:hAnsi="Calibri" w:eastAsia="Calibri"/>
          <w:b/>
          <w:i w:val="0"/>
          <w:color w:val="000000"/>
          <w:sz w:val="21"/>
        </w:rPr>
        <w:t xml:space="preserve">FICTIONAL CUSTOMER: </w:t>
      </w:r>
      <w:r>
        <w:rPr>
          <w:rFonts w:ascii="Calibri" w:hAnsi="Calibri" w:eastAsia="Calibri"/>
          <w:b w:val="0"/>
          <w:i w:val="0"/>
          <w:color w:val="1E293B"/>
          <w:sz w:val="21"/>
        </w:rPr>
        <w:t>Asteria Digital Holdings is a synthetic APJ enterprise created solely for training. No real customer data, credentials or production workloads are used.</w:t>
      </w:r>
    </w:p>
    <w:p>
      <w:pPr>
        <w:pStyle w:val="Heading3"/>
        <w:widowControl/>
      </w:pPr>
      <w:r>
        <w:t>Company profile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Attribute</w:t>
            </w:r>
          </w:p>
        </w:tc>
        <w:tc>
          <w:tcPr>
            <w:tcW w:type="dxa" w:w="74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Scenario Detail</w:t>
            </w:r>
          </w:p>
        </w:tc>
      </w:tr>
      <w:tr>
        <w:trPr>
          <w:cantSplit/>
        </w:trPr>
        <w:tc>
          <w:tcPr>
            <w:tcW w:type="dxa" w:w="1900"/>
          </w:tcPr>
          <w:p>
            <w:pPr>
              <w:spacing w:after="0" w:line="264" w:lineRule="auto"/>
            </w:pPr>
            <w:r>
              <w:rPr>
                <w:rFonts w:ascii="Calibri" w:hAnsi="Calibri" w:eastAsia="Calibri"/>
                <w:b w:val="0"/>
                <w:i w:val="0"/>
                <w:color w:val="1E293B"/>
                <w:sz w:val="18"/>
              </w:rPr>
              <w:t>Business</w:t>
            </w:r>
          </w:p>
        </w:tc>
        <w:tc>
          <w:tcPr>
            <w:tcW w:type="dxa" w:w="7460"/>
          </w:tcPr>
          <w:p>
            <w:pPr>
              <w:spacing w:after="0" w:line="264" w:lineRule="auto"/>
            </w:pPr>
            <w:r>
              <w:rPr>
                <w:rFonts w:ascii="Calibri" w:hAnsi="Calibri" w:eastAsia="Calibri"/>
                <w:b w:val="0"/>
                <w:i w:val="0"/>
                <w:color w:val="1E293B"/>
                <w:sz w:val="18"/>
              </w:rPr>
              <w:t>Digital commerce, payments and consumer loyalty platforms operating across eight APJ markets.</w:t>
            </w:r>
          </w:p>
        </w:tc>
      </w:tr>
      <w:tr>
        <w:trPr>
          <w:cantSplit/>
        </w:trPr>
        <w:tc>
          <w:tcPr>
            <w:tcW w:type="dxa" w:w="1900"/>
          </w:tcPr>
          <w:p>
            <w:pPr>
              <w:spacing w:after="0" w:line="264" w:lineRule="auto"/>
            </w:pPr>
            <w:r>
              <w:rPr>
                <w:rFonts w:ascii="Calibri" w:hAnsi="Calibri" w:eastAsia="Calibri"/>
                <w:b w:val="0"/>
                <w:i w:val="0"/>
                <w:color w:val="1E293B"/>
                <w:sz w:val="18"/>
              </w:rPr>
              <w:t>Headquarters</w:t>
            </w:r>
          </w:p>
        </w:tc>
        <w:tc>
          <w:tcPr>
            <w:tcW w:type="dxa" w:w="7460"/>
          </w:tcPr>
          <w:p>
            <w:pPr>
              <w:spacing w:after="0" w:line="264" w:lineRule="auto"/>
            </w:pPr>
            <w:r>
              <w:rPr>
                <w:rFonts w:ascii="Calibri" w:hAnsi="Calibri" w:eastAsia="Calibri"/>
                <w:b w:val="0"/>
                <w:i w:val="0"/>
                <w:color w:val="1E293B"/>
                <w:sz w:val="18"/>
              </w:rPr>
              <w:t>Singapore, with major engineering hubs in Australia, India, Japan and Korea.</w:t>
            </w:r>
          </w:p>
        </w:tc>
      </w:tr>
      <w:tr>
        <w:trPr>
          <w:cantSplit/>
        </w:trPr>
        <w:tc>
          <w:tcPr>
            <w:tcW w:type="dxa" w:w="1900"/>
          </w:tcPr>
          <w:p>
            <w:pPr>
              <w:spacing w:after="0" w:line="264" w:lineRule="auto"/>
            </w:pPr>
            <w:r>
              <w:rPr>
                <w:rFonts w:ascii="Calibri" w:hAnsi="Calibri" w:eastAsia="Calibri"/>
                <w:b w:val="0"/>
                <w:i w:val="0"/>
                <w:color w:val="1E293B"/>
                <w:sz w:val="18"/>
              </w:rPr>
              <w:t>Scale</w:t>
            </w:r>
          </w:p>
        </w:tc>
        <w:tc>
          <w:tcPr>
            <w:tcW w:type="dxa" w:w="7460"/>
          </w:tcPr>
          <w:p>
            <w:pPr>
              <w:spacing w:after="0" w:line="264" w:lineRule="auto"/>
            </w:pPr>
            <w:r>
              <w:rPr>
                <w:rFonts w:ascii="Calibri" w:hAnsi="Calibri" w:eastAsia="Calibri"/>
                <w:b w:val="0"/>
                <w:i w:val="0"/>
                <w:color w:val="1E293B"/>
                <w:sz w:val="18"/>
              </w:rPr>
              <w:t>Approximately 14,000 employees and 2,300 engineers across central and business-unit teams.</w:t>
            </w:r>
          </w:p>
        </w:tc>
      </w:tr>
      <w:tr>
        <w:trPr>
          <w:cantSplit/>
        </w:trPr>
        <w:tc>
          <w:tcPr>
            <w:tcW w:type="dxa" w:w="1900"/>
          </w:tcPr>
          <w:p>
            <w:pPr>
              <w:spacing w:after="0" w:line="264" w:lineRule="auto"/>
            </w:pPr>
            <w:r>
              <w:rPr>
                <w:rFonts w:ascii="Calibri" w:hAnsi="Calibri" w:eastAsia="Calibri"/>
                <w:b w:val="0"/>
                <w:i w:val="0"/>
                <w:color w:val="1E293B"/>
                <w:sz w:val="18"/>
              </w:rPr>
              <w:t>Operating model</w:t>
            </w:r>
          </w:p>
        </w:tc>
        <w:tc>
          <w:tcPr>
            <w:tcW w:type="dxa" w:w="7460"/>
          </w:tcPr>
          <w:p>
            <w:pPr>
              <w:spacing w:after="0" w:line="264" w:lineRule="auto"/>
            </w:pPr>
            <w:r>
              <w:rPr>
                <w:rFonts w:ascii="Calibri" w:hAnsi="Calibri" w:eastAsia="Calibri"/>
                <w:b w:val="0"/>
                <w:i w:val="0"/>
                <w:color w:val="1E293B"/>
                <w:sz w:val="18"/>
              </w:rPr>
              <w:t>Central cloud platform and security teams; decentralized product teams; two recent acquisitions.</w:t>
            </w:r>
          </w:p>
        </w:tc>
      </w:tr>
      <w:tr>
        <w:trPr>
          <w:cantSplit/>
        </w:trPr>
        <w:tc>
          <w:tcPr>
            <w:tcW w:type="dxa" w:w="1900"/>
          </w:tcPr>
          <w:p>
            <w:pPr>
              <w:spacing w:after="0" w:line="264" w:lineRule="auto"/>
            </w:pPr>
            <w:r>
              <w:rPr>
                <w:rFonts w:ascii="Calibri" w:hAnsi="Calibri" w:eastAsia="Calibri"/>
                <w:b w:val="0"/>
                <w:i w:val="0"/>
                <w:color w:val="1E293B"/>
                <w:sz w:val="18"/>
              </w:rPr>
              <w:t>Cloud strategy</w:t>
            </w:r>
          </w:p>
        </w:tc>
        <w:tc>
          <w:tcPr>
            <w:tcW w:type="dxa" w:w="7460"/>
          </w:tcPr>
          <w:p>
            <w:pPr>
              <w:spacing w:after="0" w:line="264" w:lineRule="auto"/>
            </w:pPr>
            <w:r>
              <w:rPr>
                <w:rFonts w:ascii="Calibri" w:hAnsi="Calibri" w:eastAsia="Calibri"/>
                <w:b w:val="0"/>
                <w:i w:val="0"/>
                <w:color w:val="1E293B"/>
                <w:sz w:val="18"/>
              </w:rPr>
              <w:t>AWS-first heritage, Azure for enterprise workloads and GCP for analytics and AI.</w:t>
            </w:r>
          </w:p>
        </w:tc>
      </w:tr>
      <w:tr>
        <w:trPr>
          <w:cantSplit/>
        </w:trPr>
        <w:tc>
          <w:tcPr>
            <w:tcW w:type="dxa" w:w="1900"/>
          </w:tcPr>
          <w:p>
            <w:pPr>
              <w:spacing w:after="0" w:line="264" w:lineRule="auto"/>
            </w:pPr>
            <w:r>
              <w:rPr>
                <w:rFonts w:ascii="Calibri" w:hAnsi="Calibri" w:eastAsia="Calibri"/>
                <w:b w:val="0"/>
                <w:i w:val="0"/>
                <w:color w:val="1E293B"/>
                <w:sz w:val="18"/>
              </w:rPr>
              <w:t>Business trigger</w:t>
            </w:r>
          </w:p>
        </w:tc>
        <w:tc>
          <w:tcPr>
            <w:tcW w:type="dxa" w:w="7460"/>
          </w:tcPr>
          <w:p>
            <w:pPr>
              <w:spacing w:after="0" w:line="264" w:lineRule="auto"/>
            </w:pPr>
            <w:r>
              <w:rPr>
                <w:rFonts w:ascii="Calibri" w:hAnsi="Calibri" w:eastAsia="Calibri"/>
                <w:b w:val="0"/>
                <w:i w:val="0"/>
                <w:color w:val="1E293B"/>
                <w:sz w:val="18"/>
              </w:rPr>
              <w:t>Board-directed cloud risk reduction program before a major regional product launch.</w:t>
            </w:r>
          </w:p>
        </w:tc>
      </w:tr>
      <w:tr>
        <w:trPr>
          <w:cantSplit/>
        </w:trPr>
        <w:tc>
          <w:tcPr>
            <w:tcW w:type="dxa" w:w="1900"/>
          </w:tcPr>
          <w:p>
            <w:pPr>
              <w:spacing w:after="0" w:line="264" w:lineRule="auto"/>
            </w:pPr>
            <w:r>
              <w:rPr>
                <w:rFonts w:ascii="Calibri" w:hAnsi="Calibri" w:eastAsia="Calibri"/>
                <w:b w:val="0"/>
                <w:i w:val="0"/>
                <w:color w:val="1E293B"/>
                <w:sz w:val="18"/>
              </w:rPr>
              <w:t>Buying motion</w:t>
            </w:r>
          </w:p>
        </w:tc>
        <w:tc>
          <w:tcPr>
            <w:tcW w:type="dxa" w:w="7460"/>
          </w:tcPr>
          <w:p>
            <w:pPr>
              <w:spacing w:after="0" w:line="264" w:lineRule="auto"/>
            </w:pPr>
            <w:r>
              <w:rPr>
                <w:rFonts w:ascii="Calibri" w:hAnsi="Calibri" w:eastAsia="Calibri"/>
                <w:b w:val="0"/>
                <w:i w:val="0"/>
                <w:color w:val="1E293B"/>
                <w:sz w:val="18"/>
              </w:rPr>
              <w:t>Four-week evaluation with technical validation, executive outcome review and commercial decision.</w:t>
            </w:r>
          </w:p>
        </w:tc>
      </w:tr>
    </w:tbl>
    <w:p>
      <w:pPr>
        <w:spacing w:after="20"/>
        <w:widowControl/>
      </w:pPr>
    </w:p>
    <w:p>
      <w:pPr>
        <w:pStyle w:val="Heading3"/>
        <w:widowControl/>
      </w:pPr>
      <w:r>
        <w:t>Representative estate</w:t>
      </w:r>
    </w:p>
    <w:tbl>
      <w:tblPr>
        <w:tblStyle w:val="TableGrid"/>
        <w:tblW w:type="dxa" w:w="9360"/>
        <w:jc w:val="left"/>
        <w:tblLayout w:type="fixed"/>
        <w:tblLook w:firstColumn="1" w:firstRow="1" w:lastColumn="0" w:lastRow="0" w:noHBand="0" w:noVBand="1" w:val="04A0"/>
        <w:tblInd w:w="120" w:type="dxa"/>
      </w:tblPr>
      <w:tblGrid>
        <w:gridCol w:w="1600"/>
        <w:gridCol w:w="4250"/>
        <w:gridCol w:w="3510"/>
      </w:tblGrid>
      <w:tr>
        <w:trPr>
          <w:tblHeader w:val="true"/>
        </w:trPr>
        <w:tc>
          <w:tcPr>
            <w:tcW w:type="dxa" w:w="16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Domain</w:t>
            </w:r>
          </w:p>
        </w:tc>
        <w:tc>
          <w:tcPr>
            <w:tcW w:type="dxa" w:w="42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Production-like Customer Context</w:t>
            </w:r>
          </w:p>
        </w:tc>
        <w:tc>
          <w:tcPr>
            <w:tcW w:type="dxa" w:w="351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Golden Tenant Subset</w:t>
            </w:r>
          </w:p>
        </w:tc>
      </w:tr>
      <w:tr>
        <w:trPr>
          <w:cantSplit/>
        </w:trPr>
        <w:tc>
          <w:tcPr>
            <w:tcW w:type="dxa" w:w="1600"/>
          </w:tcPr>
          <w:p>
            <w:pPr>
              <w:spacing w:after="0" w:line="264" w:lineRule="auto"/>
            </w:pPr>
            <w:r>
              <w:rPr>
                <w:rFonts w:ascii="Calibri" w:hAnsi="Calibri" w:eastAsia="Calibri"/>
                <w:b w:val="0"/>
                <w:i w:val="0"/>
                <w:color w:val="1E293B"/>
                <w:sz w:val="17"/>
              </w:rPr>
              <w:t>AWS</w:t>
            </w:r>
          </w:p>
        </w:tc>
        <w:tc>
          <w:tcPr>
            <w:tcW w:type="dxa" w:w="4250"/>
          </w:tcPr>
          <w:p>
            <w:pPr>
              <w:spacing w:after="0" w:line="264" w:lineRule="auto"/>
            </w:pPr>
            <w:r>
              <w:rPr>
                <w:rFonts w:ascii="Calibri" w:hAnsi="Calibri" w:eastAsia="Calibri"/>
                <w:b w:val="0"/>
                <w:i w:val="0"/>
                <w:color w:val="1E293B"/>
                <w:sz w:val="17"/>
              </w:rPr>
              <w:t>180 accounts; EKS, EC2, Lambda, RDS, S3, IAM and multi-account networking.</w:t>
            </w:r>
          </w:p>
        </w:tc>
        <w:tc>
          <w:tcPr>
            <w:tcW w:type="dxa" w:w="3510"/>
          </w:tcPr>
          <w:p>
            <w:pPr>
              <w:spacing w:after="0" w:line="264" w:lineRule="auto"/>
            </w:pPr>
            <w:r>
              <w:rPr>
                <w:rFonts w:ascii="Calibri" w:hAnsi="Calibri" w:eastAsia="Calibri"/>
                <w:b w:val="0"/>
                <w:i w:val="0"/>
                <w:color w:val="1E293B"/>
                <w:sz w:val="17"/>
              </w:rPr>
              <w:t>6 accounts; EKS application, RDS, S3, Lambda and IAM scenarios.</w:t>
            </w:r>
          </w:p>
        </w:tc>
      </w:tr>
      <w:tr>
        <w:trPr>
          <w:cantSplit/>
        </w:trPr>
        <w:tc>
          <w:tcPr>
            <w:tcW w:type="dxa" w:w="1600"/>
          </w:tcPr>
          <w:p>
            <w:pPr>
              <w:spacing w:after="0" w:line="264" w:lineRule="auto"/>
            </w:pPr>
            <w:r>
              <w:rPr>
                <w:rFonts w:ascii="Calibri" w:hAnsi="Calibri" w:eastAsia="Calibri"/>
                <w:b w:val="0"/>
                <w:i w:val="0"/>
                <w:color w:val="1E293B"/>
                <w:sz w:val="17"/>
              </w:rPr>
              <w:t>Azure</w:t>
            </w:r>
          </w:p>
        </w:tc>
        <w:tc>
          <w:tcPr>
            <w:tcW w:type="dxa" w:w="4250"/>
          </w:tcPr>
          <w:p>
            <w:pPr>
              <w:spacing w:after="0" w:line="264" w:lineRule="auto"/>
            </w:pPr>
            <w:r>
              <w:rPr>
                <w:rFonts w:ascii="Calibri" w:hAnsi="Calibri" w:eastAsia="Calibri"/>
                <w:b w:val="0"/>
                <w:i w:val="0"/>
                <w:color w:val="1E293B"/>
                <w:sz w:val="17"/>
              </w:rPr>
              <w:t>42 subscriptions; AKS, VMs, SQL, Storage, Key Vault and Entra-integrated identities.</w:t>
            </w:r>
          </w:p>
        </w:tc>
        <w:tc>
          <w:tcPr>
            <w:tcW w:type="dxa" w:w="3510"/>
          </w:tcPr>
          <w:p>
            <w:pPr>
              <w:spacing w:after="0" w:line="264" w:lineRule="auto"/>
            </w:pPr>
            <w:r>
              <w:rPr>
                <w:rFonts w:ascii="Calibri" w:hAnsi="Calibri" w:eastAsia="Calibri"/>
                <w:b w:val="0"/>
                <w:i w:val="0"/>
                <w:color w:val="1E293B"/>
                <w:sz w:val="17"/>
              </w:rPr>
              <w:t>4 subscriptions; AKS, SQL, Storage and Key Vault scenarios.</w:t>
            </w:r>
          </w:p>
        </w:tc>
      </w:tr>
      <w:tr>
        <w:trPr>
          <w:cantSplit/>
        </w:trPr>
        <w:tc>
          <w:tcPr>
            <w:tcW w:type="dxa" w:w="1600"/>
          </w:tcPr>
          <w:p>
            <w:pPr>
              <w:spacing w:after="0" w:line="264" w:lineRule="auto"/>
            </w:pPr>
            <w:r>
              <w:rPr>
                <w:rFonts w:ascii="Calibri" w:hAnsi="Calibri" w:eastAsia="Calibri"/>
                <w:b w:val="0"/>
                <w:i w:val="0"/>
                <w:color w:val="1E293B"/>
                <w:sz w:val="17"/>
              </w:rPr>
              <w:t>GCP</w:t>
            </w:r>
          </w:p>
        </w:tc>
        <w:tc>
          <w:tcPr>
            <w:tcW w:type="dxa" w:w="4250"/>
          </w:tcPr>
          <w:p>
            <w:pPr>
              <w:spacing w:after="0" w:line="264" w:lineRule="auto"/>
            </w:pPr>
            <w:r>
              <w:rPr>
                <w:rFonts w:ascii="Calibri" w:hAnsi="Calibri" w:eastAsia="Calibri"/>
                <w:b w:val="0"/>
                <w:i w:val="0"/>
                <w:color w:val="1E293B"/>
                <w:sz w:val="17"/>
              </w:rPr>
              <w:t>65 projects; GKE, BigQuery, Cloud Storage, Cloud Run and AI workloads.</w:t>
            </w:r>
          </w:p>
        </w:tc>
        <w:tc>
          <w:tcPr>
            <w:tcW w:type="dxa" w:w="3510"/>
          </w:tcPr>
          <w:p>
            <w:pPr>
              <w:spacing w:after="0" w:line="264" w:lineRule="auto"/>
            </w:pPr>
            <w:r>
              <w:rPr>
                <w:rFonts w:ascii="Calibri" w:hAnsi="Calibri" w:eastAsia="Calibri"/>
                <w:b w:val="0"/>
                <w:i w:val="0"/>
                <w:color w:val="1E293B"/>
                <w:sz w:val="17"/>
              </w:rPr>
              <w:t>5 projects; GKE, BigQuery, Cloud Storage and Cloud Run scenarios.</w:t>
            </w:r>
          </w:p>
        </w:tc>
      </w:tr>
      <w:tr>
        <w:trPr>
          <w:cantSplit/>
        </w:trPr>
        <w:tc>
          <w:tcPr>
            <w:tcW w:type="dxa" w:w="1600"/>
          </w:tcPr>
          <w:p>
            <w:pPr>
              <w:spacing w:after="0" w:line="264" w:lineRule="auto"/>
            </w:pPr>
            <w:r>
              <w:rPr>
                <w:rFonts w:ascii="Calibri" w:hAnsi="Calibri" w:eastAsia="Calibri"/>
                <w:b w:val="0"/>
                <w:i w:val="0"/>
                <w:color w:val="1E293B"/>
                <w:sz w:val="17"/>
              </w:rPr>
              <w:t>Software delivery</w:t>
            </w:r>
          </w:p>
        </w:tc>
        <w:tc>
          <w:tcPr>
            <w:tcW w:type="dxa" w:w="4250"/>
          </w:tcPr>
          <w:p>
            <w:pPr>
              <w:spacing w:after="0" w:line="264" w:lineRule="auto"/>
            </w:pPr>
            <w:r>
              <w:rPr>
                <w:rFonts w:ascii="Calibri" w:hAnsi="Calibri" w:eastAsia="Calibri"/>
                <w:b w:val="0"/>
                <w:i w:val="0"/>
                <w:color w:val="1E293B"/>
                <w:sz w:val="17"/>
              </w:rPr>
              <w:t>GitHub Enterprise, Terraform, container registries and multiple CI/CD pipelines.</w:t>
            </w:r>
          </w:p>
        </w:tc>
        <w:tc>
          <w:tcPr>
            <w:tcW w:type="dxa" w:w="3510"/>
          </w:tcPr>
          <w:p>
            <w:pPr>
              <w:spacing w:after="0" w:line="264" w:lineRule="auto"/>
            </w:pPr>
            <w:r>
              <w:rPr>
                <w:rFonts w:ascii="Calibri" w:hAnsi="Calibri" w:eastAsia="Calibri"/>
                <w:b w:val="0"/>
                <w:i w:val="0"/>
                <w:color w:val="1E293B"/>
                <w:sz w:val="17"/>
              </w:rPr>
              <w:t>Two synthetic repositories and IaC/configuration examples.</w:t>
            </w:r>
          </w:p>
        </w:tc>
      </w:tr>
      <w:tr>
        <w:trPr>
          <w:cantSplit/>
        </w:trPr>
        <w:tc>
          <w:tcPr>
            <w:tcW w:type="dxa" w:w="1600"/>
          </w:tcPr>
          <w:p>
            <w:pPr>
              <w:spacing w:after="0" w:line="264" w:lineRule="auto"/>
            </w:pPr>
            <w:r>
              <w:rPr>
                <w:rFonts w:ascii="Calibri" w:hAnsi="Calibri" w:eastAsia="Calibri"/>
                <w:b w:val="0"/>
                <w:i w:val="0"/>
                <w:color w:val="1E293B"/>
                <w:sz w:val="17"/>
              </w:rPr>
              <w:t>Operations</w:t>
            </w:r>
          </w:p>
        </w:tc>
        <w:tc>
          <w:tcPr>
            <w:tcW w:type="dxa" w:w="4250"/>
          </w:tcPr>
          <w:p>
            <w:pPr>
              <w:spacing w:after="0" w:line="264" w:lineRule="auto"/>
            </w:pPr>
            <w:r>
              <w:rPr>
                <w:rFonts w:ascii="Calibri" w:hAnsi="Calibri" w:eastAsia="Calibri"/>
                <w:b w:val="0"/>
                <w:i w:val="0"/>
                <w:color w:val="1E293B"/>
                <w:sz w:val="17"/>
              </w:rPr>
              <w:t>ServiceNow/Jira-style workflow, SIEM/SOC process and regional application ownership.</w:t>
            </w:r>
          </w:p>
        </w:tc>
        <w:tc>
          <w:tcPr>
            <w:tcW w:type="dxa" w:w="3510"/>
          </w:tcPr>
          <w:p>
            <w:pPr>
              <w:spacing w:after="0" w:line="264" w:lineRule="auto"/>
            </w:pPr>
            <w:r>
              <w:rPr>
                <w:rFonts w:ascii="Calibri" w:hAnsi="Calibri" w:eastAsia="Calibri"/>
                <w:b w:val="0"/>
                <w:i w:val="0"/>
                <w:color w:val="1E293B"/>
                <w:sz w:val="17"/>
              </w:rPr>
              <w:t>Simulated ticket routing and owner tags.</w:t>
            </w:r>
          </w:p>
        </w:tc>
      </w:tr>
    </w:tbl>
    <w:p>
      <w:pPr>
        <w:spacing w:after="20"/>
        <w:widowControl/>
      </w:pPr>
    </w:p>
    <w:p>
      <w:pPr>
        <w:pStyle w:val="Heading2"/>
        <w:widowControl/>
      </w:pPr>
      <w:r>
        <w:t>8. Customer Situation and POV Trigger</w:t>
      </w:r>
    </w:p>
    <w:p>
      <w:pPr>
        <w:pStyle w:val="Heading3"/>
        <w:widowControl/>
      </w:pPr>
      <w:r>
        <w:t>Stated challenges</w:t>
      </w:r>
    </w:p>
    <w:p>
      <w:pPr>
        <w:numPr>
          <w:ilvl w:val="0"/>
          <w:numId w:val="10"/>
        </w:numPr>
        <w:spacing w:after="80" w:line="300" w:lineRule="auto"/>
        <w:ind w:left="540" w:hanging="271"/>
        <w:widowControl/>
      </w:pPr>
      <w:r>
        <w:rPr>
          <w:rFonts w:ascii="Calibri" w:hAnsi="Calibri" w:eastAsia="Calibri"/>
          <w:b w:val="0"/>
          <w:i w:val="0"/>
          <w:color w:val="1E293B"/>
          <w:sz w:val="22"/>
        </w:rPr>
        <w:t>Multiple point tools produce fragmented visibility and duplicated findings.</w:t>
      </w:r>
    </w:p>
    <w:p>
      <w:pPr>
        <w:numPr>
          <w:ilvl w:val="0"/>
          <w:numId w:val="10"/>
        </w:numPr>
        <w:spacing w:after="80" w:line="300" w:lineRule="auto"/>
        <w:ind w:left="540" w:hanging="271"/>
        <w:widowControl/>
      </w:pPr>
      <w:r>
        <w:rPr>
          <w:rFonts w:ascii="Calibri" w:hAnsi="Calibri" w:eastAsia="Calibri"/>
          <w:b w:val="0"/>
          <w:i w:val="0"/>
          <w:color w:val="1E293B"/>
          <w:sz w:val="22"/>
        </w:rPr>
        <w:t>Security leadership cannot consistently explain which cloud risks are materially exploitable or business critical.</w:t>
      </w:r>
    </w:p>
    <w:p>
      <w:pPr>
        <w:numPr>
          <w:ilvl w:val="0"/>
          <w:numId w:val="10"/>
        </w:numPr>
        <w:spacing w:after="80" w:line="300" w:lineRule="auto"/>
        <w:ind w:left="540" w:hanging="271"/>
        <w:widowControl/>
      </w:pPr>
      <w:r>
        <w:rPr>
          <w:rFonts w:ascii="Calibri" w:hAnsi="Calibri" w:eastAsia="Calibri"/>
          <w:b w:val="0"/>
          <w:i w:val="0"/>
          <w:color w:val="1E293B"/>
          <w:sz w:val="22"/>
        </w:rPr>
        <w:t>Cloud teams spend time on high-volume findings without clear ownership or remediation priority.</w:t>
      </w:r>
    </w:p>
    <w:p>
      <w:pPr>
        <w:numPr>
          <w:ilvl w:val="0"/>
          <w:numId w:val="10"/>
        </w:numPr>
        <w:spacing w:after="80" w:line="300" w:lineRule="auto"/>
        <w:ind w:left="540" w:hanging="271"/>
        <w:widowControl/>
      </w:pPr>
      <w:r>
        <w:rPr>
          <w:rFonts w:ascii="Calibri" w:hAnsi="Calibri" w:eastAsia="Calibri"/>
          <w:b w:val="0"/>
          <w:i w:val="0"/>
          <w:color w:val="1E293B"/>
          <w:sz w:val="22"/>
        </w:rPr>
        <w:t>Recent acquisitions created unknown assets, inconsistent identity controls and uneven compliance evidence.</w:t>
      </w:r>
    </w:p>
    <w:p>
      <w:pPr>
        <w:numPr>
          <w:ilvl w:val="0"/>
          <w:numId w:val="10"/>
        </w:numPr>
        <w:spacing w:after="80" w:line="300" w:lineRule="auto"/>
        <w:ind w:left="540" w:hanging="271"/>
        <w:widowControl/>
      </w:pPr>
      <w:r>
        <w:rPr>
          <w:rFonts w:ascii="Calibri" w:hAnsi="Calibri" w:eastAsia="Calibri"/>
          <w:b w:val="0"/>
          <w:i w:val="0"/>
          <w:color w:val="1E293B"/>
          <w:sz w:val="22"/>
        </w:rPr>
        <w:t>Application teams believe security reviews slow delivery and want actionable guidance in their existing workflow.</w:t>
      </w:r>
    </w:p>
    <w:p>
      <w:pPr>
        <w:pStyle w:val="Heading3"/>
        <w:widowControl/>
      </w:pPr>
      <w:r>
        <w:t>Constraints introduced during role play</w:t>
      </w:r>
    </w:p>
    <w:p>
      <w:pPr>
        <w:numPr>
          <w:ilvl w:val="0"/>
          <w:numId w:val="10"/>
        </w:numPr>
        <w:spacing w:after="80" w:line="300" w:lineRule="auto"/>
        <w:ind w:left="540" w:hanging="271"/>
        <w:widowControl/>
      </w:pPr>
      <w:r>
        <w:rPr>
          <w:rFonts w:ascii="Calibri" w:hAnsi="Calibri" w:eastAsia="Calibri"/>
          <w:b w:val="0"/>
          <w:i w:val="0"/>
          <w:color w:val="1E293B"/>
          <w:sz w:val="22"/>
        </w:rPr>
        <w:t>Cloud Platform initially offers only a narrow non-production scope and questions required permissions.</w:t>
      </w:r>
    </w:p>
    <w:p>
      <w:pPr>
        <w:numPr>
          <w:ilvl w:val="0"/>
          <w:numId w:val="10"/>
        </w:numPr>
        <w:spacing w:after="80" w:line="300" w:lineRule="auto"/>
        <w:ind w:left="540" w:hanging="271"/>
        <w:widowControl/>
      </w:pPr>
      <w:r>
        <w:rPr>
          <w:rFonts w:ascii="Calibri" w:hAnsi="Calibri" w:eastAsia="Calibri"/>
          <w:b w:val="0"/>
          <w:i w:val="0"/>
          <w:color w:val="1E293B"/>
          <w:sz w:val="22"/>
        </w:rPr>
        <w:t>The executive sponsor can attend only the final 30-minute playback.</w:t>
      </w:r>
    </w:p>
    <w:p>
      <w:pPr>
        <w:numPr>
          <w:ilvl w:val="0"/>
          <w:numId w:val="10"/>
        </w:numPr>
        <w:spacing w:after="80" w:line="300" w:lineRule="auto"/>
        <w:ind w:left="540" w:hanging="271"/>
        <w:widowControl/>
      </w:pPr>
      <w:r>
        <w:rPr>
          <w:rFonts w:ascii="Calibri" w:hAnsi="Calibri" w:eastAsia="Calibri"/>
          <w:b w:val="0"/>
          <w:i w:val="0"/>
          <w:color w:val="1E293B"/>
          <w:sz w:val="22"/>
        </w:rPr>
        <w:t>The buying team asks for value in 24 hours and a final recommendation within four weeks.</w:t>
      </w:r>
    </w:p>
    <w:p>
      <w:pPr>
        <w:numPr>
          <w:ilvl w:val="0"/>
          <w:numId w:val="10"/>
        </w:numPr>
        <w:spacing w:after="80" w:line="300" w:lineRule="auto"/>
        <w:ind w:left="540" w:hanging="271"/>
        <w:widowControl/>
      </w:pPr>
      <w:r>
        <w:rPr>
          <w:rFonts w:ascii="Calibri" w:hAnsi="Calibri" w:eastAsia="Calibri"/>
          <w:b w:val="0"/>
          <w:i w:val="0"/>
          <w:color w:val="1E293B"/>
          <w:sz w:val="22"/>
        </w:rPr>
        <w:t>One region raises data residency and cross-border access concerns.</w:t>
      </w:r>
    </w:p>
    <w:p>
      <w:pPr>
        <w:numPr>
          <w:ilvl w:val="0"/>
          <w:numId w:val="10"/>
        </w:numPr>
        <w:spacing w:after="80" w:line="300" w:lineRule="auto"/>
        <w:ind w:left="540" w:hanging="271"/>
        <w:widowControl/>
      </w:pPr>
      <w:r>
        <w:rPr>
          <w:rFonts w:ascii="Calibri" w:hAnsi="Calibri" w:eastAsia="Calibri"/>
          <w:b w:val="0"/>
          <w:i w:val="0"/>
          <w:color w:val="1E293B"/>
          <w:sz w:val="22"/>
        </w:rPr>
        <w:t>The incumbent security team argues that another dashboard will increase tool sprawl.</w:t>
      </w:r>
    </w:p>
    <w:p>
      <w:pPr>
        <w:pStyle w:val="Heading3"/>
        <w:widowControl/>
      </w:pPr>
      <w:r>
        <w:t>Desired customer decision</w:t>
      </w:r>
    </w:p>
    <w:p>
      <w:pPr>
        <w:spacing w:after="120" w:line="300" w:lineRule="auto"/>
        <w:widowControl/>
      </w:pPr>
      <w:r>
        <w:rPr>
          <w:rFonts w:ascii="Calibri" w:hAnsi="Calibri" w:eastAsia="Calibri"/>
          <w:b w:val="0"/>
          <w:i w:val="0"/>
          <w:color w:val="1E293B"/>
          <w:sz w:val="22"/>
        </w:rPr>
        <w:t>At the end of the engagement, Asteria must decide whether Wiz demonstrates sufficient risk prioritization, coverage and operational fit to proceed to a commercial deployment plan. The Dojo team must make this decision explicit before recommending a POV.</w:t>
      </w:r>
    </w:p>
    <w:p>
      <w:pPr>
        <w:pStyle w:val="Heading2"/>
        <w:widowControl/>
      </w:pPr>
      <w:r>
        <w:t>9. Persona System</w:t>
      </w:r>
    </w:p>
    <w:p>
      <w:pPr>
        <w:spacing w:after="120" w:line="300" w:lineRule="auto"/>
        <w:widowControl/>
      </w:pPr>
      <w:r>
        <w:rPr>
          <w:rFonts w:ascii="Calibri" w:hAnsi="Calibri" w:eastAsia="Calibri"/>
          <w:b w:val="0"/>
          <w:i w:val="0"/>
          <w:color w:val="1E293B"/>
          <w:sz w:val="22"/>
        </w:rPr>
        <w:t>Every team receives public persona briefs. Facilitators retain hidden motivations, objections and decision signals to make the exercise dynamic. The same personas are used from Discovery through executive playback.</w:t>
      </w:r>
    </w:p>
    <w:tbl>
      <w:tblPr>
        <w:tblStyle w:val="TableGrid"/>
        <w:tblW w:type="dxa" w:w="9360"/>
        <w:jc w:val="left"/>
        <w:tblLayout w:type="fixed"/>
        <w:tblLook w:firstColumn="1" w:firstRow="1" w:lastColumn="0" w:lastRow="0" w:noHBand="0" w:noVBand="1" w:val="04A0"/>
        <w:tblInd w:w="120" w:type="dxa"/>
      </w:tblPr>
      <w:tblGrid>
        <w:gridCol w:w="2200"/>
        <w:gridCol w:w="2050"/>
        <w:gridCol w:w="2750"/>
        <w:gridCol w:w="2360"/>
      </w:tblGrid>
      <w:tr>
        <w:trPr>
          <w:tblHeader w:val="true"/>
        </w:trPr>
        <w:tc>
          <w:tcPr>
            <w:tcW w:type="dxa" w:w="22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Persona</w:t>
            </w:r>
          </w:p>
        </w:tc>
        <w:tc>
          <w:tcPr>
            <w:tcW w:type="dxa" w:w="20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Role in POV</w:t>
            </w:r>
          </w:p>
        </w:tc>
        <w:tc>
          <w:tcPr>
            <w:tcW w:type="dxa" w:w="27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Primary Outcomes</w:t>
            </w:r>
          </w:p>
        </w:tc>
        <w:tc>
          <w:tcPr>
            <w:tcW w:type="dxa" w:w="23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Likely Objection</w:t>
            </w:r>
          </w:p>
        </w:tc>
      </w:tr>
      <w:tr>
        <w:trPr>
          <w:cantSplit/>
        </w:trPr>
        <w:tc>
          <w:tcPr>
            <w:tcW w:type="dxa" w:w="2200"/>
          </w:tcPr>
          <w:p>
            <w:pPr>
              <w:spacing w:after="0" w:line="264" w:lineRule="auto"/>
            </w:pPr>
            <w:r>
              <w:rPr>
                <w:rFonts w:ascii="Calibri" w:hAnsi="Calibri" w:eastAsia="Calibri"/>
                <w:b w:val="0"/>
                <w:i w:val="0"/>
                <w:color w:val="1E293B"/>
                <w:sz w:val="16"/>
              </w:rPr>
              <w:t>Elena Tan - Group CISO</w:t>
            </w:r>
          </w:p>
        </w:tc>
        <w:tc>
          <w:tcPr>
            <w:tcW w:type="dxa" w:w="2050"/>
          </w:tcPr>
          <w:p>
            <w:pPr>
              <w:spacing w:after="0" w:line="264" w:lineRule="auto"/>
            </w:pPr>
            <w:r>
              <w:rPr>
                <w:rFonts w:ascii="Calibri" w:hAnsi="Calibri" w:eastAsia="Calibri"/>
                <w:b w:val="0"/>
                <w:i w:val="0"/>
                <w:color w:val="1E293B"/>
                <w:sz w:val="16"/>
              </w:rPr>
              <w:t>Executive sponsor / decision influencer</w:t>
            </w:r>
          </w:p>
        </w:tc>
        <w:tc>
          <w:tcPr>
            <w:tcW w:type="dxa" w:w="2750"/>
          </w:tcPr>
          <w:p>
            <w:pPr>
              <w:spacing w:after="0" w:line="264" w:lineRule="auto"/>
            </w:pPr>
            <w:r>
              <w:rPr>
                <w:rFonts w:ascii="Calibri" w:hAnsi="Calibri" w:eastAsia="Calibri"/>
                <w:b w:val="0"/>
                <w:i w:val="0"/>
                <w:color w:val="1E293B"/>
                <w:sz w:val="16"/>
              </w:rPr>
              <w:t>Material risk reduction, board narrative, platform consolidation.</w:t>
            </w:r>
          </w:p>
        </w:tc>
        <w:tc>
          <w:tcPr>
            <w:tcW w:type="dxa" w:w="2360"/>
          </w:tcPr>
          <w:p>
            <w:pPr>
              <w:spacing w:after="0" w:line="264" w:lineRule="auto"/>
            </w:pPr>
            <w:r>
              <w:rPr>
                <w:rFonts w:ascii="Calibri" w:hAnsi="Calibri" w:eastAsia="Calibri"/>
                <w:b w:val="0"/>
                <w:i w:val="0"/>
                <w:color w:val="1E293B"/>
                <w:sz w:val="16"/>
              </w:rPr>
              <w:t>“Is this another dashboard?”</w:t>
            </w:r>
          </w:p>
        </w:tc>
      </w:tr>
      <w:tr>
        <w:trPr>
          <w:cantSplit/>
        </w:trPr>
        <w:tc>
          <w:tcPr>
            <w:tcW w:type="dxa" w:w="2200"/>
          </w:tcPr>
          <w:p>
            <w:pPr>
              <w:spacing w:after="0" w:line="264" w:lineRule="auto"/>
            </w:pPr>
            <w:r>
              <w:rPr>
                <w:rFonts w:ascii="Calibri" w:hAnsi="Calibri" w:eastAsia="Calibri"/>
                <w:b w:val="0"/>
                <w:i w:val="0"/>
                <w:color w:val="1E293B"/>
                <w:sz w:val="16"/>
              </w:rPr>
              <w:t>Rajiv Menon - VP Cloud Platform</w:t>
            </w:r>
          </w:p>
        </w:tc>
        <w:tc>
          <w:tcPr>
            <w:tcW w:type="dxa" w:w="2050"/>
          </w:tcPr>
          <w:p>
            <w:pPr>
              <w:spacing w:after="0" w:line="264" w:lineRule="auto"/>
            </w:pPr>
            <w:r>
              <w:rPr>
                <w:rFonts w:ascii="Calibri" w:hAnsi="Calibri" w:eastAsia="Calibri"/>
                <w:b w:val="0"/>
                <w:i w:val="0"/>
                <w:color w:val="1E293B"/>
                <w:sz w:val="16"/>
              </w:rPr>
              <w:t>Technical co-owner / access approver</w:t>
            </w:r>
          </w:p>
        </w:tc>
        <w:tc>
          <w:tcPr>
            <w:tcW w:type="dxa" w:w="2750"/>
          </w:tcPr>
          <w:p>
            <w:pPr>
              <w:spacing w:after="0" w:line="264" w:lineRule="auto"/>
            </w:pPr>
            <w:r>
              <w:rPr>
                <w:rFonts w:ascii="Calibri" w:hAnsi="Calibri" w:eastAsia="Calibri"/>
                <w:b w:val="0"/>
                <w:i w:val="0"/>
                <w:color w:val="1E293B"/>
                <w:sz w:val="16"/>
              </w:rPr>
              <w:t>Safe onboarding, low operational burden, engineering velocity.</w:t>
            </w:r>
          </w:p>
        </w:tc>
        <w:tc>
          <w:tcPr>
            <w:tcW w:type="dxa" w:w="2360"/>
          </w:tcPr>
          <w:p>
            <w:pPr>
              <w:spacing w:after="0" w:line="264" w:lineRule="auto"/>
            </w:pPr>
            <w:r>
              <w:rPr>
                <w:rFonts w:ascii="Calibri" w:hAnsi="Calibri" w:eastAsia="Calibri"/>
                <w:b w:val="0"/>
                <w:i w:val="0"/>
                <w:color w:val="1E293B"/>
                <w:sz w:val="16"/>
              </w:rPr>
              <w:t>“Why are these permissions required?”</w:t>
            </w:r>
          </w:p>
        </w:tc>
      </w:tr>
      <w:tr>
        <w:trPr>
          <w:cantSplit/>
        </w:trPr>
        <w:tc>
          <w:tcPr>
            <w:tcW w:type="dxa" w:w="2200"/>
          </w:tcPr>
          <w:p>
            <w:pPr>
              <w:spacing w:after="0" w:line="264" w:lineRule="auto"/>
            </w:pPr>
            <w:r>
              <w:rPr>
                <w:rFonts w:ascii="Calibri" w:hAnsi="Calibri" w:eastAsia="Calibri"/>
                <w:b w:val="0"/>
                <w:i w:val="0"/>
                <w:color w:val="1E293B"/>
                <w:sz w:val="16"/>
              </w:rPr>
              <w:t>Hannah Kim - Director, Cloud Security</w:t>
            </w:r>
          </w:p>
        </w:tc>
        <w:tc>
          <w:tcPr>
            <w:tcW w:type="dxa" w:w="2050"/>
          </w:tcPr>
          <w:p>
            <w:pPr>
              <w:spacing w:after="0" w:line="264" w:lineRule="auto"/>
            </w:pPr>
            <w:r>
              <w:rPr>
                <w:rFonts w:ascii="Calibri" w:hAnsi="Calibri" w:eastAsia="Calibri"/>
                <w:b w:val="0"/>
                <w:i w:val="0"/>
                <w:color w:val="1E293B"/>
                <w:sz w:val="16"/>
              </w:rPr>
              <w:t>Technical champion</w:t>
            </w:r>
          </w:p>
        </w:tc>
        <w:tc>
          <w:tcPr>
            <w:tcW w:type="dxa" w:w="2750"/>
          </w:tcPr>
          <w:p>
            <w:pPr>
              <w:spacing w:after="0" w:line="264" w:lineRule="auto"/>
            </w:pPr>
            <w:r>
              <w:rPr>
                <w:rFonts w:ascii="Calibri" w:hAnsi="Calibri" w:eastAsia="Calibri"/>
                <w:b w:val="0"/>
                <w:i w:val="0"/>
                <w:color w:val="1E293B"/>
                <w:sz w:val="16"/>
              </w:rPr>
              <w:t>Contextual prioritization, coverage and remediation ownership.</w:t>
            </w:r>
          </w:p>
        </w:tc>
        <w:tc>
          <w:tcPr>
            <w:tcW w:type="dxa" w:w="2360"/>
          </w:tcPr>
          <w:p>
            <w:pPr>
              <w:spacing w:after="0" w:line="264" w:lineRule="auto"/>
            </w:pPr>
            <w:r>
              <w:rPr>
                <w:rFonts w:ascii="Calibri" w:hAnsi="Calibri" w:eastAsia="Calibri"/>
                <w:b w:val="0"/>
                <w:i w:val="0"/>
                <w:color w:val="1E293B"/>
                <w:sz w:val="16"/>
              </w:rPr>
              <w:t>“How is this different from our current tools?”</w:t>
            </w:r>
          </w:p>
        </w:tc>
      </w:tr>
      <w:tr>
        <w:trPr>
          <w:cantSplit/>
        </w:trPr>
        <w:tc>
          <w:tcPr>
            <w:tcW w:type="dxa" w:w="2200"/>
          </w:tcPr>
          <w:p>
            <w:pPr>
              <w:spacing w:after="0" w:line="264" w:lineRule="auto"/>
            </w:pPr>
            <w:r>
              <w:rPr>
                <w:rFonts w:ascii="Calibri" w:hAnsi="Calibri" w:eastAsia="Calibri"/>
                <w:b w:val="0"/>
                <w:i w:val="0"/>
                <w:color w:val="1E293B"/>
                <w:sz w:val="16"/>
              </w:rPr>
              <w:t>Kenji Sato - Head of SecOps</w:t>
            </w:r>
          </w:p>
        </w:tc>
        <w:tc>
          <w:tcPr>
            <w:tcW w:type="dxa" w:w="2050"/>
          </w:tcPr>
          <w:p>
            <w:pPr>
              <w:spacing w:after="0" w:line="264" w:lineRule="auto"/>
            </w:pPr>
            <w:r>
              <w:rPr>
                <w:rFonts w:ascii="Calibri" w:hAnsi="Calibri" w:eastAsia="Calibri"/>
                <w:b w:val="0"/>
                <w:i w:val="0"/>
                <w:color w:val="1E293B"/>
                <w:sz w:val="16"/>
              </w:rPr>
              <w:t>Operational stakeholder</w:t>
            </w:r>
          </w:p>
        </w:tc>
        <w:tc>
          <w:tcPr>
            <w:tcW w:type="dxa" w:w="2750"/>
          </w:tcPr>
          <w:p>
            <w:pPr>
              <w:spacing w:after="0" w:line="264" w:lineRule="auto"/>
            </w:pPr>
            <w:r>
              <w:rPr>
                <w:rFonts w:ascii="Calibri" w:hAnsi="Calibri" w:eastAsia="Calibri"/>
                <w:b w:val="0"/>
                <w:i w:val="0"/>
                <w:color w:val="1E293B"/>
                <w:sz w:val="16"/>
              </w:rPr>
              <w:t>Actionable findings, integration and response workflow.</w:t>
            </w:r>
          </w:p>
        </w:tc>
        <w:tc>
          <w:tcPr>
            <w:tcW w:type="dxa" w:w="2360"/>
          </w:tcPr>
          <w:p>
            <w:pPr>
              <w:spacing w:after="0" w:line="264" w:lineRule="auto"/>
            </w:pPr>
            <w:r>
              <w:rPr>
                <w:rFonts w:ascii="Calibri" w:hAnsi="Calibri" w:eastAsia="Calibri"/>
                <w:b w:val="0"/>
                <w:i w:val="0"/>
                <w:color w:val="1E293B"/>
                <w:sz w:val="16"/>
              </w:rPr>
              <w:t>“Will this create more alerts?”</w:t>
            </w:r>
          </w:p>
        </w:tc>
      </w:tr>
      <w:tr>
        <w:trPr>
          <w:cantSplit/>
        </w:trPr>
        <w:tc>
          <w:tcPr>
            <w:tcW w:type="dxa" w:w="2200"/>
          </w:tcPr>
          <w:p>
            <w:pPr>
              <w:spacing w:after="0" w:line="264" w:lineRule="auto"/>
            </w:pPr>
            <w:r>
              <w:rPr>
                <w:rFonts w:ascii="Calibri" w:hAnsi="Calibri" w:eastAsia="Calibri"/>
                <w:b w:val="0"/>
                <w:i w:val="0"/>
                <w:color w:val="1E293B"/>
                <w:sz w:val="16"/>
              </w:rPr>
              <w:t>Priya Nair - Head of DevSecOps</w:t>
            </w:r>
          </w:p>
        </w:tc>
        <w:tc>
          <w:tcPr>
            <w:tcW w:type="dxa" w:w="2050"/>
          </w:tcPr>
          <w:p>
            <w:pPr>
              <w:spacing w:after="0" w:line="264" w:lineRule="auto"/>
            </w:pPr>
            <w:r>
              <w:rPr>
                <w:rFonts w:ascii="Calibri" w:hAnsi="Calibri" w:eastAsia="Calibri"/>
                <w:b w:val="0"/>
                <w:i w:val="0"/>
                <w:color w:val="1E293B"/>
                <w:sz w:val="16"/>
              </w:rPr>
              <w:t>Developer workflow stakeholder</w:t>
            </w:r>
          </w:p>
        </w:tc>
        <w:tc>
          <w:tcPr>
            <w:tcW w:type="dxa" w:w="2750"/>
          </w:tcPr>
          <w:p>
            <w:pPr>
              <w:spacing w:after="0" w:line="264" w:lineRule="auto"/>
            </w:pPr>
            <w:r>
              <w:rPr>
                <w:rFonts w:ascii="Calibri" w:hAnsi="Calibri" w:eastAsia="Calibri"/>
                <w:b w:val="0"/>
                <w:i w:val="0"/>
                <w:color w:val="1E293B"/>
                <w:sz w:val="16"/>
              </w:rPr>
              <w:t>Earlier feedback, code-to-cloud context, low developer friction.</w:t>
            </w:r>
          </w:p>
        </w:tc>
        <w:tc>
          <w:tcPr>
            <w:tcW w:type="dxa" w:w="2360"/>
          </w:tcPr>
          <w:p>
            <w:pPr>
              <w:spacing w:after="0" w:line="264" w:lineRule="auto"/>
            </w:pPr>
            <w:r>
              <w:rPr>
                <w:rFonts w:ascii="Calibri" w:hAnsi="Calibri" w:eastAsia="Calibri"/>
                <w:b w:val="0"/>
                <w:i w:val="0"/>
                <w:color w:val="1E293B"/>
                <w:sz w:val="16"/>
              </w:rPr>
              <w:t>“Will this block releases?”</w:t>
            </w:r>
          </w:p>
        </w:tc>
      </w:tr>
      <w:tr>
        <w:trPr>
          <w:cantSplit/>
        </w:trPr>
        <w:tc>
          <w:tcPr>
            <w:tcW w:type="dxa" w:w="2200"/>
          </w:tcPr>
          <w:p>
            <w:pPr>
              <w:spacing w:after="0" w:line="264" w:lineRule="auto"/>
            </w:pPr>
            <w:r>
              <w:rPr>
                <w:rFonts w:ascii="Calibri" w:hAnsi="Calibri" w:eastAsia="Calibri"/>
                <w:b w:val="0"/>
                <w:i w:val="0"/>
                <w:color w:val="1E293B"/>
                <w:sz w:val="16"/>
              </w:rPr>
              <w:t>Maria Santos - Director, GRC</w:t>
            </w:r>
          </w:p>
        </w:tc>
        <w:tc>
          <w:tcPr>
            <w:tcW w:type="dxa" w:w="2050"/>
          </w:tcPr>
          <w:p>
            <w:pPr>
              <w:spacing w:after="0" w:line="264" w:lineRule="auto"/>
            </w:pPr>
            <w:r>
              <w:rPr>
                <w:rFonts w:ascii="Calibri" w:hAnsi="Calibri" w:eastAsia="Calibri"/>
                <w:b w:val="0"/>
                <w:i w:val="0"/>
                <w:color w:val="1E293B"/>
                <w:sz w:val="16"/>
              </w:rPr>
              <w:t>Assurance stakeholder</w:t>
            </w:r>
          </w:p>
        </w:tc>
        <w:tc>
          <w:tcPr>
            <w:tcW w:type="dxa" w:w="2750"/>
          </w:tcPr>
          <w:p>
            <w:pPr>
              <w:spacing w:after="0" w:line="264" w:lineRule="auto"/>
            </w:pPr>
            <w:r>
              <w:rPr>
                <w:rFonts w:ascii="Calibri" w:hAnsi="Calibri" w:eastAsia="Calibri"/>
                <w:b w:val="0"/>
                <w:i w:val="0"/>
                <w:color w:val="1E293B"/>
                <w:sz w:val="16"/>
              </w:rPr>
              <w:t>Evidence, control visibility and repeatable reporting.</w:t>
            </w:r>
          </w:p>
        </w:tc>
        <w:tc>
          <w:tcPr>
            <w:tcW w:type="dxa" w:w="2360"/>
          </w:tcPr>
          <w:p>
            <w:pPr>
              <w:spacing w:after="0" w:line="264" w:lineRule="auto"/>
            </w:pPr>
            <w:r>
              <w:rPr>
                <w:rFonts w:ascii="Calibri" w:hAnsi="Calibri" w:eastAsia="Calibri"/>
                <w:b w:val="0"/>
                <w:i w:val="0"/>
                <w:color w:val="1E293B"/>
                <w:sz w:val="16"/>
              </w:rPr>
              <w:t>“Can we trust the coverage?”</w:t>
            </w:r>
          </w:p>
        </w:tc>
      </w:tr>
      <w:tr>
        <w:trPr>
          <w:cantSplit/>
        </w:trPr>
        <w:tc>
          <w:tcPr>
            <w:tcW w:type="dxa" w:w="2200"/>
          </w:tcPr>
          <w:p>
            <w:pPr>
              <w:spacing w:after="0" w:line="264" w:lineRule="auto"/>
            </w:pPr>
            <w:r>
              <w:rPr>
                <w:rFonts w:ascii="Calibri" w:hAnsi="Calibri" w:eastAsia="Calibri"/>
                <w:b w:val="0"/>
                <w:i w:val="0"/>
                <w:color w:val="1E293B"/>
                <w:sz w:val="16"/>
              </w:rPr>
              <w:t>Liam Chen - Procurement Lead</w:t>
            </w:r>
          </w:p>
        </w:tc>
        <w:tc>
          <w:tcPr>
            <w:tcW w:type="dxa" w:w="2050"/>
          </w:tcPr>
          <w:p>
            <w:pPr>
              <w:spacing w:after="0" w:line="264" w:lineRule="auto"/>
            </w:pPr>
            <w:r>
              <w:rPr>
                <w:rFonts w:ascii="Calibri" w:hAnsi="Calibri" w:eastAsia="Calibri"/>
                <w:b w:val="0"/>
                <w:i w:val="0"/>
                <w:color w:val="1E293B"/>
                <w:sz w:val="16"/>
              </w:rPr>
              <w:t>Commercial process owner</w:t>
            </w:r>
          </w:p>
        </w:tc>
        <w:tc>
          <w:tcPr>
            <w:tcW w:type="dxa" w:w="2750"/>
          </w:tcPr>
          <w:p>
            <w:pPr>
              <w:spacing w:after="0" w:line="264" w:lineRule="auto"/>
            </w:pPr>
            <w:r>
              <w:rPr>
                <w:rFonts w:ascii="Calibri" w:hAnsi="Calibri" w:eastAsia="Calibri"/>
                <w:b w:val="0"/>
                <w:i w:val="0"/>
                <w:color w:val="1E293B"/>
                <w:sz w:val="16"/>
              </w:rPr>
              <w:t>Clear scope, quantified value, predictable deployment plan.</w:t>
            </w:r>
          </w:p>
        </w:tc>
        <w:tc>
          <w:tcPr>
            <w:tcW w:type="dxa" w:w="2360"/>
          </w:tcPr>
          <w:p>
            <w:pPr>
              <w:spacing w:after="0" w:line="264" w:lineRule="auto"/>
            </w:pPr>
            <w:r>
              <w:rPr>
                <w:rFonts w:ascii="Calibri" w:hAnsi="Calibri" w:eastAsia="Calibri"/>
                <w:b w:val="0"/>
                <w:i w:val="0"/>
                <w:color w:val="1E293B"/>
                <w:sz w:val="16"/>
              </w:rPr>
              <w:t>“Why consolidate now?”</w:t>
            </w:r>
          </w:p>
        </w:tc>
      </w:tr>
    </w:tbl>
    <w:p>
      <w:pPr>
        <w:spacing w:after="20"/>
        <w:widowControl/>
      </w:pPr>
    </w:p>
    <w:p>
      <w:pPr>
        <w:pStyle w:val="Heading3"/>
        <w:widowControl/>
      </w:pPr>
      <w:r>
        <w:t>Persona-to-session use</w:t>
      </w:r>
    </w:p>
    <w:p>
      <w:pPr>
        <w:numPr>
          <w:ilvl w:val="0"/>
          <w:numId w:val="10"/>
        </w:numPr>
        <w:spacing w:after="80" w:line="300" w:lineRule="auto"/>
        <w:ind w:left="540" w:hanging="271"/>
        <w:widowControl/>
      </w:pPr>
      <w:r>
        <w:rPr>
          <w:rFonts w:ascii="Calibri" w:hAnsi="Calibri" w:eastAsia="Calibri"/>
          <w:b w:val="0"/>
          <w:i w:val="0"/>
          <w:color w:val="1E293B"/>
          <w:sz w:val="22"/>
        </w:rPr>
        <w:t>Discovery role play: Hannah, Rajiv and Maria provide incomplete and occasionally conflicting inputs.</w:t>
      </w:r>
    </w:p>
    <w:p>
      <w:pPr>
        <w:numPr>
          <w:ilvl w:val="0"/>
          <w:numId w:val="10"/>
        </w:numPr>
        <w:spacing w:after="80" w:line="300" w:lineRule="auto"/>
        <w:ind w:left="540" w:hanging="271"/>
        <w:widowControl/>
      </w:pPr>
      <w:r>
        <w:rPr>
          <w:rFonts w:ascii="Calibri" w:hAnsi="Calibri" w:eastAsia="Calibri"/>
          <w:b w:val="0"/>
          <w:i w:val="0"/>
          <w:color w:val="1E293B"/>
          <w:sz w:val="22"/>
        </w:rPr>
        <w:t>Go/No-Go: Rajiv controls access readiness; Elena is not yet fully engaged.</w:t>
      </w:r>
    </w:p>
    <w:p>
      <w:pPr>
        <w:numPr>
          <w:ilvl w:val="0"/>
          <w:numId w:val="10"/>
        </w:numPr>
        <w:spacing w:after="80" w:line="300" w:lineRule="auto"/>
        <w:ind w:left="540" w:hanging="271"/>
        <w:widowControl/>
      </w:pPr>
      <w:r>
        <w:rPr>
          <w:rFonts w:ascii="Calibri" w:hAnsi="Calibri" w:eastAsia="Calibri"/>
          <w:b w:val="0"/>
          <w:i w:val="0"/>
          <w:color w:val="1E293B"/>
          <w:sz w:val="22"/>
        </w:rPr>
        <w:t>Finding Review: Hannah and Kenji challenge relevance, severity and operational ownership.</w:t>
      </w:r>
    </w:p>
    <w:p>
      <w:pPr>
        <w:numPr>
          <w:ilvl w:val="0"/>
          <w:numId w:val="10"/>
        </w:numPr>
        <w:spacing w:after="80" w:line="300" w:lineRule="auto"/>
        <w:ind w:left="540" w:hanging="271"/>
        <w:widowControl/>
      </w:pPr>
      <w:r>
        <w:rPr>
          <w:rFonts w:ascii="Calibri" w:hAnsi="Calibri" w:eastAsia="Calibri"/>
          <w:b w:val="0"/>
          <w:i w:val="0"/>
          <w:color w:val="1E293B"/>
          <w:sz w:val="22"/>
        </w:rPr>
        <w:t>Executive Playback: Elena and Liam require a concise decision, business impact and next-step plan.</w:t>
      </w:r>
    </w:p>
    <w:p>
      <w:pPr>
        <w:pStyle w:val="Heading2"/>
        <w:widowControl/>
      </w:pPr>
      <w:r>
        <w:t>10. Golden Tenant Blueprint</w:t>
      </w:r>
    </w:p>
    <w:p>
      <w:pPr>
        <w:pStyle w:val="Heading3"/>
        <w:widowControl/>
      </w:pPr>
      <w:r>
        <w:t>Purpose</w:t>
      </w:r>
    </w:p>
    <w:p>
      <w:pPr>
        <w:spacing w:after="120" w:line="300" w:lineRule="auto"/>
        <w:widowControl/>
      </w:pPr>
      <w:r>
        <w:rPr>
          <w:rFonts w:ascii="Calibri" w:hAnsi="Calibri" w:eastAsia="Calibri"/>
          <w:b w:val="0"/>
          <w:i w:val="0"/>
          <w:color w:val="1E293B"/>
          <w:sz w:val="22"/>
        </w:rPr>
        <w:t>The Golden Tenant is a centrally governed, resettable training environment that provides deterministic evidence while allowing participants to make real discovery, planning and storytelling choices. It should demonstrate the POV workflow, not serve as a comprehensive product feature showroom.</w:t>
      </w:r>
    </w:p>
    <w:p>
      <w:pPr>
        <w:pStyle w:val="Heading3"/>
        <w:widowControl/>
      </w:pPr>
      <w:r>
        <w:t>Logical structure</w:t>
      </w:r>
    </w:p>
    <w:tbl>
      <w:tblPr>
        <w:tblStyle w:val="TableGrid"/>
        <w:tblW w:type="dxa" w:w="9360"/>
        <w:jc w:val="left"/>
        <w:tblLayout w:type="fixed"/>
        <w:tblLook w:firstColumn="1" w:firstRow="1" w:lastColumn="0" w:lastRow="0" w:noHBand="0" w:noVBand="1" w:val="04A0"/>
        <w:tblInd w:w="120" w:type="dxa"/>
      </w:tblPr>
      <w:tblGrid>
        <w:gridCol w:w="1700"/>
        <w:gridCol w:w="4920"/>
        <w:gridCol w:w="2740"/>
      </w:tblGrid>
      <w:tr>
        <w:trPr>
          <w:tblHeader w:val="true"/>
        </w:trPr>
        <w:tc>
          <w:tcPr>
            <w:tcW w:type="dxa" w:w="17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Layer</w:t>
            </w:r>
          </w:p>
        </w:tc>
        <w:tc>
          <w:tcPr>
            <w:tcW w:type="dxa" w:w="492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Proposed Design</w:t>
            </w:r>
          </w:p>
        </w:tc>
        <w:tc>
          <w:tcPr>
            <w:tcW w:type="dxa" w:w="274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Control</w:t>
            </w:r>
          </w:p>
        </w:tc>
      </w:tr>
      <w:tr>
        <w:trPr>
          <w:cantSplit/>
        </w:trPr>
        <w:tc>
          <w:tcPr>
            <w:tcW w:type="dxa" w:w="1700"/>
          </w:tcPr>
          <w:p>
            <w:pPr>
              <w:spacing w:after="0" w:line="264" w:lineRule="auto"/>
            </w:pPr>
            <w:r>
              <w:rPr>
                <w:rFonts w:ascii="Calibri" w:hAnsi="Calibri" w:eastAsia="Calibri"/>
                <w:b w:val="0"/>
                <w:i w:val="0"/>
                <w:color w:val="1E293B"/>
                <w:sz w:val="17"/>
              </w:rPr>
              <w:t>Master blueprint</w:t>
            </w:r>
          </w:p>
        </w:tc>
        <w:tc>
          <w:tcPr>
            <w:tcW w:type="dxa" w:w="4920"/>
          </w:tcPr>
          <w:p>
            <w:pPr>
              <w:spacing w:after="0" w:line="264" w:lineRule="auto"/>
            </w:pPr>
            <w:r>
              <w:rPr>
                <w:rFonts w:ascii="Calibri" w:hAnsi="Calibri" w:eastAsia="Calibri"/>
                <w:b w:val="0"/>
                <w:i w:val="0"/>
                <w:color w:val="1E293B"/>
                <w:sz w:val="17"/>
              </w:rPr>
              <w:t>One approved APJ reference configuration and seeded scenario catalog.</w:t>
            </w:r>
          </w:p>
        </w:tc>
        <w:tc>
          <w:tcPr>
            <w:tcW w:type="dxa" w:w="2740"/>
          </w:tcPr>
          <w:p>
            <w:pPr>
              <w:spacing w:after="0" w:line="264" w:lineRule="auto"/>
            </w:pPr>
            <w:r>
              <w:rPr>
                <w:rFonts w:ascii="Calibri" w:hAnsi="Calibri" w:eastAsia="Calibri"/>
                <w:b w:val="0"/>
                <w:i w:val="0"/>
                <w:color w:val="1E293B"/>
                <w:sz w:val="17"/>
              </w:rPr>
              <w:t>APJ Lab Owner; version controlled</w:t>
            </w:r>
          </w:p>
        </w:tc>
      </w:tr>
      <w:tr>
        <w:trPr>
          <w:cantSplit/>
        </w:trPr>
        <w:tc>
          <w:tcPr>
            <w:tcW w:type="dxa" w:w="1700"/>
          </w:tcPr>
          <w:p>
            <w:pPr>
              <w:spacing w:after="0" w:line="264" w:lineRule="auto"/>
            </w:pPr>
            <w:r>
              <w:rPr>
                <w:rFonts w:ascii="Calibri" w:hAnsi="Calibri" w:eastAsia="Calibri"/>
                <w:b w:val="0"/>
                <w:i w:val="0"/>
                <w:color w:val="1E293B"/>
                <w:sz w:val="17"/>
              </w:rPr>
              <w:t>Cohort environment</w:t>
            </w:r>
          </w:p>
        </w:tc>
        <w:tc>
          <w:tcPr>
            <w:tcW w:type="dxa" w:w="4920"/>
          </w:tcPr>
          <w:p>
            <w:pPr>
              <w:spacing w:after="0" w:line="264" w:lineRule="auto"/>
            </w:pPr>
            <w:r>
              <w:rPr>
                <w:rFonts w:ascii="Calibri" w:hAnsi="Calibri" w:eastAsia="Calibri"/>
                <w:b w:val="0"/>
                <w:i w:val="0"/>
                <w:color w:val="1E293B"/>
                <w:sz w:val="17"/>
              </w:rPr>
              <w:t>Dedicated tenant or approved isolated project structure for each cohort.</w:t>
            </w:r>
          </w:p>
        </w:tc>
        <w:tc>
          <w:tcPr>
            <w:tcW w:type="dxa" w:w="2740"/>
          </w:tcPr>
          <w:p>
            <w:pPr>
              <w:spacing w:after="0" w:line="264" w:lineRule="auto"/>
            </w:pPr>
            <w:r>
              <w:rPr>
                <w:rFonts w:ascii="Calibri" w:hAnsi="Calibri" w:eastAsia="Calibri"/>
                <w:b w:val="0"/>
                <w:i w:val="0"/>
                <w:color w:val="1E293B"/>
                <w:sz w:val="17"/>
              </w:rPr>
              <w:t>Created before cohort; retired after evidence capture</w:t>
            </w:r>
          </w:p>
        </w:tc>
      </w:tr>
      <w:tr>
        <w:trPr>
          <w:cantSplit/>
        </w:trPr>
        <w:tc>
          <w:tcPr>
            <w:tcW w:type="dxa" w:w="1700"/>
          </w:tcPr>
          <w:p>
            <w:pPr>
              <w:spacing w:after="0" w:line="264" w:lineRule="auto"/>
            </w:pPr>
            <w:r>
              <w:rPr>
                <w:rFonts w:ascii="Calibri" w:hAnsi="Calibri" w:eastAsia="Calibri"/>
                <w:b w:val="0"/>
                <w:i w:val="0"/>
                <w:color w:val="1E293B"/>
                <w:sz w:val="17"/>
              </w:rPr>
              <w:t>Team workspace</w:t>
            </w:r>
          </w:p>
        </w:tc>
        <w:tc>
          <w:tcPr>
            <w:tcW w:type="dxa" w:w="4920"/>
          </w:tcPr>
          <w:p>
            <w:pPr>
              <w:spacing w:after="0" w:line="264" w:lineRule="auto"/>
            </w:pPr>
            <w:r>
              <w:rPr>
                <w:rFonts w:ascii="Calibri" w:hAnsi="Calibri" w:eastAsia="Calibri"/>
                <w:b w:val="0"/>
                <w:i w:val="0"/>
                <w:color w:val="1E293B"/>
                <w:sz w:val="17"/>
              </w:rPr>
              <w:t>One logical project/scope per team with identical starting state.</w:t>
            </w:r>
          </w:p>
        </w:tc>
        <w:tc>
          <w:tcPr>
            <w:tcW w:type="dxa" w:w="2740"/>
          </w:tcPr>
          <w:p>
            <w:pPr>
              <w:spacing w:after="0" w:line="264" w:lineRule="auto"/>
            </w:pPr>
            <w:r>
              <w:rPr>
                <w:rFonts w:ascii="Calibri" w:hAnsi="Calibri" w:eastAsia="Calibri"/>
                <w:b w:val="0"/>
                <w:i w:val="0"/>
                <w:color w:val="1E293B"/>
                <w:sz w:val="17"/>
              </w:rPr>
              <w:t>Least-privilege participant role</w:t>
            </w:r>
          </w:p>
        </w:tc>
      </w:tr>
      <w:tr>
        <w:trPr>
          <w:cantSplit/>
        </w:trPr>
        <w:tc>
          <w:tcPr>
            <w:tcW w:type="dxa" w:w="1700"/>
          </w:tcPr>
          <w:p>
            <w:pPr>
              <w:spacing w:after="0" w:line="264" w:lineRule="auto"/>
            </w:pPr>
            <w:r>
              <w:rPr>
                <w:rFonts w:ascii="Calibri" w:hAnsi="Calibri" w:eastAsia="Calibri"/>
                <w:b w:val="0"/>
                <w:i w:val="0"/>
                <w:color w:val="1E293B"/>
                <w:sz w:val="17"/>
              </w:rPr>
              <w:t>Cloud accounts</w:t>
            </w:r>
          </w:p>
        </w:tc>
        <w:tc>
          <w:tcPr>
            <w:tcW w:type="dxa" w:w="4920"/>
          </w:tcPr>
          <w:p>
            <w:pPr>
              <w:spacing w:after="0" w:line="264" w:lineRule="auto"/>
            </w:pPr>
            <w:r>
              <w:rPr>
                <w:rFonts w:ascii="Calibri" w:hAnsi="Calibri" w:eastAsia="Calibri"/>
                <w:b w:val="0"/>
                <w:i w:val="0"/>
                <w:color w:val="1E293B"/>
                <w:sz w:val="17"/>
              </w:rPr>
              <w:t>Synthetic AWS, Azure and GCP training accounts containing benign seeded misconfigurations.</w:t>
            </w:r>
          </w:p>
        </w:tc>
        <w:tc>
          <w:tcPr>
            <w:tcW w:type="dxa" w:w="2740"/>
          </w:tcPr>
          <w:p>
            <w:pPr>
              <w:spacing w:after="0" w:line="264" w:lineRule="auto"/>
            </w:pPr>
            <w:r>
              <w:rPr>
                <w:rFonts w:ascii="Calibri" w:hAnsi="Calibri" w:eastAsia="Calibri"/>
                <w:b w:val="0"/>
                <w:i w:val="0"/>
                <w:color w:val="1E293B"/>
                <w:sz w:val="17"/>
              </w:rPr>
              <w:t>No production peering; budget and quota limits</w:t>
            </w:r>
          </w:p>
        </w:tc>
      </w:tr>
      <w:tr>
        <w:trPr>
          <w:cantSplit/>
        </w:trPr>
        <w:tc>
          <w:tcPr>
            <w:tcW w:type="dxa" w:w="1700"/>
          </w:tcPr>
          <w:p>
            <w:pPr>
              <w:spacing w:after="0" w:line="264" w:lineRule="auto"/>
            </w:pPr>
            <w:r>
              <w:rPr>
                <w:rFonts w:ascii="Calibri" w:hAnsi="Calibri" w:eastAsia="Calibri"/>
                <w:b w:val="0"/>
                <w:i w:val="0"/>
                <w:color w:val="1E293B"/>
                <w:sz w:val="17"/>
              </w:rPr>
              <w:t>Evidence layer</w:t>
            </w:r>
          </w:p>
        </w:tc>
        <w:tc>
          <w:tcPr>
            <w:tcW w:type="dxa" w:w="4920"/>
          </w:tcPr>
          <w:p>
            <w:pPr>
              <w:spacing w:after="0" w:line="264" w:lineRule="auto"/>
            </w:pPr>
            <w:r>
              <w:rPr>
                <w:rFonts w:ascii="Calibri" w:hAnsi="Calibri" w:eastAsia="Calibri"/>
                <w:b w:val="0"/>
                <w:i w:val="0"/>
                <w:color w:val="1E293B"/>
                <w:sz w:val="17"/>
              </w:rPr>
              <w:t>Known expected findings, ownership tags and success evidence.</w:t>
            </w:r>
          </w:p>
        </w:tc>
        <w:tc>
          <w:tcPr>
            <w:tcW w:type="dxa" w:w="2740"/>
          </w:tcPr>
          <w:p>
            <w:pPr>
              <w:spacing w:after="0" w:line="264" w:lineRule="auto"/>
            </w:pPr>
            <w:r>
              <w:rPr>
                <w:rFonts w:ascii="Calibri" w:hAnsi="Calibri" w:eastAsia="Calibri"/>
                <w:b w:val="0"/>
                <w:i w:val="0"/>
                <w:color w:val="1E293B"/>
                <w:sz w:val="17"/>
              </w:rPr>
              <w:t>Hidden facilitator answer key</w:t>
            </w:r>
          </w:p>
        </w:tc>
      </w:tr>
      <w:tr>
        <w:trPr>
          <w:cantSplit/>
        </w:trPr>
        <w:tc>
          <w:tcPr>
            <w:tcW w:type="dxa" w:w="1700"/>
          </w:tcPr>
          <w:p>
            <w:pPr>
              <w:spacing w:after="0" w:line="264" w:lineRule="auto"/>
            </w:pPr>
            <w:r>
              <w:rPr>
                <w:rFonts w:ascii="Calibri" w:hAnsi="Calibri" w:eastAsia="Calibri"/>
                <w:b w:val="0"/>
                <w:i w:val="0"/>
                <w:color w:val="1E293B"/>
                <w:sz w:val="17"/>
              </w:rPr>
              <w:t>Reset mechanism</w:t>
            </w:r>
          </w:p>
        </w:tc>
        <w:tc>
          <w:tcPr>
            <w:tcW w:type="dxa" w:w="4920"/>
          </w:tcPr>
          <w:p>
            <w:pPr>
              <w:spacing w:after="0" w:line="264" w:lineRule="auto"/>
            </w:pPr>
            <w:r>
              <w:rPr>
                <w:rFonts w:ascii="Calibri" w:hAnsi="Calibri" w:eastAsia="Calibri"/>
                <w:b w:val="0"/>
                <w:i w:val="0"/>
                <w:color w:val="1E293B"/>
                <w:sz w:val="17"/>
              </w:rPr>
              <w:t>Infrastructure-as-code reset or deterministic snapshot/runbook.</w:t>
            </w:r>
          </w:p>
        </w:tc>
        <w:tc>
          <w:tcPr>
            <w:tcW w:type="dxa" w:w="2740"/>
          </w:tcPr>
          <w:p>
            <w:pPr>
              <w:spacing w:after="0" w:line="264" w:lineRule="auto"/>
            </w:pPr>
            <w:r>
              <w:rPr>
                <w:rFonts w:ascii="Calibri" w:hAnsi="Calibri" w:eastAsia="Calibri"/>
                <w:b w:val="0"/>
                <w:i w:val="0"/>
                <w:color w:val="1E293B"/>
                <w:sz w:val="17"/>
              </w:rPr>
              <w:t>Validated 72 hours before Day 1</w:t>
            </w:r>
          </w:p>
        </w:tc>
      </w:tr>
      <w:tr>
        <w:trPr>
          <w:cantSplit/>
        </w:trPr>
        <w:tc>
          <w:tcPr>
            <w:tcW w:type="dxa" w:w="1700"/>
          </w:tcPr>
          <w:p>
            <w:pPr>
              <w:spacing w:after="0" w:line="264" w:lineRule="auto"/>
            </w:pPr>
            <w:r>
              <w:rPr>
                <w:rFonts w:ascii="Calibri" w:hAnsi="Calibri" w:eastAsia="Calibri"/>
                <w:b w:val="0"/>
                <w:i w:val="0"/>
                <w:color w:val="1E293B"/>
                <w:sz w:val="17"/>
              </w:rPr>
              <w:t>Telemetry</w:t>
            </w:r>
          </w:p>
        </w:tc>
        <w:tc>
          <w:tcPr>
            <w:tcW w:type="dxa" w:w="4920"/>
          </w:tcPr>
          <w:p>
            <w:pPr>
              <w:spacing w:after="0" w:line="264" w:lineRule="auto"/>
            </w:pPr>
            <w:r>
              <w:rPr>
                <w:rFonts w:ascii="Calibri" w:hAnsi="Calibri" w:eastAsia="Calibri"/>
                <w:b w:val="0"/>
                <w:i w:val="0"/>
                <w:color w:val="1E293B"/>
                <w:sz w:val="17"/>
              </w:rPr>
              <w:t>Health, connection, scan completion and exercise progress dashboard.</w:t>
            </w:r>
          </w:p>
        </w:tc>
        <w:tc>
          <w:tcPr>
            <w:tcW w:type="dxa" w:w="2740"/>
          </w:tcPr>
          <w:p>
            <w:pPr>
              <w:spacing w:after="0" w:line="264" w:lineRule="auto"/>
            </w:pPr>
            <w:r>
              <w:rPr>
                <w:rFonts w:ascii="Calibri" w:hAnsi="Calibri" w:eastAsia="Calibri"/>
                <w:b w:val="0"/>
                <w:i w:val="0"/>
                <w:color w:val="1E293B"/>
                <w:sz w:val="17"/>
              </w:rPr>
              <w:t>Visible to facilitators and lab owner</w:t>
            </w:r>
          </w:p>
        </w:tc>
      </w:tr>
    </w:tbl>
    <w:p>
      <w:pPr>
        <w:spacing w:after="20"/>
        <w:widowControl/>
      </w:pPr>
    </w:p>
    <w:p>
      <w:pPr>
        <w:pStyle w:val="Heading3"/>
        <w:widowControl/>
      </w:pPr>
      <w:r>
        <w:t>Access model</w:t>
      </w:r>
    </w:p>
    <w:tbl>
      <w:tblPr>
        <w:tblStyle w:val="TableGrid"/>
        <w:tblW w:type="dxa" w:w="9360"/>
        <w:jc w:val="left"/>
        <w:tblLayout w:type="fixed"/>
        <w:tblLook w:firstColumn="1" w:firstRow="1" w:lastColumn="0" w:lastRow="0" w:noHBand="0" w:noVBand="1" w:val="04A0"/>
        <w:tblInd w:w="120" w:type="dxa"/>
      </w:tblPr>
      <w:tblGrid>
        <w:gridCol w:w="1800"/>
        <w:gridCol w:w="4960"/>
        <w:gridCol w:w="2600"/>
      </w:tblGrid>
      <w:tr>
        <w:trPr>
          <w:tblHeader w:val="true"/>
        </w:trPr>
        <w:tc>
          <w:tcPr>
            <w:tcW w:type="dxa" w:w="18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Role</w:t>
            </w:r>
          </w:p>
        </w:tc>
        <w:tc>
          <w:tcPr>
            <w:tcW w:type="dxa" w:w="49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Access</w:t>
            </w:r>
          </w:p>
        </w:tc>
        <w:tc>
          <w:tcPr>
            <w:tcW w:type="dxa" w:w="26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Who</w:t>
            </w:r>
          </w:p>
        </w:tc>
      </w:tr>
      <w:tr>
        <w:trPr>
          <w:cantSplit/>
        </w:trPr>
        <w:tc>
          <w:tcPr>
            <w:tcW w:type="dxa" w:w="1800"/>
          </w:tcPr>
          <w:p>
            <w:pPr>
              <w:spacing w:after="0" w:line="264" w:lineRule="auto"/>
            </w:pPr>
            <w:r>
              <w:rPr>
                <w:rFonts w:ascii="Calibri" w:hAnsi="Calibri" w:eastAsia="Calibri"/>
                <w:b w:val="0"/>
                <w:i w:val="0"/>
                <w:color w:val="1E293B"/>
                <w:sz w:val="18"/>
              </w:rPr>
              <w:t>Lab Owner</w:t>
            </w:r>
          </w:p>
        </w:tc>
        <w:tc>
          <w:tcPr>
            <w:tcW w:type="dxa" w:w="4960"/>
          </w:tcPr>
          <w:p>
            <w:pPr>
              <w:spacing w:after="0" w:line="264" w:lineRule="auto"/>
            </w:pPr>
            <w:r>
              <w:rPr>
                <w:rFonts w:ascii="Calibri" w:hAnsi="Calibri" w:eastAsia="Calibri"/>
                <w:b w:val="0"/>
                <w:i w:val="0"/>
                <w:color w:val="1E293B"/>
                <w:sz w:val="18"/>
              </w:rPr>
              <w:t>Tenant administration, connector maintenance, resets and audit review.</w:t>
            </w:r>
          </w:p>
        </w:tc>
        <w:tc>
          <w:tcPr>
            <w:tcW w:type="dxa" w:w="2600"/>
          </w:tcPr>
          <w:p>
            <w:pPr>
              <w:spacing w:after="0" w:line="264" w:lineRule="auto"/>
            </w:pPr>
            <w:r>
              <w:rPr>
                <w:rFonts w:ascii="Calibri" w:hAnsi="Calibri" w:eastAsia="Calibri"/>
                <w:b w:val="0"/>
                <w:i w:val="0"/>
                <w:color w:val="1E293B"/>
                <w:sz w:val="18"/>
              </w:rPr>
              <w:t>APJ technical owner</w:t>
            </w:r>
          </w:p>
        </w:tc>
      </w:tr>
      <w:tr>
        <w:trPr>
          <w:cantSplit/>
        </w:trPr>
        <w:tc>
          <w:tcPr>
            <w:tcW w:type="dxa" w:w="1800"/>
          </w:tcPr>
          <w:p>
            <w:pPr>
              <w:spacing w:after="0" w:line="264" w:lineRule="auto"/>
            </w:pPr>
            <w:r>
              <w:rPr>
                <w:rFonts w:ascii="Calibri" w:hAnsi="Calibri" w:eastAsia="Calibri"/>
                <w:b w:val="0"/>
                <w:i w:val="0"/>
                <w:color w:val="1E293B"/>
                <w:sz w:val="18"/>
              </w:rPr>
              <w:t>Facilitator</w:t>
            </w:r>
          </w:p>
        </w:tc>
        <w:tc>
          <w:tcPr>
            <w:tcW w:type="dxa" w:w="4960"/>
          </w:tcPr>
          <w:p>
            <w:pPr>
              <w:spacing w:after="0" w:line="264" w:lineRule="auto"/>
            </w:pPr>
            <w:r>
              <w:rPr>
                <w:rFonts w:ascii="Calibri" w:hAnsi="Calibri" w:eastAsia="Calibri"/>
                <w:b w:val="0"/>
                <w:i w:val="0"/>
                <w:color w:val="1E293B"/>
                <w:sz w:val="18"/>
              </w:rPr>
              <w:t>Read across team workspaces, inspect progress and reveal evidence.</w:t>
            </w:r>
          </w:p>
        </w:tc>
        <w:tc>
          <w:tcPr>
            <w:tcW w:type="dxa" w:w="2600"/>
          </w:tcPr>
          <w:p>
            <w:pPr>
              <w:spacing w:after="0" w:line="264" w:lineRule="auto"/>
            </w:pPr>
            <w:r>
              <w:rPr>
                <w:rFonts w:ascii="Calibri" w:hAnsi="Calibri" w:eastAsia="Calibri"/>
                <w:b w:val="0"/>
                <w:i w:val="0"/>
                <w:color w:val="1E293B"/>
                <w:sz w:val="18"/>
              </w:rPr>
              <w:t>Certified regional PSA/SE</w:t>
            </w:r>
          </w:p>
        </w:tc>
      </w:tr>
      <w:tr>
        <w:trPr>
          <w:cantSplit/>
        </w:trPr>
        <w:tc>
          <w:tcPr>
            <w:tcW w:type="dxa" w:w="1800"/>
          </w:tcPr>
          <w:p>
            <w:pPr>
              <w:spacing w:after="0" w:line="264" w:lineRule="auto"/>
            </w:pPr>
            <w:r>
              <w:rPr>
                <w:rFonts w:ascii="Calibri" w:hAnsi="Calibri" w:eastAsia="Calibri"/>
                <w:b w:val="0"/>
                <w:i w:val="0"/>
                <w:color w:val="1E293B"/>
                <w:sz w:val="18"/>
              </w:rPr>
              <w:t>Participant</w:t>
            </w:r>
          </w:p>
        </w:tc>
        <w:tc>
          <w:tcPr>
            <w:tcW w:type="dxa" w:w="4960"/>
          </w:tcPr>
          <w:p>
            <w:pPr>
              <w:spacing w:after="0" w:line="264" w:lineRule="auto"/>
            </w:pPr>
            <w:r>
              <w:rPr>
                <w:rFonts w:ascii="Calibri" w:hAnsi="Calibri" w:eastAsia="Calibri"/>
                <w:b w:val="0"/>
                <w:i w:val="0"/>
                <w:color w:val="1E293B"/>
                <w:sz w:val="18"/>
              </w:rPr>
              <w:t>Assigned team scope; analysis and configured exercise actions only.</w:t>
            </w:r>
          </w:p>
        </w:tc>
        <w:tc>
          <w:tcPr>
            <w:tcW w:type="dxa" w:w="2600"/>
          </w:tcPr>
          <w:p>
            <w:pPr>
              <w:spacing w:after="0" w:line="264" w:lineRule="auto"/>
            </w:pPr>
            <w:r>
              <w:rPr>
                <w:rFonts w:ascii="Calibri" w:hAnsi="Calibri" w:eastAsia="Calibri"/>
                <w:b w:val="0"/>
                <w:i w:val="0"/>
                <w:color w:val="1E293B"/>
                <w:sz w:val="18"/>
              </w:rPr>
              <w:t>Partner engineer</w:t>
            </w:r>
          </w:p>
        </w:tc>
      </w:tr>
      <w:tr>
        <w:trPr>
          <w:cantSplit/>
        </w:trPr>
        <w:tc>
          <w:tcPr>
            <w:tcW w:type="dxa" w:w="1800"/>
          </w:tcPr>
          <w:p>
            <w:pPr>
              <w:spacing w:after="0" w:line="264" w:lineRule="auto"/>
            </w:pPr>
            <w:r>
              <w:rPr>
                <w:rFonts w:ascii="Calibri" w:hAnsi="Calibri" w:eastAsia="Calibri"/>
                <w:b w:val="0"/>
                <w:i w:val="0"/>
                <w:color w:val="1E293B"/>
                <w:sz w:val="18"/>
              </w:rPr>
              <w:t>Observer</w:t>
            </w:r>
          </w:p>
        </w:tc>
        <w:tc>
          <w:tcPr>
            <w:tcW w:type="dxa" w:w="4960"/>
          </w:tcPr>
          <w:p>
            <w:pPr>
              <w:spacing w:after="0" w:line="264" w:lineRule="auto"/>
            </w:pPr>
            <w:r>
              <w:rPr>
                <w:rFonts w:ascii="Calibri" w:hAnsi="Calibri" w:eastAsia="Calibri"/>
                <w:b w:val="0"/>
                <w:i w:val="0"/>
                <w:color w:val="1E293B"/>
                <w:sz w:val="18"/>
              </w:rPr>
              <w:t>Read-only view for program leadership or shadow facilitator.</w:t>
            </w:r>
          </w:p>
        </w:tc>
        <w:tc>
          <w:tcPr>
            <w:tcW w:type="dxa" w:w="2600"/>
          </w:tcPr>
          <w:p>
            <w:pPr>
              <w:spacing w:after="0" w:line="264" w:lineRule="auto"/>
            </w:pPr>
            <w:r>
              <w:rPr>
                <w:rFonts w:ascii="Calibri" w:hAnsi="Calibri" w:eastAsia="Calibri"/>
                <w:b w:val="0"/>
                <w:i w:val="0"/>
                <w:color w:val="1E293B"/>
                <w:sz w:val="18"/>
              </w:rPr>
              <w:t>Approved internal staff</w:t>
            </w:r>
          </w:p>
        </w:tc>
      </w:tr>
    </w:tbl>
    <w:p>
      <w:pPr>
        <w:spacing w:after="20"/>
        <w:widowControl/>
      </w:pPr>
    </w:p>
    <w:p>
      <w:pPr>
        <w:keepLines/>
        <w:spacing w:before="80" w:after="200"/>
        <w:widowControl/>
      </w:pPr>
      <w:r>
        <w:rPr>
          <w:rFonts w:ascii="Calibri" w:hAnsi="Calibri" w:eastAsia="Calibri"/>
          <w:b/>
          <w:i w:val="0"/>
          <w:color w:val="000000"/>
          <w:sz w:val="21"/>
        </w:rPr>
        <w:t xml:space="preserve">TENANT DECISION REQUIRED: </w:t>
      </w:r>
      <w:r>
        <w:rPr>
          <w:rFonts w:ascii="Calibri" w:hAnsi="Calibri" w:eastAsia="Calibri"/>
          <w:b w:val="0"/>
          <w:i w:val="0"/>
          <w:color w:val="1E293B"/>
          <w:sz w:val="21"/>
        </w:rPr>
        <w:t>Confirm whether the approved platform supports cloning, project-level isolation and cohort reset. If not, use a centrally staged NFR/training tenant with deterministic cloud accounts and a documented reset runbook. Internal licensing and support policy must govern the final design.</w:t>
      </w:r>
    </w:p>
    <w:p>
      <w:pPr>
        <w:pStyle w:val="Heading2"/>
        <w:widowControl/>
      </w:pPr>
      <w:r>
        <w:t>11. Tenant Security and Operational Controls</w:t>
      </w:r>
    </w:p>
    <w:p>
      <w:pPr>
        <w:numPr>
          <w:ilvl w:val="0"/>
          <w:numId w:val="10"/>
        </w:numPr>
        <w:spacing w:after="80" w:line="300" w:lineRule="auto"/>
        <w:ind w:left="540" w:hanging="271"/>
        <w:widowControl/>
      </w:pPr>
      <w:r>
        <w:rPr>
          <w:rFonts w:ascii="Calibri" w:hAnsi="Calibri" w:eastAsia="Calibri"/>
          <w:b w:val="0"/>
          <w:i w:val="0"/>
          <w:color w:val="1E293B"/>
          <w:sz w:val="22"/>
        </w:rPr>
        <w:t>Use synthetic data only; prohibit customer data, production credentials and personal information.</w:t>
      </w:r>
    </w:p>
    <w:p>
      <w:pPr>
        <w:numPr>
          <w:ilvl w:val="0"/>
          <w:numId w:val="10"/>
        </w:numPr>
        <w:spacing w:after="80" w:line="300" w:lineRule="auto"/>
        <w:ind w:left="540" w:hanging="271"/>
        <w:widowControl/>
      </w:pPr>
      <w:r>
        <w:rPr>
          <w:rFonts w:ascii="Calibri" w:hAnsi="Calibri" w:eastAsia="Calibri"/>
          <w:b w:val="0"/>
          <w:i w:val="0"/>
          <w:color w:val="1E293B"/>
          <w:sz w:val="22"/>
        </w:rPr>
        <w:t>Use individual participant identities, MFA and time-bounded access. Do not share administrator credentials.</w:t>
      </w:r>
    </w:p>
    <w:p>
      <w:pPr>
        <w:numPr>
          <w:ilvl w:val="0"/>
          <w:numId w:val="10"/>
        </w:numPr>
        <w:spacing w:after="80" w:line="300" w:lineRule="auto"/>
        <w:ind w:left="540" w:hanging="271"/>
        <w:widowControl/>
      </w:pPr>
      <w:r>
        <w:rPr>
          <w:rFonts w:ascii="Calibri" w:hAnsi="Calibri" w:eastAsia="Calibri"/>
          <w:b w:val="0"/>
          <w:i w:val="0"/>
          <w:color w:val="1E293B"/>
          <w:sz w:val="22"/>
        </w:rPr>
        <w:t>Apply least privilege and separate participant, facilitator and lab-owner roles.</w:t>
      </w:r>
    </w:p>
    <w:p>
      <w:pPr>
        <w:numPr>
          <w:ilvl w:val="0"/>
          <w:numId w:val="10"/>
        </w:numPr>
        <w:spacing w:after="80" w:line="300" w:lineRule="auto"/>
        <w:ind w:left="540" w:hanging="271"/>
        <w:widowControl/>
      </w:pPr>
      <w:r>
        <w:rPr>
          <w:rFonts w:ascii="Calibri" w:hAnsi="Calibri" w:eastAsia="Calibri"/>
          <w:b w:val="0"/>
          <w:i w:val="0"/>
          <w:color w:val="1E293B"/>
          <w:sz w:val="22"/>
        </w:rPr>
        <w:t>Maintain an approved seeded-risk inventory and prohibit uncontrolled exploitation activity.</w:t>
      </w:r>
    </w:p>
    <w:p>
      <w:pPr>
        <w:numPr>
          <w:ilvl w:val="0"/>
          <w:numId w:val="10"/>
        </w:numPr>
        <w:spacing w:after="80" w:line="300" w:lineRule="auto"/>
        <w:ind w:left="540" w:hanging="271"/>
        <w:widowControl/>
      </w:pPr>
      <w:r>
        <w:rPr>
          <w:rFonts w:ascii="Calibri" w:hAnsi="Calibri" w:eastAsia="Calibri"/>
          <w:b w:val="0"/>
          <w:i w:val="0"/>
          <w:color w:val="1E293B"/>
          <w:sz w:val="22"/>
        </w:rPr>
        <w:t>Rotate credentials and revoke cohort access immediately after the workshop or practicum window.</w:t>
      </w:r>
    </w:p>
    <w:p>
      <w:pPr>
        <w:numPr>
          <w:ilvl w:val="0"/>
          <w:numId w:val="10"/>
        </w:numPr>
        <w:spacing w:after="80" w:line="300" w:lineRule="auto"/>
        <w:ind w:left="540" w:hanging="271"/>
        <w:widowControl/>
      </w:pPr>
      <w:r>
        <w:rPr>
          <w:rFonts w:ascii="Calibri" w:hAnsi="Calibri" w:eastAsia="Calibri"/>
          <w:b w:val="0"/>
          <w:i w:val="0"/>
          <w:color w:val="1E293B"/>
          <w:sz w:val="22"/>
        </w:rPr>
        <w:t>Place cost ceilings, service quotas and automated shutdown controls on cloud lab accounts.</w:t>
      </w:r>
    </w:p>
    <w:p>
      <w:pPr>
        <w:numPr>
          <w:ilvl w:val="0"/>
          <w:numId w:val="10"/>
        </w:numPr>
        <w:spacing w:after="80" w:line="300" w:lineRule="auto"/>
        <w:ind w:left="540" w:hanging="271"/>
        <w:widowControl/>
      </w:pPr>
      <w:r>
        <w:rPr>
          <w:rFonts w:ascii="Calibri" w:hAnsi="Calibri" w:eastAsia="Calibri"/>
          <w:b w:val="0"/>
          <w:i w:val="0"/>
          <w:color w:val="1E293B"/>
          <w:sz w:val="22"/>
        </w:rPr>
        <w:t>Maintain regional data-handling guidance and obtain Legal/Security approval before cross-region delivery.</w:t>
      </w:r>
    </w:p>
    <w:p>
      <w:pPr>
        <w:numPr>
          <w:ilvl w:val="0"/>
          <w:numId w:val="10"/>
        </w:numPr>
        <w:spacing w:after="80" w:line="300" w:lineRule="auto"/>
        <w:ind w:left="540" w:hanging="271"/>
        <w:widowControl/>
      </w:pPr>
      <w:r>
        <w:rPr>
          <w:rFonts w:ascii="Calibri" w:hAnsi="Calibri" w:eastAsia="Calibri"/>
          <w:b w:val="0"/>
          <w:i w:val="0"/>
          <w:color w:val="1E293B"/>
          <w:sz w:val="22"/>
        </w:rPr>
        <w:t>Run a change freeze 72 hours before delivery and a health check 24 hours before participant access.</w:t>
      </w:r>
    </w:p>
    <w:p>
      <w:pPr>
        <w:pStyle w:val="Heading2"/>
        <w:widowControl/>
      </w:pPr>
      <w:r>
        <w:t>12. Seeded Risk Scenario Catalog</w:t>
      </w:r>
    </w:p>
    <w:p>
      <w:pPr>
        <w:spacing w:after="120" w:line="300" w:lineRule="auto"/>
        <w:widowControl/>
      </w:pPr>
      <w:r>
        <w:rPr>
          <w:rFonts w:ascii="Calibri" w:hAnsi="Calibri" w:eastAsia="Calibri"/>
          <w:b w:val="0"/>
          <w:i w:val="0"/>
          <w:color w:val="1E293B"/>
          <w:sz w:val="22"/>
        </w:rPr>
        <w:t>The core scenarios are designed to demonstrate contextual prioritization and cross-functional ownership. Exact findings and feature availability must be validated against the current product release and licensed scope before each cohort.</w:t>
      </w:r>
    </w:p>
    <w:tbl>
      <w:tblPr>
        <w:tblStyle w:val="TableGrid"/>
        <w:tblW w:type="dxa" w:w="9360"/>
        <w:jc w:val="left"/>
        <w:tblLayout w:type="fixed"/>
        <w:tblLook w:firstColumn="1" w:firstRow="1" w:lastColumn="0" w:lastRow="0" w:noHBand="0" w:noVBand="1" w:val="04A0"/>
        <w:tblInd w:w="120" w:type="dxa"/>
      </w:tblPr>
      <w:tblGrid>
        <w:gridCol w:w="650"/>
        <w:gridCol w:w="2900"/>
        <w:gridCol w:w="4050"/>
        <w:gridCol w:w="1760"/>
      </w:tblGrid>
      <w:tr>
        <w:trPr>
          <w:tblHeader w:val="true"/>
        </w:trPr>
        <w:tc>
          <w:tcPr>
            <w:tcW w:type="dxa" w:w="6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5"/>
              </w:rPr>
              <w:t>ID</w:t>
            </w:r>
          </w:p>
        </w:tc>
        <w:tc>
          <w:tcPr>
            <w:tcW w:type="dxa" w:w="29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5"/>
              </w:rPr>
              <w:t>Scenario</w:t>
            </w:r>
          </w:p>
        </w:tc>
        <w:tc>
          <w:tcPr>
            <w:tcW w:type="dxa" w:w="40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5"/>
              </w:rPr>
              <w:t>Evidence Participants Must Produce</w:t>
            </w:r>
          </w:p>
        </w:tc>
        <w:tc>
          <w:tcPr>
            <w:tcW w:type="dxa" w:w="17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5"/>
              </w:rPr>
              <w:t>Primary Persona</w:t>
            </w:r>
          </w:p>
        </w:tc>
      </w:tr>
      <w:tr>
        <w:trPr>
          <w:cantSplit/>
        </w:trPr>
        <w:tc>
          <w:tcPr>
            <w:tcW w:type="dxa" w:w="650"/>
          </w:tcPr>
          <w:p>
            <w:pPr>
              <w:spacing w:after="0" w:line="264" w:lineRule="auto"/>
            </w:pPr>
            <w:r>
              <w:rPr>
                <w:rFonts w:ascii="Calibri" w:hAnsi="Calibri" w:eastAsia="Calibri"/>
                <w:b w:val="0"/>
                <w:i w:val="0"/>
                <w:color w:val="1E293B"/>
                <w:sz w:val="15"/>
              </w:rPr>
              <w:t>S1</w:t>
            </w:r>
          </w:p>
        </w:tc>
        <w:tc>
          <w:tcPr>
            <w:tcW w:type="dxa" w:w="2900"/>
          </w:tcPr>
          <w:p>
            <w:pPr>
              <w:spacing w:after="0" w:line="264" w:lineRule="auto"/>
            </w:pPr>
            <w:r>
              <w:rPr>
                <w:rFonts w:ascii="Calibri" w:hAnsi="Calibri" w:eastAsia="Calibri"/>
                <w:b w:val="0"/>
                <w:i w:val="0"/>
                <w:color w:val="1E293B"/>
                <w:sz w:val="15"/>
              </w:rPr>
              <w:t>Internet-exposed workload with a critical vulnerability and a path to a sensitive data service.</w:t>
            </w:r>
          </w:p>
        </w:tc>
        <w:tc>
          <w:tcPr>
            <w:tcW w:type="dxa" w:w="4050"/>
          </w:tcPr>
          <w:p>
            <w:pPr>
              <w:spacing w:after="0" w:line="264" w:lineRule="auto"/>
            </w:pPr>
            <w:r>
              <w:rPr>
                <w:rFonts w:ascii="Calibri" w:hAnsi="Calibri" w:eastAsia="Calibri"/>
                <w:b w:val="0"/>
                <w:i w:val="0"/>
                <w:color w:val="1E293B"/>
                <w:sz w:val="15"/>
              </w:rPr>
              <w:t>Explain the attack path, affected business service, owner and first remediation action.</w:t>
            </w:r>
          </w:p>
        </w:tc>
        <w:tc>
          <w:tcPr>
            <w:tcW w:type="dxa" w:w="1760"/>
          </w:tcPr>
          <w:p>
            <w:pPr>
              <w:spacing w:after="0" w:line="264" w:lineRule="auto"/>
            </w:pPr>
            <w:r>
              <w:rPr>
                <w:rFonts w:ascii="Calibri" w:hAnsi="Calibri" w:eastAsia="Calibri"/>
                <w:b w:val="0"/>
                <w:i w:val="0"/>
                <w:color w:val="1E293B"/>
                <w:sz w:val="15"/>
              </w:rPr>
              <w:t>CISO / Cloud Security</w:t>
            </w:r>
          </w:p>
        </w:tc>
      </w:tr>
      <w:tr>
        <w:trPr>
          <w:cantSplit/>
        </w:trPr>
        <w:tc>
          <w:tcPr>
            <w:tcW w:type="dxa" w:w="650"/>
          </w:tcPr>
          <w:p>
            <w:pPr>
              <w:spacing w:after="0" w:line="264" w:lineRule="auto"/>
            </w:pPr>
            <w:r>
              <w:rPr>
                <w:rFonts w:ascii="Calibri" w:hAnsi="Calibri" w:eastAsia="Calibri"/>
                <w:b w:val="0"/>
                <w:i w:val="0"/>
                <w:color w:val="1E293B"/>
                <w:sz w:val="15"/>
              </w:rPr>
              <w:t>S2</w:t>
            </w:r>
          </w:p>
        </w:tc>
        <w:tc>
          <w:tcPr>
            <w:tcW w:type="dxa" w:w="2900"/>
          </w:tcPr>
          <w:p>
            <w:pPr>
              <w:spacing w:after="0" w:line="264" w:lineRule="auto"/>
            </w:pPr>
            <w:r>
              <w:rPr>
                <w:rFonts w:ascii="Calibri" w:hAnsi="Calibri" w:eastAsia="Calibri"/>
                <w:b w:val="0"/>
                <w:i w:val="0"/>
                <w:color w:val="1E293B"/>
                <w:sz w:val="15"/>
              </w:rPr>
              <w:t>Publicly reachable storage with synthetic regulated-data labels and weak access controls.</w:t>
            </w:r>
          </w:p>
        </w:tc>
        <w:tc>
          <w:tcPr>
            <w:tcW w:type="dxa" w:w="4050"/>
          </w:tcPr>
          <w:p>
            <w:pPr>
              <w:spacing w:after="0" w:line="264" w:lineRule="auto"/>
            </w:pPr>
            <w:r>
              <w:rPr>
                <w:rFonts w:ascii="Calibri" w:hAnsi="Calibri" w:eastAsia="Calibri"/>
                <w:b w:val="0"/>
                <w:i w:val="0"/>
                <w:color w:val="1E293B"/>
                <w:sz w:val="15"/>
              </w:rPr>
              <w:t>Separate exposure from sensitivity; propose owner-specific remediation and validation.</w:t>
            </w:r>
          </w:p>
        </w:tc>
        <w:tc>
          <w:tcPr>
            <w:tcW w:type="dxa" w:w="1760"/>
          </w:tcPr>
          <w:p>
            <w:pPr>
              <w:spacing w:after="0" w:line="264" w:lineRule="auto"/>
            </w:pPr>
            <w:r>
              <w:rPr>
                <w:rFonts w:ascii="Calibri" w:hAnsi="Calibri" w:eastAsia="Calibri"/>
                <w:b w:val="0"/>
                <w:i w:val="0"/>
                <w:color w:val="1E293B"/>
                <w:sz w:val="15"/>
              </w:rPr>
              <w:t>GRC / Data owner</w:t>
            </w:r>
          </w:p>
        </w:tc>
      </w:tr>
      <w:tr>
        <w:trPr>
          <w:cantSplit/>
        </w:trPr>
        <w:tc>
          <w:tcPr>
            <w:tcW w:type="dxa" w:w="650"/>
          </w:tcPr>
          <w:p>
            <w:pPr>
              <w:spacing w:after="0" w:line="264" w:lineRule="auto"/>
            </w:pPr>
            <w:r>
              <w:rPr>
                <w:rFonts w:ascii="Calibri" w:hAnsi="Calibri" w:eastAsia="Calibri"/>
                <w:b w:val="0"/>
                <w:i w:val="0"/>
                <w:color w:val="1E293B"/>
                <w:sz w:val="15"/>
              </w:rPr>
              <w:t>S3</w:t>
            </w:r>
          </w:p>
        </w:tc>
        <w:tc>
          <w:tcPr>
            <w:tcW w:type="dxa" w:w="2900"/>
          </w:tcPr>
          <w:p>
            <w:pPr>
              <w:spacing w:after="0" w:line="264" w:lineRule="auto"/>
            </w:pPr>
            <w:r>
              <w:rPr>
                <w:rFonts w:ascii="Calibri" w:hAnsi="Calibri" w:eastAsia="Calibri"/>
                <w:b w:val="0"/>
                <w:i w:val="0"/>
                <w:color w:val="1E293B"/>
                <w:sz w:val="15"/>
              </w:rPr>
              <w:t>Over-privileged workload identity with lateral movement potential.</w:t>
            </w:r>
          </w:p>
        </w:tc>
        <w:tc>
          <w:tcPr>
            <w:tcW w:type="dxa" w:w="4050"/>
          </w:tcPr>
          <w:p>
            <w:pPr>
              <w:spacing w:after="0" w:line="264" w:lineRule="auto"/>
            </w:pPr>
            <w:r>
              <w:rPr>
                <w:rFonts w:ascii="Calibri" w:hAnsi="Calibri" w:eastAsia="Calibri"/>
                <w:b w:val="0"/>
                <w:i w:val="0"/>
                <w:color w:val="1E293B"/>
                <w:sz w:val="15"/>
              </w:rPr>
              <w:t>Describe effective privilege, reachable assets and least-privilege next step.</w:t>
            </w:r>
          </w:p>
        </w:tc>
        <w:tc>
          <w:tcPr>
            <w:tcW w:type="dxa" w:w="1760"/>
          </w:tcPr>
          <w:p>
            <w:pPr>
              <w:spacing w:after="0" w:line="264" w:lineRule="auto"/>
            </w:pPr>
            <w:r>
              <w:rPr>
                <w:rFonts w:ascii="Calibri" w:hAnsi="Calibri" w:eastAsia="Calibri"/>
                <w:b w:val="0"/>
                <w:i w:val="0"/>
                <w:color w:val="1E293B"/>
                <w:sz w:val="15"/>
              </w:rPr>
              <w:t>Cloud Platform</w:t>
            </w:r>
          </w:p>
        </w:tc>
      </w:tr>
      <w:tr>
        <w:trPr>
          <w:cantSplit/>
        </w:trPr>
        <w:tc>
          <w:tcPr>
            <w:tcW w:type="dxa" w:w="650"/>
          </w:tcPr>
          <w:p>
            <w:pPr>
              <w:spacing w:after="0" w:line="264" w:lineRule="auto"/>
            </w:pPr>
            <w:r>
              <w:rPr>
                <w:rFonts w:ascii="Calibri" w:hAnsi="Calibri" w:eastAsia="Calibri"/>
                <w:b w:val="0"/>
                <w:i w:val="0"/>
                <w:color w:val="1E293B"/>
                <w:sz w:val="15"/>
              </w:rPr>
              <w:t>S4</w:t>
            </w:r>
          </w:p>
        </w:tc>
        <w:tc>
          <w:tcPr>
            <w:tcW w:type="dxa" w:w="2900"/>
          </w:tcPr>
          <w:p>
            <w:pPr>
              <w:spacing w:after="0" w:line="264" w:lineRule="auto"/>
            </w:pPr>
            <w:r>
              <w:rPr>
                <w:rFonts w:ascii="Calibri" w:hAnsi="Calibri" w:eastAsia="Calibri"/>
                <w:b w:val="0"/>
                <w:i w:val="0"/>
                <w:color w:val="1E293B"/>
                <w:sz w:val="15"/>
              </w:rPr>
              <w:t>Critical container image vulnerability deployed to a production-tagged cluster.</w:t>
            </w:r>
          </w:p>
        </w:tc>
        <w:tc>
          <w:tcPr>
            <w:tcW w:type="dxa" w:w="4050"/>
          </w:tcPr>
          <w:p>
            <w:pPr>
              <w:spacing w:after="0" w:line="264" w:lineRule="auto"/>
            </w:pPr>
            <w:r>
              <w:rPr>
                <w:rFonts w:ascii="Calibri" w:hAnsi="Calibri" w:eastAsia="Calibri"/>
                <w:b w:val="0"/>
                <w:i w:val="0"/>
                <w:color w:val="1E293B"/>
                <w:sz w:val="15"/>
              </w:rPr>
              <w:t>Prioritize deployed exposure over an unused image and route to the correct team.</w:t>
            </w:r>
          </w:p>
        </w:tc>
        <w:tc>
          <w:tcPr>
            <w:tcW w:type="dxa" w:w="1760"/>
          </w:tcPr>
          <w:p>
            <w:pPr>
              <w:spacing w:after="0" w:line="264" w:lineRule="auto"/>
            </w:pPr>
            <w:r>
              <w:rPr>
                <w:rFonts w:ascii="Calibri" w:hAnsi="Calibri" w:eastAsia="Calibri"/>
                <w:b w:val="0"/>
                <w:i w:val="0"/>
                <w:color w:val="1E293B"/>
                <w:sz w:val="15"/>
              </w:rPr>
              <w:t>DevSecOps</w:t>
            </w:r>
          </w:p>
        </w:tc>
      </w:tr>
      <w:tr>
        <w:trPr>
          <w:cantSplit/>
        </w:trPr>
        <w:tc>
          <w:tcPr>
            <w:tcW w:type="dxa" w:w="650"/>
          </w:tcPr>
          <w:p>
            <w:pPr>
              <w:spacing w:after="0" w:line="264" w:lineRule="auto"/>
            </w:pPr>
            <w:r>
              <w:rPr>
                <w:rFonts w:ascii="Calibri" w:hAnsi="Calibri" w:eastAsia="Calibri"/>
                <w:b w:val="0"/>
                <w:i w:val="0"/>
                <w:color w:val="1E293B"/>
                <w:sz w:val="15"/>
              </w:rPr>
              <w:t>S5</w:t>
            </w:r>
          </w:p>
        </w:tc>
        <w:tc>
          <w:tcPr>
            <w:tcW w:type="dxa" w:w="2900"/>
          </w:tcPr>
          <w:p>
            <w:pPr>
              <w:spacing w:after="0" w:line="264" w:lineRule="auto"/>
            </w:pPr>
            <w:r>
              <w:rPr>
                <w:rFonts w:ascii="Calibri" w:hAnsi="Calibri" w:eastAsia="Calibri"/>
                <w:b w:val="0"/>
                <w:i w:val="0"/>
                <w:color w:val="1E293B"/>
                <w:sz w:val="15"/>
              </w:rPr>
              <w:t>Infrastructure-as-code/configuration issue that reappears after cloud-side remediation.</w:t>
            </w:r>
          </w:p>
        </w:tc>
        <w:tc>
          <w:tcPr>
            <w:tcW w:type="dxa" w:w="4050"/>
          </w:tcPr>
          <w:p>
            <w:pPr>
              <w:spacing w:after="0" w:line="264" w:lineRule="auto"/>
            </w:pPr>
            <w:r>
              <w:rPr>
                <w:rFonts w:ascii="Calibri" w:hAnsi="Calibri" w:eastAsia="Calibri"/>
                <w:b w:val="0"/>
                <w:i w:val="0"/>
                <w:color w:val="1E293B"/>
                <w:sz w:val="15"/>
              </w:rPr>
              <w:t>Connect the cloud risk to its source and recommend a durable workflow.</w:t>
            </w:r>
          </w:p>
        </w:tc>
        <w:tc>
          <w:tcPr>
            <w:tcW w:type="dxa" w:w="1760"/>
          </w:tcPr>
          <w:p>
            <w:pPr>
              <w:spacing w:after="0" w:line="264" w:lineRule="auto"/>
            </w:pPr>
            <w:r>
              <w:rPr>
                <w:rFonts w:ascii="Calibri" w:hAnsi="Calibri" w:eastAsia="Calibri"/>
                <w:b w:val="0"/>
                <w:i w:val="0"/>
                <w:color w:val="1E293B"/>
                <w:sz w:val="15"/>
              </w:rPr>
              <w:t>DevSecOps / Platform</w:t>
            </w:r>
          </w:p>
        </w:tc>
      </w:tr>
      <w:tr>
        <w:trPr>
          <w:cantSplit/>
        </w:trPr>
        <w:tc>
          <w:tcPr>
            <w:tcW w:type="dxa" w:w="650"/>
          </w:tcPr>
          <w:p>
            <w:pPr>
              <w:spacing w:after="0" w:line="264" w:lineRule="auto"/>
            </w:pPr>
            <w:r>
              <w:rPr>
                <w:rFonts w:ascii="Calibri" w:hAnsi="Calibri" w:eastAsia="Calibri"/>
                <w:b w:val="0"/>
                <w:i w:val="0"/>
                <w:color w:val="1E293B"/>
                <w:sz w:val="15"/>
              </w:rPr>
              <w:t>S6</w:t>
            </w:r>
          </w:p>
        </w:tc>
        <w:tc>
          <w:tcPr>
            <w:tcW w:type="dxa" w:w="2900"/>
          </w:tcPr>
          <w:p>
            <w:pPr>
              <w:spacing w:after="0" w:line="264" w:lineRule="auto"/>
            </w:pPr>
            <w:r>
              <w:rPr>
                <w:rFonts w:ascii="Calibri" w:hAnsi="Calibri" w:eastAsia="Calibri"/>
                <w:b w:val="0"/>
                <w:i w:val="0"/>
                <w:color w:val="1E293B"/>
                <w:sz w:val="15"/>
              </w:rPr>
              <w:t>Compliance drift across two business units with inconsistent ownership metadata.</w:t>
            </w:r>
          </w:p>
        </w:tc>
        <w:tc>
          <w:tcPr>
            <w:tcW w:type="dxa" w:w="4050"/>
          </w:tcPr>
          <w:p>
            <w:pPr>
              <w:spacing w:after="0" w:line="264" w:lineRule="auto"/>
            </w:pPr>
            <w:r>
              <w:rPr>
                <w:rFonts w:ascii="Calibri" w:hAnsi="Calibri" w:eastAsia="Calibri"/>
                <w:b w:val="0"/>
                <w:i w:val="0"/>
                <w:color w:val="1E293B"/>
                <w:sz w:val="15"/>
              </w:rPr>
              <w:t>Frame control evidence, scope limitation and a repeatable governance action.</w:t>
            </w:r>
          </w:p>
        </w:tc>
        <w:tc>
          <w:tcPr>
            <w:tcW w:type="dxa" w:w="1760"/>
          </w:tcPr>
          <w:p>
            <w:pPr>
              <w:spacing w:after="0" w:line="264" w:lineRule="auto"/>
            </w:pPr>
            <w:r>
              <w:rPr>
                <w:rFonts w:ascii="Calibri" w:hAnsi="Calibri" w:eastAsia="Calibri"/>
                <w:b w:val="0"/>
                <w:i w:val="0"/>
                <w:color w:val="1E293B"/>
                <w:sz w:val="15"/>
              </w:rPr>
              <w:t>GRC</w:t>
            </w:r>
          </w:p>
        </w:tc>
      </w:tr>
      <w:tr>
        <w:trPr>
          <w:cantSplit/>
        </w:trPr>
        <w:tc>
          <w:tcPr>
            <w:tcW w:type="dxa" w:w="650"/>
          </w:tcPr>
          <w:p>
            <w:pPr>
              <w:spacing w:after="0" w:line="264" w:lineRule="auto"/>
            </w:pPr>
            <w:r>
              <w:rPr>
                <w:rFonts w:ascii="Calibri" w:hAnsi="Calibri" w:eastAsia="Calibri"/>
                <w:b w:val="0"/>
                <w:i w:val="0"/>
                <w:color w:val="1E293B"/>
                <w:sz w:val="15"/>
              </w:rPr>
              <w:t>S7</w:t>
            </w:r>
          </w:p>
        </w:tc>
        <w:tc>
          <w:tcPr>
            <w:tcW w:type="dxa" w:w="2900"/>
          </w:tcPr>
          <w:p>
            <w:pPr>
              <w:spacing w:after="0" w:line="264" w:lineRule="auto"/>
            </w:pPr>
            <w:r>
              <w:rPr>
                <w:rFonts w:ascii="Calibri" w:hAnsi="Calibri" w:eastAsia="Calibri"/>
                <w:b w:val="0"/>
                <w:i w:val="0"/>
                <w:color w:val="1E293B"/>
                <w:sz w:val="15"/>
              </w:rPr>
              <w:t>High-volume low-context findings that distract from three material risk chains.</w:t>
            </w:r>
          </w:p>
        </w:tc>
        <w:tc>
          <w:tcPr>
            <w:tcW w:type="dxa" w:w="4050"/>
          </w:tcPr>
          <w:p>
            <w:pPr>
              <w:spacing w:after="0" w:line="264" w:lineRule="auto"/>
            </w:pPr>
            <w:r>
              <w:rPr>
                <w:rFonts w:ascii="Calibri" w:hAnsi="Calibri" w:eastAsia="Calibri"/>
                <w:b w:val="0"/>
                <w:i w:val="0"/>
                <w:color w:val="1E293B"/>
                <w:sz w:val="15"/>
              </w:rPr>
              <w:t>Demonstrate prioritization logic and a focused 30/60/90-day backlog.</w:t>
            </w:r>
          </w:p>
        </w:tc>
        <w:tc>
          <w:tcPr>
            <w:tcW w:type="dxa" w:w="1760"/>
          </w:tcPr>
          <w:p>
            <w:pPr>
              <w:spacing w:after="0" w:line="264" w:lineRule="auto"/>
            </w:pPr>
            <w:r>
              <w:rPr>
                <w:rFonts w:ascii="Calibri" w:hAnsi="Calibri" w:eastAsia="Calibri"/>
                <w:b w:val="0"/>
                <w:i w:val="0"/>
                <w:color w:val="1E293B"/>
                <w:sz w:val="15"/>
              </w:rPr>
              <w:t>CISO / SecOps</w:t>
            </w:r>
          </w:p>
        </w:tc>
      </w:tr>
    </w:tbl>
    <w:p>
      <w:pPr>
        <w:spacing w:after="20"/>
        <w:widowControl/>
      </w:pPr>
    </w:p>
    <w:p>
      <w:pPr>
        <w:pStyle w:val="Heading3"/>
        <w:widowControl/>
      </w:pPr>
      <w:r>
        <w:t>Core versus elective scenario packs</w:t>
      </w:r>
    </w:p>
    <w:tbl>
      <w:tblPr>
        <w:tblStyle w:val="TableGrid"/>
        <w:tblW w:type="dxa" w:w="9360"/>
        <w:jc w:val="left"/>
        <w:tblLayout w:type="fixed"/>
        <w:tblLook w:firstColumn="1" w:firstRow="1" w:lastColumn="0" w:lastRow="0" w:noHBand="0" w:noVBand="1" w:val="04A0"/>
        <w:tblInd w:w="120" w:type="dxa"/>
      </w:tblPr>
      <w:tblGrid>
        <w:gridCol w:w="2000"/>
        <w:gridCol w:w="5260"/>
        <w:gridCol w:w="2100"/>
      </w:tblGrid>
      <w:tr>
        <w:trPr>
          <w:tblHeader w:val="true"/>
        </w:trPr>
        <w:tc>
          <w:tcPr>
            <w:tcW w:type="dxa" w:w="20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Pack</w:t>
            </w:r>
          </w:p>
        </w:tc>
        <w:tc>
          <w:tcPr>
            <w:tcW w:type="dxa" w:w="52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Use</w:t>
            </w:r>
          </w:p>
        </w:tc>
        <w:tc>
          <w:tcPr>
            <w:tcW w:type="dxa" w:w="21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Status</w:t>
            </w:r>
          </w:p>
        </w:tc>
      </w:tr>
      <w:tr>
        <w:trPr>
          <w:cantSplit/>
        </w:trPr>
        <w:tc>
          <w:tcPr>
            <w:tcW w:type="dxa" w:w="2000"/>
          </w:tcPr>
          <w:p>
            <w:pPr>
              <w:spacing w:after="0" w:line="264" w:lineRule="auto"/>
            </w:pPr>
            <w:r>
              <w:rPr>
                <w:rFonts w:ascii="Calibri" w:hAnsi="Calibri" w:eastAsia="Calibri"/>
                <w:b w:val="0"/>
                <w:i w:val="0"/>
                <w:color w:val="1E293B"/>
                <w:sz w:val="17"/>
              </w:rPr>
              <w:t>Core Multi-Cloud Risk</w:t>
            </w:r>
          </w:p>
        </w:tc>
        <w:tc>
          <w:tcPr>
            <w:tcW w:type="dxa" w:w="5260"/>
          </w:tcPr>
          <w:p>
            <w:pPr>
              <w:spacing w:after="0" w:line="264" w:lineRule="auto"/>
            </w:pPr>
            <w:r>
              <w:rPr>
                <w:rFonts w:ascii="Calibri" w:hAnsi="Calibri" w:eastAsia="Calibri"/>
                <w:b w:val="0"/>
                <w:i w:val="0"/>
                <w:color w:val="1E293B"/>
                <w:sz w:val="17"/>
              </w:rPr>
              <w:t>Visibility, toxic combinations, vulnerability, identity, data and ownership.</w:t>
            </w:r>
          </w:p>
        </w:tc>
        <w:tc>
          <w:tcPr>
            <w:tcW w:type="dxa" w:w="2100"/>
          </w:tcPr>
          <w:p>
            <w:pPr>
              <w:spacing w:after="0" w:line="264" w:lineRule="auto"/>
            </w:pPr>
            <w:r>
              <w:rPr>
                <w:rFonts w:ascii="Calibri" w:hAnsi="Calibri" w:eastAsia="Calibri"/>
                <w:b w:val="0"/>
                <w:i w:val="0"/>
                <w:color w:val="1E293B"/>
                <w:sz w:val="17"/>
              </w:rPr>
              <w:t>Mandatory</w:t>
            </w:r>
          </w:p>
        </w:tc>
      </w:tr>
      <w:tr>
        <w:trPr>
          <w:cantSplit/>
        </w:trPr>
        <w:tc>
          <w:tcPr>
            <w:tcW w:type="dxa" w:w="2000"/>
          </w:tcPr>
          <w:p>
            <w:pPr>
              <w:spacing w:after="0" w:line="264" w:lineRule="auto"/>
            </w:pPr>
            <w:r>
              <w:rPr>
                <w:rFonts w:ascii="Calibri" w:hAnsi="Calibri" w:eastAsia="Calibri"/>
                <w:b w:val="0"/>
                <w:i w:val="0"/>
                <w:color w:val="1E293B"/>
                <w:sz w:val="17"/>
              </w:rPr>
              <w:t>Operationalization</w:t>
            </w:r>
          </w:p>
        </w:tc>
        <w:tc>
          <w:tcPr>
            <w:tcW w:type="dxa" w:w="5260"/>
          </w:tcPr>
          <w:p>
            <w:pPr>
              <w:spacing w:after="0" w:line="264" w:lineRule="auto"/>
            </w:pPr>
            <w:r>
              <w:rPr>
                <w:rFonts w:ascii="Calibri" w:hAnsi="Calibri" w:eastAsia="Calibri"/>
                <w:b w:val="0"/>
                <w:i w:val="0"/>
                <w:color w:val="1E293B"/>
                <w:sz w:val="17"/>
              </w:rPr>
              <w:t>Ticketing, owner routing, remediation validation and executive reporting.</w:t>
            </w:r>
          </w:p>
        </w:tc>
        <w:tc>
          <w:tcPr>
            <w:tcW w:type="dxa" w:w="2100"/>
          </w:tcPr>
          <w:p>
            <w:pPr>
              <w:spacing w:after="0" w:line="264" w:lineRule="auto"/>
            </w:pPr>
            <w:r>
              <w:rPr>
                <w:rFonts w:ascii="Calibri" w:hAnsi="Calibri" w:eastAsia="Calibri"/>
                <w:b w:val="0"/>
                <w:i w:val="0"/>
                <w:color w:val="1E293B"/>
                <w:sz w:val="17"/>
              </w:rPr>
              <w:t>Mandatory</w:t>
            </w:r>
          </w:p>
        </w:tc>
      </w:tr>
      <w:tr>
        <w:trPr>
          <w:cantSplit/>
        </w:trPr>
        <w:tc>
          <w:tcPr>
            <w:tcW w:type="dxa" w:w="2000"/>
          </w:tcPr>
          <w:p>
            <w:pPr>
              <w:spacing w:after="0" w:line="264" w:lineRule="auto"/>
            </w:pPr>
            <w:r>
              <w:rPr>
                <w:rFonts w:ascii="Calibri" w:hAnsi="Calibri" w:eastAsia="Calibri"/>
                <w:b w:val="0"/>
                <w:i w:val="0"/>
                <w:color w:val="1E293B"/>
                <w:sz w:val="17"/>
              </w:rPr>
              <w:t>Code-to-Cloud</w:t>
            </w:r>
          </w:p>
        </w:tc>
        <w:tc>
          <w:tcPr>
            <w:tcW w:type="dxa" w:w="5260"/>
          </w:tcPr>
          <w:p>
            <w:pPr>
              <w:spacing w:after="0" w:line="264" w:lineRule="auto"/>
            </w:pPr>
            <w:r>
              <w:rPr>
                <w:rFonts w:ascii="Calibri" w:hAnsi="Calibri" w:eastAsia="Calibri"/>
                <w:b w:val="0"/>
                <w:i w:val="0"/>
                <w:color w:val="1E293B"/>
                <w:sz w:val="17"/>
              </w:rPr>
              <w:t>Source context, IaC and developer workflow.</w:t>
            </w:r>
          </w:p>
        </w:tc>
        <w:tc>
          <w:tcPr>
            <w:tcW w:type="dxa" w:w="2100"/>
          </w:tcPr>
          <w:p>
            <w:pPr>
              <w:spacing w:after="0" w:line="264" w:lineRule="auto"/>
            </w:pPr>
            <w:r>
              <w:rPr>
                <w:rFonts w:ascii="Calibri" w:hAnsi="Calibri" w:eastAsia="Calibri"/>
                <w:b w:val="0"/>
                <w:i w:val="0"/>
                <w:color w:val="1E293B"/>
                <w:sz w:val="17"/>
              </w:rPr>
              <w:t>Elective; entitlement dependent</w:t>
            </w:r>
          </w:p>
        </w:tc>
      </w:tr>
      <w:tr>
        <w:trPr>
          <w:cantSplit/>
        </w:trPr>
        <w:tc>
          <w:tcPr>
            <w:tcW w:type="dxa" w:w="2000"/>
          </w:tcPr>
          <w:p>
            <w:pPr>
              <w:spacing w:after="0" w:line="264" w:lineRule="auto"/>
            </w:pPr>
            <w:r>
              <w:rPr>
                <w:rFonts w:ascii="Calibri" w:hAnsi="Calibri" w:eastAsia="Calibri"/>
                <w:b w:val="0"/>
                <w:i w:val="0"/>
                <w:color w:val="1E293B"/>
                <w:sz w:val="17"/>
              </w:rPr>
              <w:t>Runtime / Detection</w:t>
            </w:r>
          </w:p>
        </w:tc>
        <w:tc>
          <w:tcPr>
            <w:tcW w:type="dxa" w:w="5260"/>
          </w:tcPr>
          <w:p>
            <w:pPr>
              <w:spacing w:after="0" w:line="264" w:lineRule="auto"/>
            </w:pPr>
            <w:r>
              <w:rPr>
                <w:rFonts w:ascii="Calibri" w:hAnsi="Calibri" w:eastAsia="Calibri"/>
                <w:b w:val="0"/>
                <w:i w:val="0"/>
                <w:color w:val="1E293B"/>
                <w:sz w:val="17"/>
              </w:rPr>
              <w:t>Runtime validation, detection or response storyline.</w:t>
            </w:r>
          </w:p>
        </w:tc>
        <w:tc>
          <w:tcPr>
            <w:tcW w:type="dxa" w:w="2100"/>
          </w:tcPr>
          <w:p>
            <w:pPr>
              <w:spacing w:after="0" w:line="264" w:lineRule="auto"/>
            </w:pPr>
            <w:r>
              <w:rPr>
                <w:rFonts w:ascii="Calibri" w:hAnsi="Calibri" w:eastAsia="Calibri"/>
                <w:b w:val="0"/>
                <w:i w:val="0"/>
                <w:color w:val="1E293B"/>
                <w:sz w:val="17"/>
              </w:rPr>
              <w:t>Elective; entitlement dependent</w:t>
            </w:r>
          </w:p>
        </w:tc>
      </w:tr>
      <w:tr>
        <w:trPr>
          <w:cantSplit/>
        </w:trPr>
        <w:tc>
          <w:tcPr>
            <w:tcW w:type="dxa" w:w="2000"/>
          </w:tcPr>
          <w:p>
            <w:pPr>
              <w:spacing w:after="0" w:line="264" w:lineRule="auto"/>
            </w:pPr>
            <w:r>
              <w:rPr>
                <w:rFonts w:ascii="Calibri" w:hAnsi="Calibri" w:eastAsia="Calibri"/>
                <w:b w:val="0"/>
                <w:i w:val="0"/>
                <w:color w:val="1E293B"/>
                <w:sz w:val="17"/>
              </w:rPr>
              <w:t>Compliance Overlay</w:t>
            </w:r>
          </w:p>
        </w:tc>
        <w:tc>
          <w:tcPr>
            <w:tcW w:type="dxa" w:w="5260"/>
          </w:tcPr>
          <w:p>
            <w:pPr>
              <w:spacing w:after="0" w:line="264" w:lineRule="auto"/>
            </w:pPr>
            <w:r>
              <w:rPr>
                <w:rFonts w:ascii="Calibri" w:hAnsi="Calibri" w:eastAsia="Calibri"/>
                <w:b w:val="0"/>
                <w:i w:val="0"/>
                <w:color w:val="1E293B"/>
                <w:sz w:val="17"/>
              </w:rPr>
              <w:t>Region-specific framework discussion and evidence workflow.</w:t>
            </w:r>
          </w:p>
        </w:tc>
        <w:tc>
          <w:tcPr>
            <w:tcW w:type="dxa" w:w="2100"/>
          </w:tcPr>
          <w:p>
            <w:pPr>
              <w:spacing w:after="0" w:line="264" w:lineRule="auto"/>
            </w:pPr>
            <w:r>
              <w:rPr>
                <w:rFonts w:ascii="Calibri" w:hAnsi="Calibri" w:eastAsia="Calibri"/>
                <w:b w:val="0"/>
                <w:i w:val="0"/>
                <w:color w:val="1E293B"/>
                <w:sz w:val="17"/>
              </w:rPr>
              <w:t>Elective; locally validated</w:t>
            </w:r>
          </w:p>
        </w:tc>
      </w:tr>
    </w:tbl>
    <w:p>
      <w:pPr>
        <w:spacing w:after="20"/>
        <w:widowControl/>
      </w:pPr>
    </w:p>
    <w:p>
      <w:pPr>
        <w:pStyle w:val="Heading2"/>
        <w:widowControl/>
      </w:pPr>
      <w:r>
        <w:t>13. Expected Customer Information Pack</w:t>
      </w:r>
    </w:p>
    <w:p>
      <w:pPr>
        <w:spacing w:after="120" w:line="300" w:lineRule="auto"/>
        <w:widowControl/>
      </w:pPr>
      <w:r>
        <w:rPr>
          <w:rFonts w:ascii="Calibri" w:hAnsi="Calibri" w:eastAsia="Calibri"/>
          <w:b w:val="0"/>
          <w:i w:val="0"/>
          <w:color w:val="1E293B"/>
          <w:sz w:val="22"/>
        </w:rPr>
        <w:t>A real POV should not enter the Dojo or field practicum without a minimum customer information set. Participants learn to distinguish required inputs from useful context and from information that should never be collected in the program.</w:t>
      </w:r>
    </w:p>
    <w:tbl>
      <w:tblPr>
        <w:tblStyle w:val="TableGrid"/>
        <w:tblW w:type="dxa" w:w="9360"/>
        <w:jc w:val="left"/>
        <w:tblLayout w:type="fixed"/>
        <w:tblLook w:firstColumn="1" w:firstRow="1" w:lastColumn="0" w:lastRow="0" w:noHBand="0" w:noVBand="1" w:val="04A0"/>
        <w:tblInd w:w="120" w:type="dxa"/>
      </w:tblPr>
      <w:tblGrid>
        <w:gridCol w:w="1900"/>
        <w:gridCol w:w="4820"/>
        <w:gridCol w:w="2640"/>
      </w:tblGrid>
      <w:tr>
        <w:trPr>
          <w:tblHeader w:val="true"/>
        </w:trPr>
        <w:tc>
          <w:tcPr>
            <w:tcW w:type="dxa" w:w="19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Information Domain</w:t>
            </w:r>
          </w:p>
        </w:tc>
        <w:tc>
          <w:tcPr>
            <w:tcW w:type="dxa" w:w="482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Minimum Required Input</w:t>
            </w:r>
          </w:p>
        </w:tc>
        <w:tc>
          <w:tcPr>
            <w:tcW w:type="dxa" w:w="264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Workshop Use</w:t>
            </w:r>
          </w:p>
        </w:tc>
      </w:tr>
      <w:tr>
        <w:trPr>
          <w:cantSplit/>
        </w:trPr>
        <w:tc>
          <w:tcPr>
            <w:tcW w:type="dxa" w:w="1900"/>
          </w:tcPr>
          <w:p>
            <w:pPr>
              <w:spacing w:after="0" w:line="264" w:lineRule="auto"/>
            </w:pPr>
            <w:r>
              <w:rPr>
                <w:rFonts w:ascii="Calibri" w:hAnsi="Calibri" w:eastAsia="Calibri"/>
                <w:b w:val="0"/>
                <w:i w:val="0"/>
                <w:color w:val="1E293B"/>
                <w:sz w:val="16"/>
              </w:rPr>
              <w:t>Business context</w:t>
            </w:r>
          </w:p>
        </w:tc>
        <w:tc>
          <w:tcPr>
            <w:tcW w:type="dxa" w:w="4820"/>
          </w:tcPr>
          <w:p>
            <w:pPr>
              <w:spacing w:after="0" w:line="264" w:lineRule="auto"/>
            </w:pPr>
            <w:r>
              <w:rPr>
                <w:rFonts w:ascii="Calibri" w:hAnsi="Calibri" w:eastAsia="Calibri"/>
                <w:b w:val="0"/>
                <w:i w:val="0"/>
                <w:color w:val="1E293B"/>
                <w:sz w:val="16"/>
              </w:rPr>
              <w:t>Strategic initiative, risk trigger, timeline and expected customer decision.</w:t>
            </w:r>
          </w:p>
        </w:tc>
        <w:tc>
          <w:tcPr>
            <w:tcW w:type="dxa" w:w="2640"/>
          </w:tcPr>
          <w:p>
            <w:pPr>
              <w:spacing w:after="0" w:line="264" w:lineRule="auto"/>
            </w:pPr>
            <w:r>
              <w:rPr>
                <w:rFonts w:ascii="Calibri" w:hAnsi="Calibri" w:eastAsia="Calibri"/>
                <w:b w:val="0"/>
                <w:i w:val="0"/>
                <w:color w:val="1E293B"/>
                <w:sz w:val="16"/>
              </w:rPr>
              <w:t>Define why the POV exists.</w:t>
            </w:r>
          </w:p>
        </w:tc>
      </w:tr>
      <w:tr>
        <w:trPr>
          <w:cantSplit/>
        </w:trPr>
        <w:tc>
          <w:tcPr>
            <w:tcW w:type="dxa" w:w="1900"/>
          </w:tcPr>
          <w:p>
            <w:pPr>
              <w:spacing w:after="0" w:line="264" w:lineRule="auto"/>
            </w:pPr>
            <w:r>
              <w:rPr>
                <w:rFonts w:ascii="Calibri" w:hAnsi="Calibri" w:eastAsia="Calibri"/>
                <w:b w:val="0"/>
                <w:i w:val="0"/>
                <w:color w:val="1E293B"/>
                <w:sz w:val="16"/>
              </w:rPr>
              <w:t>Cloud estate</w:t>
            </w:r>
          </w:p>
        </w:tc>
        <w:tc>
          <w:tcPr>
            <w:tcW w:type="dxa" w:w="4820"/>
          </w:tcPr>
          <w:p>
            <w:pPr>
              <w:spacing w:after="0" w:line="264" w:lineRule="auto"/>
            </w:pPr>
            <w:r>
              <w:rPr>
                <w:rFonts w:ascii="Calibri" w:hAnsi="Calibri" w:eastAsia="Calibri"/>
                <w:b w:val="0"/>
                <w:i w:val="0"/>
                <w:color w:val="1E293B"/>
                <w:sz w:val="16"/>
              </w:rPr>
              <w:t>Cloud providers, account/subscription/project counts, regions, Kubernetes and major services.</w:t>
            </w:r>
          </w:p>
        </w:tc>
        <w:tc>
          <w:tcPr>
            <w:tcW w:type="dxa" w:w="2640"/>
          </w:tcPr>
          <w:p>
            <w:pPr>
              <w:spacing w:after="0" w:line="264" w:lineRule="auto"/>
            </w:pPr>
            <w:r>
              <w:rPr>
                <w:rFonts w:ascii="Calibri" w:hAnsi="Calibri" w:eastAsia="Calibri"/>
                <w:b w:val="0"/>
                <w:i w:val="0"/>
                <w:color w:val="1E293B"/>
                <w:sz w:val="16"/>
              </w:rPr>
              <w:t>Define scope and connection plan.</w:t>
            </w:r>
          </w:p>
        </w:tc>
      </w:tr>
      <w:tr>
        <w:trPr>
          <w:cantSplit/>
        </w:trPr>
        <w:tc>
          <w:tcPr>
            <w:tcW w:type="dxa" w:w="1900"/>
          </w:tcPr>
          <w:p>
            <w:pPr>
              <w:spacing w:after="0" w:line="264" w:lineRule="auto"/>
            </w:pPr>
            <w:r>
              <w:rPr>
                <w:rFonts w:ascii="Calibri" w:hAnsi="Calibri" w:eastAsia="Calibri"/>
                <w:b w:val="0"/>
                <w:i w:val="0"/>
                <w:color w:val="1E293B"/>
                <w:sz w:val="16"/>
              </w:rPr>
              <w:t>Security stack</w:t>
            </w:r>
          </w:p>
        </w:tc>
        <w:tc>
          <w:tcPr>
            <w:tcW w:type="dxa" w:w="4820"/>
          </w:tcPr>
          <w:p>
            <w:pPr>
              <w:spacing w:after="0" w:line="264" w:lineRule="auto"/>
            </w:pPr>
            <w:r>
              <w:rPr>
                <w:rFonts w:ascii="Calibri" w:hAnsi="Calibri" w:eastAsia="Calibri"/>
                <w:b w:val="0"/>
                <w:i w:val="0"/>
                <w:color w:val="1E293B"/>
                <w:sz w:val="16"/>
              </w:rPr>
              <w:t>Existing posture, vulnerability, identity, data, SIEM/SOAR and workflow tools.</w:t>
            </w:r>
          </w:p>
        </w:tc>
        <w:tc>
          <w:tcPr>
            <w:tcW w:type="dxa" w:w="2640"/>
          </w:tcPr>
          <w:p>
            <w:pPr>
              <w:spacing w:after="0" w:line="264" w:lineRule="auto"/>
            </w:pPr>
            <w:r>
              <w:rPr>
                <w:rFonts w:ascii="Calibri" w:hAnsi="Calibri" w:eastAsia="Calibri"/>
                <w:b w:val="0"/>
                <w:i w:val="0"/>
                <w:color w:val="1E293B"/>
                <w:sz w:val="16"/>
              </w:rPr>
              <w:t>Discover overlap and differentiation needs.</w:t>
            </w:r>
          </w:p>
        </w:tc>
      </w:tr>
      <w:tr>
        <w:trPr>
          <w:cantSplit/>
        </w:trPr>
        <w:tc>
          <w:tcPr>
            <w:tcW w:type="dxa" w:w="1900"/>
          </w:tcPr>
          <w:p>
            <w:pPr>
              <w:spacing w:after="0" w:line="264" w:lineRule="auto"/>
            </w:pPr>
            <w:r>
              <w:rPr>
                <w:rFonts w:ascii="Calibri" w:hAnsi="Calibri" w:eastAsia="Calibri"/>
                <w:b w:val="0"/>
                <w:i w:val="0"/>
                <w:color w:val="1E293B"/>
                <w:sz w:val="16"/>
              </w:rPr>
              <w:t>Operating model</w:t>
            </w:r>
          </w:p>
        </w:tc>
        <w:tc>
          <w:tcPr>
            <w:tcW w:type="dxa" w:w="4820"/>
          </w:tcPr>
          <w:p>
            <w:pPr>
              <w:spacing w:after="0" w:line="264" w:lineRule="auto"/>
            </w:pPr>
            <w:r>
              <w:rPr>
                <w:rFonts w:ascii="Calibri" w:hAnsi="Calibri" w:eastAsia="Calibri"/>
                <w:b w:val="0"/>
                <w:i w:val="0"/>
                <w:color w:val="1E293B"/>
                <w:sz w:val="16"/>
              </w:rPr>
              <w:t>Central versus federated ownership, platform teams, application teams and MSP roles.</w:t>
            </w:r>
          </w:p>
        </w:tc>
        <w:tc>
          <w:tcPr>
            <w:tcW w:type="dxa" w:w="2640"/>
          </w:tcPr>
          <w:p>
            <w:pPr>
              <w:spacing w:after="0" w:line="264" w:lineRule="auto"/>
            </w:pPr>
            <w:r>
              <w:rPr>
                <w:rFonts w:ascii="Calibri" w:hAnsi="Calibri" w:eastAsia="Calibri"/>
                <w:b w:val="0"/>
                <w:i w:val="0"/>
                <w:color w:val="1E293B"/>
                <w:sz w:val="16"/>
              </w:rPr>
              <w:t>Create RACI and remediation flow.</w:t>
            </w:r>
          </w:p>
        </w:tc>
      </w:tr>
      <w:tr>
        <w:trPr>
          <w:cantSplit/>
        </w:trPr>
        <w:tc>
          <w:tcPr>
            <w:tcW w:type="dxa" w:w="1900"/>
          </w:tcPr>
          <w:p>
            <w:pPr>
              <w:spacing w:after="0" w:line="264" w:lineRule="auto"/>
            </w:pPr>
            <w:r>
              <w:rPr>
                <w:rFonts w:ascii="Calibri" w:hAnsi="Calibri" w:eastAsia="Calibri"/>
                <w:b w:val="0"/>
                <w:i w:val="0"/>
                <w:color w:val="1E293B"/>
                <w:sz w:val="16"/>
              </w:rPr>
              <w:t>Risk priorities</w:t>
            </w:r>
          </w:p>
        </w:tc>
        <w:tc>
          <w:tcPr>
            <w:tcW w:type="dxa" w:w="4820"/>
          </w:tcPr>
          <w:p>
            <w:pPr>
              <w:spacing w:after="0" w:line="264" w:lineRule="auto"/>
            </w:pPr>
            <w:r>
              <w:rPr>
                <w:rFonts w:ascii="Calibri" w:hAnsi="Calibri" w:eastAsia="Calibri"/>
                <w:b w:val="0"/>
                <w:i w:val="0"/>
                <w:color w:val="1E293B"/>
                <w:sz w:val="16"/>
              </w:rPr>
              <w:t>Known incidents, audit pressure, material applications, data sensitivity and executive concerns.</w:t>
            </w:r>
          </w:p>
        </w:tc>
        <w:tc>
          <w:tcPr>
            <w:tcW w:type="dxa" w:w="2640"/>
          </w:tcPr>
          <w:p>
            <w:pPr>
              <w:spacing w:after="0" w:line="264" w:lineRule="auto"/>
            </w:pPr>
            <w:r>
              <w:rPr>
                <w:rFonts w:ascii="Calibri" w:hAnsi="Calibri" w:eastAsia="Calibri"/>
                <w:b w:val="0"/>
                <w:i w:val="0"/>
                <w:color w:val="1E293B"/>
                <w:sz w:val="16"/>
              </w:rPr>
              <w:t>Select use cases and success criteria.</w:t>
            </w:r>
          </w:p>
        </w:tc>
      </w:tr>
      <w:tr>
        <w:trPr>
          <w:cantSplit/>
        </w:trPr>
        <w:tc>
          <w:tcPr>
            <w:tcW w:type="dxa" w:w="1900"/>
          </w:tcPr>
          <w:p>
            <w:pPr>
              <w:spacing w:after="0" w:line="264" w:lineRule="auto"/>
            </w:pPr>
            <w:r>
              <w:rPr>
                <w:rFonts w:ascii="Calibri" w:hAnsi="Calibri" w:eastAsia="Calibri"/>
                <w:b w:val="0"/>
                <w:i w:val="0"/>
                <w:color w:val="1E293B"/>
                <w:sz w:val="16"/>
              </w:rPr>
              <w:t>Stakeholders</w:t>
            </w:r>
          </w:p>
        </w:tc>
        <w:tc>
          <w:tcPr>
            <w:tcW w:type="dxa" w:w="4820"/>
          </w:tcPr>
          <w:p>
            <w:pPr>
              <w:spacing w:after="0" w:line="264" w:lineRule="auto"/>
            </w:pPr>
            <w:r>
              <w:rPr>
                <w:rFonts w:ascii="Calibri" w:hAnsi="Calibri" w:eastAsia="Calibri"/>
                <w:b w:val="0"/>
                <w:i w:val="0"/>
                <w:color w:val="1E293B"/>
                <w:sz w:val="16"/>
              </w:rPr>
              <w:t>Executive sponsor, technical champion, access owner, app owner, procurement and decision body.</w:t>
            </w:r>
          </w:p>
        </w:tc>
        <w:tc>
          <w:tcPr>
            <w:tcW w:type="dxa" w:w="2640"/>
          </w:tcPr>
          <w:p>
            <w:pPr>
              <w:spacing w:after="0" w:line="264" w:lineRule="auto"/>
            </w:pPr>
            <w:r>
              <w:rPr>
                <w:rFonts w:ascii="Calibri" w:hAnsi="Calibri" w:eastAsia="Calibri"/>
                <w:b w:val="0"/>
                <w:i w:val="0"/>
                <w:color w:val="1E293B"/>
                <w:sz w:val="16"/>
              </w:rPr>
              <w:t>Plan interviews, reviews and playback.</w:t>
            </w:r>
          </w:p>
        </w:tc>
      </w:tr>
      <w:tr>
        <w:trPr>
          <w:cantSplit/>
        </w:trPr>
        <w:tc>
          <w:tcPr>
            <w:tcW w:type="dxa" w:w="1900"/>
          </w:tcPr>
          <w:p>
            <w:pPr>
              <w:spacing w:after="0" w:line="264" w:lineRule="auto"/>
            </w:pPr>
            <w:r>
              <w:rPr>
                <w:rFonts w:ascii="Calibri" w:hAnsi="Calibri" w:eastAsia="Calibri"/>
                <w:b w:val="0"/>
                <w:i w:val="0"/>
                <w:color w:val="1E293B"/>
                <w:sz w:val="16"/>
              </w:rPr>
              <w:t>Technical readiness</w:t>
            </w:r>
          </w:p>
        </w:tc>
        <w:tc>
          <w:tcPr>
            <w:tcW w:type="dxa" w:w="4820"/>
          </w:tcPr>
          <w:p>
            <w:pPr>
              <w:spacing w:after="0" w:line="264" w:lineRule="auto"/>
            </w:pPr>
            <w:r>
              <w:rPr>
                <w:rFonts w:ascii="Calibri" w:hAnsi="Calibri" w:eastAsia="Calibri"/>
                <w:b w:val="0"/>
                <w:i w:val="0"/>
                <w:color w:val="1E293B"/>
                <w:sz w:val="16"/>
              </w:rPr>
              <w:t>Identity method, connector owner, change process, approved regions and access window.</w:t>
            </w:r>
          </w:p>
        </w:tc>
        <w:tc>
          <w:tcPr>
            <w:tcW w:type="dxa" w:w="2640"/>
          </w:tcPr>
          <w:p>
            <w:pPr>
              <w:spacing w:after="0" w:line="264" w:lineRule="auto"/>
            </w:pPr>
            <w:r>
              <w:rPr>
                <w:rFonts w:ascii="Calibri" w:hAnsi="Calibri" w:eastAsia="Calibri"/>
                <w:b w:val="0"/>
                <w:i w:val="0"/>
                <w:color w:val="1E293B"/>
                <w:sz w:val="16"/>
              </w:rPr>
              <w:t>Determine Go/No-Go.</w:t>
            </w:r>
          </w:p>
        </w:tc>
      </w:tr>
      <w:tr>
        <w:trPr>
          <w:cantSplit/>
        </w:trPr>
        <w:tc>
          <w:tcPr>
            <w:tcW w:type="dxa" w:w="1900"/>
          </w:tcPr>
          <w:p>
            <w:pPr>
              <w:spacing w:after="0" w:line="264" w:lineRule="auto"/>
            </w:pPr>
            <w:r>
              <w:rPr>
                <w:rFonts w:ascii="Calibri" w:hAnsi="Calibri" w:eastAsia="Calibri"/>
                <w:b w:val="0"/>
                <w:i w:val="0"/>
                <w:color w:val="1E293B"/>
                <w:sz w:val="16"/>
              </w:rPr>
              <w:t>Commercial process</w:t>
            </w:r>
          </w:p>
        </w:tc>
        <w:tc>
          <w:tcPr>
            <w:tcW w:type="dxa" w:w="4820"/>
          </w:tcPr>
          <w:p>
            <w:pPr>
              <w:spacing w:after="0" w:line="264" w:lineRule="auto"/>
            </w:pPr>
            <w:r>
              <w:rPr>
                <w:rFonts w:ascii="Calibri" w:hAnsi="Calibri" w:eastAsia="Calibri"/>
                <w:b w:val="0"/>
                <w:i w:val="0"/>
                <w:color w:val="1E293B"/>
                <w:sz w:val="16"/>
              </w:rPr>
              <w:t>Evaluation window, buying stage, budget process, competition and decision date.</w:t>
            </w:r>
          </w:p>
        </w:tc>
        <w:tc>
          <w:tcPr>
            <w:tcW w:type="dxa" w:w="2640"/>
          </w:tcPr>
          <w:p>
            <w:pPr>
              <w:spacing w:after="0" w:line="264" w:lineRule="auto"/>
            </w:pPr>
            <w:r>
              <w:rPr>
                <w:rFonts w:ascii="Calibri" w:hAnsi="Calibri" w:eastAsia="Calibri"/>
                <w:b w:val="0"/>
                <w:i w:val="0"/>
                <w:color w:val="1E293B"/>
                <w:sz w:val="16"/>
              </w:rPr>
              <w:t>Ensure a credible next decision.</w:t>
            </w:r>
          </w:p>
        </w:tc>
      </w:tr>
    </w:tbl>
    <w:p>
      <w:pPr>
        <w:spacing w:after="20"/>
        <w:widowControl/>
      </w:pPr>
    </w:p>
    <w:p>
      <w:pPr>
        <w:pStyle w:val="Heading3"/>
        <w:widowControl/>
      </w:pPr>
      <w:r>
        <w:t>Prohibited or unnecessary information</w:t>
      </w:r>
    </w:p>
    <w:p>
      <w:pPr>
        <w:numPr>
          <w:ilvl w:val="0"/>
          <w:numId w:val="10"/>
        </w:numPr>
        <w:spacing w:after="80" w:line="300" w:lineRule="auto"/>
        <w:ind w:left="540" w:hanging="271"/>
        <w:widowControl/>
      </w:pPr>
      <w:r>
        <w:rPr>
          <w:rFonts w:ascii="Calibri" w:hAnsi="Calibri" w:eastAsia="Calibri"/>
          <w:b w:val="0"/>
          <w:i w:val="0"/>
          <w:color w:val="1E293B"/>
          <w:sz w:val="22"/>
        </w:rPr>
        <w:t>Production credentials, private keys, shared administrator accounts or secrets sent through workshop documents.</w:t>
      </w:r>
    </w:p>
    <w:p>
      <w:pPr>
        <w:numPr>
          <w:ilvl w:val="0"/>
          <w:numId w:val="10"/>
        </w:numPr>
        <w:spacing w:after="80" w:line="300" w:lineRule="auto"/>
        <w:ind w:left="540" w:hanging="271"/>
        <w:widowControl/>
      </w:pPr>
      <w:r>
        <w:rPr>
          <w:rFonts w:ascii="Calibri" w:hAnsi="Calibri" w:eastAsia="Calibri"/>
          <w:b w:val="0"/>
          <w:i w:val="0"/>
          <w:color w:val="1E293B"/>
          <w:sz w:val="22"/>
        </w:rPr>
        <w:t>Raw customer data or personal information copied into the training tenant.</w:t>
      </w:r>
    </w:p>
    <w:p>
      <w:pPr>
        <w:numPr>
          <w:ilvl w:val="0"/>
          <w:numId w:val="10"/>
        </w:numPr>
        <w:spacing w:after="80" w:line="300" w:lineRule="auto"/>
        <w:ind w:left="540" w:hanging="271"/>
        <w:widowControl/>
      </w:pPr>
      <w:r>
        <w:rPr>
          <w:rFonts w:ascii="Calibri" w:hAnsi="Calibri" w:eastAsia="Calibri"/>
          <w:b w:val="0"/>
          <w:i w:val="0"/>
          <w:color w:val="1E293B"/>
          <w:sz w:val="22"/>
        </w:rPr>
        <w:t>Sensitive architecture details beyond what is required and approved for the opportunity.</w:t>
      </w:r>
    </w:p>
    <w:p>
      <w:pPr>
        <w:numPr>
          <w:ilvl w:val="0"/>
          <w:numId w:val="10"/>
        </w:numPr>
        <w:spacing w:after="80" w:line="300" w:lineRule="auto"/>
        <w:ind w:left="540" w:hanging="271"/>
        <w:widowControl/>
      </w:pPr>
      <w:r>
        <w:rPr>
          <w:rFonts w:ascii="Calibri" w:hAnsi="Calibri" w:eastAsia="Calibri"/>
          <w:b w:val="0"/>
          <w:i w:val="0"/>
          <w:color w:val="1E293B"/>
          <w:sz w:val="22"/>
        </w:rPr>
        <w:t>Unverified claims about compliance certification, breach prevention or guaranteed coverage.</w:t>
      </w:r>
    </w:p>
    <w:p>
      <w:pPr>
        <w:pStyle w:val="Heading2"/>
        <w:widowControl/>
      </w:pPr>
      <w:r>
        <w:t>14. POV Success Criteria for the Golden Customer</w:t>
      </w:r>
    </w:p>
    <w:tbl>
      <w:tblPr>
        <w:tblStyle w:val="TableGrid"/>
        <w:tblW w:type="dxa" w:w="9360"/>
        <w:jc w:val="left"/>
        <w:tblLayout w:type="fixed"/>
        <w:tblLook w:firstColumn="1" w:firstRow="1" w:lastColumn="0" w:lastRow="0" w:noHBand="0" w:noVBand="1" w:val="04A0"/>
        <w:tblInd w:w="120" w:type="dxa"/>
      </w:tblPr>
      <w:tblGrid>
        <w:gridCol w:w="1800"/>
        <w:gridCol w:w="5020"/>
        <w:gridCol w:w="2540"/>
      </w:tblGrid>
      <w:tr>
        <w:trPr>
          <w:tblHeader w:val="true"/>
        </w:trPr>
        <w:tc>
          <w:tcPr>
            <w:tcW w:type="dxa" w:w="18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Outcome</w:t>
            </w:r>
          </w:p>
        </w:tc>
        <w:tc>
          <w:tcPr>
            <w:tcW w:type="dxa" w:w="502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Example Success Criterion</w:t>
            </w:r>
          </w:p>
        </w:tc>
        <w:tc>
          <w:tcPr>
            <w:tcW w:type="dxa" w:w="254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Evidence</w:t>
            </w:r>
          </w:p>
        </w:tc>
      </w:tr>
      <w:tr>
        <w:trPr>
          <w:cantSplit/>
        </w:trPr>
        <w:tc>
          <w:tcPr>
            <w:tcW w:type="dxa" w:w="1800"/>
          </w:tcPr>
          <w:p>
            <w:pPr>
              <w:spacing w:after="0" w:line="264" w:lineRule="auto"/>
            </w:pPr>
            <w:r>
              <w:rPr>
                <w:rFonts w:ascii="Calibri" w:hAnsi="Calibri" w:eastAsia="Calibri"/>
                <w:b w:val="0"/>
                <w:i w:val="0"/>
                <w:color w:val="1E293B"/>
                <w:sz w:val="17"/>
              </w:rPr>
              <w:t>Visibility</w:t>
            </w:r>
          </w:p>
        </w:tc>
        <w:tc>
          <w:tcPr>
            <w:tcW w:type="dxa" w:w="5020"/>
          </w:tcPr>
          <w:p>
            <w:pPr>
              <w:spacing w:after="0" w:line="264" w:lineRule="auto"/>
            </w:pPr>
            <w:r>
              <w:rPr>
                <w:rFonts w:ascii="Calibri" w:hAnsi="Calibri" w:eastAsia="Calibri"/>
                <w:b w:val="0"/>
                <w:i w:val="0"/>
                <w:color w:val="1E293B"/>
                <w:sz w:val="17"/>
              </w:rPr>
              <w:t>Provide a coherent inventory view across the connected training scope and identify ownership gaps.</w:t>
            </w:r>
          </w:p>
        </w:tc>
        <w:tc>
          <w:tcPr>
            <w:tcW w:type="dxa" w:w="2540"/>
          </w:tcPr>
          <w:p>
            <w:pPr>
              <w:spacing w:after="0" w:line="264" w:lineRule="auto"/>
            </w:pPr>
            <w:r>
              <w:rPr>
                <w:rFonts w:ascii="Calibri" w:hAnsi="Calibri" w:eastAsia="Calibri"/>
                <w:b w:val="0"/>
                <w:i w:val="0"/>
                <w:color w:val="1E293B"/>
                <w:sz w:val="17"/>
              </w:rPr>
              <w:t>Inventory summary and scope caveats</w:t>
            </w:r>
          </w:p>
        </w:tc>
      </w:tr>
      <w:tr>
        <w:trPr>
          <w:cantSplit/>
        </w:trPr>
        <w:tc>
          <w:tcPr>
            <w:tcW w:type="dxa" w:w="1800"/>
          </w:tcPr>
          <w:p>
            <w:pPr>
              <w:spacing w:after="0" w:line="264" w:lineRule="auto"/>
            </w:pPr>
            <w:r>
              <w:rPr>
                <w:rFonts w:ascii="Calibri" w:hAnsi="Calibri" w:eastAsia="Calibri"/>
                <w:b w:val="0"/>
                <w:i w:val="0"/>
                <w:color w:val="1E293B"/>
                <w:sz w:val="17"/>
              </w:rPr>
              <w:t>Prioritization</w:t>
            </w:r>
          </w:p>
        </w:tc>
        <w:tc>
          <w:tcPr>
            <w:tcW w:type="dxa" w:w="5020"/>
          </w:tcPr>
          <w:p>
            <w:pPr>
              <w:spacing w:after="0" w:line="264" w:lineRule="auto"/>
            </w:pPr>
            <w:r>
              <w:rPr>
                <w:rFonts w:ascii="Calibri" w:hAnsi="Calibri" w:eastAsia="Calibri"/>
                <w:b w:val="0"/>
                <w:i w:val="0"/>
                <w:color w:val="1E293B"/>
                <w:sz w:val="17"/>
              </w:rPr>
              <w:t>Identify and explain at least three material contextual risk chains from the seeded catalog.</w:t>
            </w:r>
          </w:p>
        </w:tc>
        <w:tc>
          <w:tcPr>
            <w:tcW w:type="dxa" w:w="2540"/>
          </w:tcPr>
          <w:p>
            <w:pPr>
              <w:spacing w:after="0" w:line="264" w:lineRule="auto"/>
            </w:pPr>
            <w:r>
              <w:rPr>
                <w:rFonts w:ascii="Calibri" w:hAnsi="Calibri" w:eastAsia="Calibri"/>
                <w:b w:val="0"/>
                <w:i w:val="0"/>
                <w:color w:val="1E293B"/>
                <w:sz w:val="17"/>
              </w:rPr>
              <w:t>Finding Evidence Log</w:t>
            </w:r>
          </w:p>
        </w:tc>
      </w:tr>
      <w:tr>
        <w:trPr>
          <w:cantSplit/>
        </w:trPr>
        <w:tc>
          <w:tcPr>
            <w:tcW w:type="dxa" w:w="1800"/>
          </w:tcPr>
          <w:p>
            <w:pPr>
              <w:spacing w:after="0" w:line="264" w:lineRule="auto"/>
            </w:pPr>
            <w:r>
              <w:rPr>
                <w:rFonts w:ascii="Calibri" w:hAnsi="Calibri" w:eastAsia="Calibri"/>
                <w:b w:val="0"/>
                <w:i w:val="0"/>
                <w:color w:val="1E293B"/>
                <w:sz w:val="17"/>
              </w:rPr>
              <w:t>Vulnerability</w:t>
            </w:r>
          </w:p>
        </w:tc>
        <w:tc>
          <w:tcPr>
            <w:tcW w:type="dxa" w:w="5020"/>
          </w:tcPr>
          <w:p>
            <w:pPr>
              <w:spacing w:after="0" w:line="264" w:lineRule="auto"/>
            </w:pPr>
            <w:r>
              <w:rPr>
                <w:rFonts w:ascii="Calibri" w:hAnsi="Calibri" w:eastAsia="Calibri"/>
                <w:b w:val="0"/>
                <w:i w:val="0"/>
                <w:color w:val="1E293B"/>
                <w:sz w:val="17"/>
              </w:rPr>
              <w:t>Show why deployed, exposed and business-relevant vulnerabilities outrank unused or isolated findings.</w:t>
            </w:r>
          </w:p>
        </w:tc>
        <w:tc>
          <w:tcPr>
            <w:tcW w:type="dxa" w:w="2540"/>
          </w:tcPr>
          <w:p>
            <w:pPr>
              <w:spacing w:after="0" w:line="264" w:lineRule="auto"/>
            </w:pPr>
            <w:r>
              <w:rPr>
                <w:rFonts w:ascii="Calibri" w:hAnsi="Calibri" w:eastAsia="Calibri"/>
                <w:b w:val="0"/>
                <w:i w:val="0"/>
                <w:color w:val="1E293B"/>
                <w:sz w:val="17"/>
              </w:rPr>
              <w:t>Prioritized comparison</w:t>
            </w:r>
          </w:p>
        </w:tc>
      </w:tr>
      <w:tr>
        <w:trPr>
          <w:cantSplit/>
        </w:trPr>
        <w:tc>
          <w:tcPr>
            <w:tcW w:type="dxa" w:w="1800"/>
          </w:tcPr>
          <w:p>
            <w:pPr>
              <w:spacing w:after="0" w:line="264" w:lineRule="auto"/>
            </w:pPr>
            <w:r>
              <w:rPr>
                <w:rFonts w:ascii="Calibri" w:hAnsi="Calibri" w:eastAsia="Calibri"/>
                <w:b w:val="0"/>
                <w:i w:val="0"/>
                <w:color w:val="1E293B"/>
                <w:sz w:val="17"/>
              </w:rPr>
              <w:t>Identity</w:t>
            </w:r>
          </w:p>
        </w:tc>
        <w:tc>
          <w:tcPr>
            <w:tcW w:type="dxa" w:w="5020"/>
          </w:tcPr>
          <w:p>
            <w:pPr>
              <w:spacing w:after="0" w:line="264" w:lineRule="auto"/>
            </w:pPr>
            <w:r>
              <w:rPr>
                <w:rFonts w:ascii="Calibri" w:hAnsi="Calibri" w:eastAsia="Calibri"/>
                <w:b w:val="0"/>
                <w:i w:val="0"/>
                <w:color w:val="1E293B"/>
                <w:sz w:val="17"/>
              </w:rPr>
              <w:t>Surface at least one excessive privilege path and recommend a bounded next action.</w:t>
            </w:r>
          </w:p>
        </w:tc>
        <w:tc>
          <w:tcPr>
            <w:tcW w:type="dxa" w:w="2540"/>
          </w:tcPr>
          <w:p>
            <w:pPr>
              <w:spacing w:after="0" w:line="264" w:lineRule="auto"/>
            </w:pPr>
            <w:r>
              <w:rPr>
                <w:rFonts w:ascii="Calibri" w:hAnsi="Calibri" w:eastAsia="Calibri"/>
                <w:b w:val="0"/>
                <w:i w:val="0"/>
                <w:color w:val="1E293B"/>
                <w:sz w:val="17"/>
              </w:rPr>
              <w:t>Identity path narrative</w:t>
            </w:r>
          </w:p>
        </w:tc>
      </w:tr>
      <w:tr>
        <w:trPr>
          <w:cantSplit/>
        </w:trPr>
        <w:tc>
          <w:tcPr>
            <w:tcW w:type="dxa" w:w="1800"/>
          </w:tcPr>
          <w:p>
            <w:pPr>
              <w:spacing w:after="0" w:line="264" w:lineRule="auto"/>
            </w:pPr>
            <w:r>
              <w:rPr>
                <w:rFonts w:ascii="Calibri" w:hAnsi="Calibri" w:eastAsia="Calibri"/>
                <w:b w:val="0"/>
                <w:i w:val="0"/>
                <w:color w:val="1E293B"/>
                <w:sz w:val="17"/>
              </w:rPr>
              <w:t>Operational fit</w:t>
            </w:r>
          </w:p>
        </w:tc>
        <w:tc>
          <w:tcPr>
            <w:tcW w:type="dxa" w:w="5020"/>
          </w:tcPr>
          <w:p>
            <w:pPr>
              <w:spacing w:after="0" w:line="264" w:lineRule="auto"/>
            </w:pPr>
            <w:r>
              <w:rPr>
                <w:rFonts w:ascii="Calibri" w:hAnsi="Calibri" w:eastAsia="Calibri"/>
                <w:b w:val="0"/>
                <w:i w:val="0"/>
                <w:color w:val="1E293B"/>
                <w:sz w:val="17"/>
              </w:rPr>
              <w:t>Route two findings to the correct simulated owner with agreed remediation and validation steps.</w:t>
            </w:r>
          </w:p>
        </w:tc>
        <w:tc>
          <w:tcPr>
            <w:tcW w:type="dxa" w:w="2540"/>
          </w:tcPr>
          <w:p>
            <w:pPr>
              <w:spacing w:after="0" w:line="264" w:lineRule="auto"/>
            </w:pPr>
            <w:r>
              <w:rPr>
                <w:rFonts w:ascii="Calibri" w:hAnsi="Calibri" w:eastAsia="Calibri"/>
                <w:b w:val="0"/>
                <w:i w:val="0"/>
                <w:color w:val="1E293B"/>
                <w:sz w:val="17"/>
              </w:rPr>
              <w:t>Workflow evidence</w:t>
            </w:r>
          </w:p>
        </w:tc>
      </w:tr>
      <w:tr>
        <w:trPr>
          <w:cantSplit/>
        </w:trPr>
        <w:tc>
          <w:tcPr>
            <w:tcW w:type="dxa" w:w="1800"/>
          </w:tcPr>
          <w:p>
            <w:pPr>
              <w:spacing w:after="0" w:line="264" w:lineRule="auto"/>
            </w:pPr>
            <w:r>
              <w:rPr>
                <w:rFonts w:ascii="Calibri" w:hAnsi="Calibri" w:eastAsia="Calibri"/>
                <w:b w:val="0"/>
                <w:i w:val="0"/>
                <w:color w:val="1E293B"/>
                <w:sz w:val="17"/>
              </w:rPr>
              <w:t>Executive outcome</w:t>
            </w:r>
          </w:p>
        </w:tc>
        <w:tc>
          <w:tcPr>
            <w:tcW w:type="dxa" w:w="5020"/>
          </w:tcPr>
          <w:p>
            <w:pPr>
              <w:spacing w:after="0" w:line="264" w:lineRule="auto"/>
            </w:pPr>
            <w:r>
              <w:rPr>
                <w:rFonts w:ascii="Calibri" w:hAnsi="Calibri" w:eastAsia="Calibri"/>
                <w:b w:val="0"/>
                <w:i w:val="0"/>
                <w:color w:val="1E293B"/>
                <w:sz w:val="17"/>
              </w:rPr>
              <w:t>Present the top three risks, value demonstrated, limitations and a 30/60/90-day next-step plan.</w:t>
            </w:r>
          </w:p>
        </w:tc>
        <w:tc>
          <w:tcPr>
            <w:tcW w:type="dxa" w:w="2540"/>
          </w:tcPr>
          <w:p>
            <w:pPr>
              <w:spacing w:after="0" w:line="264" w:lineRule="auto"/>
            </w:pPr>
            <w:r>
              <w:rPr>
                <w:rFonts w:ascii="Calibri" w:hAnsi="Calibri" w:eastAsia="Calibri"/>
                <w:b w:val="0"/>
                <w:i w:val="0"/>
                <w:color w:val="1E293B"/>
                <w:sz w:val="17"/>
              </w:rPr>
              <w:t>Executive Playback</w:t>
            </w:r>
          </w:p>
        </w:tc>
      </w:tr>
    </w:tbl>
    <w:p>
      <w:pPr>
        <w:spacing w:after="20"/>
        <w:widowControl/>
      </w:pPr>
    </w:p>
    <w:p>
      <w:pPr>
        <w:spacing w:after="120" w:line="300" w:lineRule="auto"/>
        <w:widowControl/>
      </w:pPr>
      <w:r>
        <w:rPr>
          <w:rFonts w:ascii="Calibri" w:hAnsi="Calibri" w:eastAsia="Calibri"/>
          <w:b w:val="0"/>
          <w:i/>
          <w:color w:val="64748B"/>
          <w:sz w:val="19"/>
        </w:rPr>
        <w:t>These thresholds are training defaults, not universal customer promises. A live POV must use success criteria agreed with the customer and aligned to licensed scope.</w:t>
      </w:r>
    </w:p>
    <w:p>
      <w:pPr>
        <w:pStyle w:val="Heading1"/>
        <w:widowControl/>
      </w:pPr>
      <w:r>
        <w:t>III. Learning Experience</w:t>
      </w:r>
    </w:p>
    <w:p>
      <w:pPr>
        <w:pStyle w:val="Heading2"/>
        <w:widowControl/>
      </w:pPr>
      <w:r>
        <w:t>15. Pre-Work Curriculum</w:t>
      </w:r>
    </w:p>
    <w:tbl>
      <w:tblPr>
        <w:tblStyle w:val="TableGrid"/>
        <w:tblW w:type="dxa" w:w="9360"/>
        <w:jc w:val="left"/>
        <w:tblLayout w:type="fixed"/>
        <w:tblLook w:firstColumn="1" w:firstRow="1" w:lastColumn="0" w:lastRow="0" w:noHBand="0" w:noVBand="1" w:val="04A0"/>
        <w:tblInd w:w="120" w:type="dxa"/>
      </w:tblPr>
      <w:tblGrid>
        <w:gridCol w:w="3000"/>
        <w:gridCol w:w="1960"/>
        <w:gridCol w:w="1500"/>
        <w:gridCol w:w="2900"/>
      </w:tblGrid>
      <w:tr>
        <w:trPr>
          <w:tblHeader w:val="true"/>
        </w:trPr>
        <w:tc>
          <w:tcPr>
            <w:tcW w:type="dxa" w:w="30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Module</w:t>
            </w:r>
          </w:p>
        </w:tc>
        <w:tc>
          <w:tcPr>
            <w:tcW w:type="dxa" w:w="19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Format</w:t>
            </w:r>
          </w:p>
        </w:tc>
        <w:tc>
          <w:tcPr>
            <w:tcW w:type="dxa" w:w="15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Estimated Time</w:t>
            </w:r>
          </w:p>
        </w:tc>
        <w:tc>
          <w:tcPr>
            <w:tcW w:type="dxa" w:w="29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Completion Evidence</w:t>
            </w:r>
          </w:p>
        </w:tc>
      </w:tr>
      <w:tr>
        <w:trPr>
          <w:cantSplit/>
        </w:trPr>
        <w:tc>
          <w:tcPr>
            <w:tcW w:type="dxa" w:w="3000"/>
          </w:tcPr>
          <w:p>
            <w:pPr>
              <w:spacing w:after="0" w:line="264" w:lineRule="auto"/>
            </w:pPr>
            <w:r>
              <w:rPr>
                <w:rFonts w:ascii="Calibri" w:hAnsi="Calibri" w:eastAsia="Calibri"/>
                <w:b w:val="0"/>
                <w:i w:val="0"/>
                <w:color w:val="1E293B"/>
                <w:sz w:val="17"/>
              </w:rPr>
              <w:t>Cloud security evolution and customer cloud journey</w:t>
            </w:r>
          </w:p>
        </w:tc>
        <w:tc>
          <w:tcPr>
            <w:tcW w:type="dxa" w:w="1960"/>
          </w:tcPr>
          <w:p>
            <w:pPr>
              <w:spacing w:after="0" w:line="264" w:lineRule="auto"/>
            </w:pPr>
            <w:r>
              <w:rPr>
                <w:rFonts w:ascii="Calibri" w:hAnsi="Calibri" w:eastAsia="Calibri"/>
                <w:b w:val="0"/>
                <w:i w:val="0"/>
                <w:color w:val="1E293B"/>
                <w:sz w:val="17"/>
              </w:rPr>
              <w:t>Self-paced learning</w:t>
            </w:r>
          </w:p>
        </w:tc>
        <w:tc>
          <w:tcPr>
            <w:tcW w:type="dxa" w:w="1500"/>
          </w:tcPr>
          <w:p>
            <w:pPr>
              <w:spacing w:after="0" w:line="264" w:lineRule="auto"/>
            </w:pPr>
            <w:r>
              <w:rPr>
                <w:rFonts w:ascii="Calibri" w:hAnsi="Calibri" w:eastAsia="Calibri"/>
                <w:b w:val="0"/>
                <w:i w:val="0"/>
                <w:color w:val="1E293B"/>
                <w:sz w:val="17"/>
              </w:rPr>
              <w:t>30 min</w:t>
            </w:r>
          </w:p>
        </w:tc>
        <w:tc>
          <w:tcPr>
            <w:tcW w:type="dxa" w:w="2900"/>
          </w:tcPr>
          <w:p>
            <w:pPr>
              <w:spacing w:after="0" w:line="264" w:lineRule="auto"/>
            </w:pPr>
            <w:r>
              <w:rPr>
                <w:rFonts w:ascii="Calibri" w:hAnsi="Calibri" w:eastAsia="Calibri"/>
                <w:b w:val="0"/>
                <w:i w:val="0"/>
                <w:color w:val="1E293B"/>
                <w:sz w:val="17"/>
              </w:rPr>
              <w:t>Knowledge check</w:t>
            </w:r>
          </w:p>
        </w:tc>
      </w:tr>
      <w:tr>
        <w:trPr>
          <w:cantSplit/>
        </w:trPr>
        <w:tc>
          <w:tcPr>
            <w:tcW w:type="dxa" w:w="3000"/>
          </w:tcPr>
          <w:p>
            <w:pPr>
              <w:spacing w:after="0" w:line="264" w:lineRule="auto"/>
            </w:pPr>
            <w:r>
              <w:rPr>
                <w:rFonts w:ascii="Calibri" w:hAnsi="Calibri" w:eastAsia="Calibri"/>
                <w:b w:val="0"/>
                <w:i w:val="0"/>
                <w:color w:val="1E293B"/>
                <w:sz w:val="17"/>
              </w:rPr>
              <w:t>Wiz personas and outcome-based messaging</w:t>
            </w:r>
          </w:p>
        </w:tc>
        <w:tc>
          <w:tcPr>
            <w:tcW w:type="dxa" w:w="1960"/>
          </w:tcPr>
          <w:p>
            <w:pPr>
              <w:spacing w:after="0" w:line="264" w:lineRule="auto"/>
            </w:pPr>
            <w:r>
              <w:rPr>
                <w:rFonts w:ascii="Calibri" w:hAnsi="Calibri" w:eastAsia="Calibri"/>
                <w:b w:val="0"/>
                <w:i w:val="0"/>
                <w:color w:val="1E293B"/>
                <w:sz w:val="17"/>
              </w:rPr>
              <w:t>Video + worksheet</w:t>
            </w:r>
          </w:p>
        </w:tc>
        <w:tc>
          <w:tcPr>
            <w:tcW w:type="dxa" w:w="1500"/>
          </w:tcPr>
          <w:p>
            <w:pPr>
              <w:spacing w:after="0" w:line="264" w:lineRule="auto"/>
            </w:pPr>
            <w:r>
              <w:rPr>
                <w:rFonts w:ascii="Calibri" w:hAnsi="Calibri" w:eastAsia="Calibri"/>
                <w:b w:val="0"/>
                <w:i w:val="0"/>
                <w:color w:val="1E293B"/>
                <w:sz w:val="17"/>
              </w:rPr>
              <w:t>45 min</w:t>
            </w:r>
          </w:p>
        </w:tc>
        <w:tc>
          <w:tcPr>
            <w:tcW w:type="dxa" w:w="2900"/>
          </w:tcPr>
          <w:p>
            <w:pPr>
              <w:spacing w:after="0" w:line="264" w:lineRule="auto"/>
            </w:pPr>
            <w:r>
              <w:rPr>
                <w:rFonts w:ascii="Calibri" w:hAnsi="Calibri" w:eastAsia="Calibri"/>
                <w:b w:val="0"/>
                <w:i w:val="0"/>
                <w:color w:val="1E293B"/>
                <w:sz w:val="17"/>
              </w:rPr>
              <w:t>Persona map</w:t>
            </w:r>
          </w:p>
        </w:tc>
      </w:tr>
      <w:tr>
        <w:trPr>
          <w:cantSplit/>
        </w:trPr>
        <w:tc>
          <w:tcPr>
            <w:tcW w:type="dxa" w:w="3000"/>
          </w:tcPr>
          <w:p>
            <w:pPr>
              <w:spacing w:after="0" w:line="264" w:lineRule="auto"/>
            </w:pPr>
            <w:r>
              <w:rPr>
                <w:rFonts w:ascii="Calibri" w:hAnsi="Calibri" w:eastAsia="Calibri"/>
                <w:b w:val="0"/>
                <w:i w:val="0"/>
                <w:color w:val="1E293B"/>
                <w:sz w:val="17"/>
              </w:rPr>
              <w:t>Wiz licensing and scope fundamentals</w:t>
            </w:r>
          </w:p>
        </w:tc>
        <w:tc>
          <w:tcPr>
            <w:tcW w:type="dxa" w:w="1960"/>
          </w:tcPr>
          <w:p>
            <w:pPr>
              <w:spacing w:after="0" w:line="264" w:lineRule="auto"/>
            </w:pPr>
            <w:r>
              <w:rPr>
                <w:rFonts w:ascii="Calibri" w:hAnsi="Calibri" w:eastAsia="Calibri"/>
                <w:b w:val="0"/>
                <w:i w:val="0"/>
                <w:color w:val="1E293B"/>
                <w:sz w:val="17"/>
              </w:rPr>
              <w:t>Self-paced learning</w:t>
            </w:r>
          </w:p>
        </w:tc>
        <w:tc>
          <w:tcPr>
            <w:tcW w:type="dxa" w:w="1500"/>
          </w:tcPr>
          <w:p>
            <w:pPr>
              <w:spacing w:after="0" w:line="264" w:lineRule="auto"/>
            </w:pPr>
            <w:r>
              <w:rPr>
                <w:rFonts w:ascii="Calibri" w:hAnsi="Calibri" w:eastAsia="Calibri"/>
                <w:b w:val="0"/>
                <w:i w:val="0"/>
                <w:color w:val="1E293B"/>
                <w:sz w:val="17"/>
              </w:rPr>
              <w:t>30 min</w:t>
            </w:r>
          </w:p>
        </w:tc>
        <w:tc>
          <w:tcPr>
            <w:tcW w:type="dxa" w:w="2900"/>
          </w:tcPr>
          <w:p>
            <w:pPr>
              <w:spacing w:after="0" w:line="264" w:lineRule="auto"/>
            </w:pPr>
            <w:r>
              <w:rPr>
                <w:rFonts w:ascii="Calibri" w:hAnsi="Calibri" w:eastAsia="Calibri"/>
                <w:b w:val="0"/>
                <w:i w:val="0"/>
                <w:color w:val="1E293B"/>
                <w:sz w:val="17"/>
              </w:rPr>
              <w:t>Scope quiz</w:t>
            </w:r>
          </w:p>
        </w:tc>
      </w:tr>
      <w:tr>
        <w:trPr>
          <w:cantSplit/>
        </w:trPr>
        <w:tc>
          <w:tcPr>
            <w:tcW w:type="dxa" w:w="3000"/>
          </w:tcPr>
          <w:p>
            <w:pPr>
              <w:spacing w:after="0" w:line="264" w:lineRule="auto"/>
            </w:pPr>
            <w:r>
              <w:rPr>
                <w:rFonts w:ascii="Calibri" w:hAnsi="Calibri" w:eastAsia="Calibri"/>
                <w:b w:val="0"/>
                <w:i w:val="0"/>
                <w:color w:val="1E293B"/>
                <w:sz w:val="17"/>
              </w:rPr>
              <w:t>Golden Demo Fundamentals</w:t>
            </w:r>
          </w:p>
        </w:tc>
        <w:tc>
          <w:tcPr>
            <w:tcW w:type="dxa" w:w="1960"/>
          </w:tcPr>
          <w:p>
            <w:pPr>
              <w:spacing w:after="0" w:line="264" w:lineRule="auto"/>
            </w:pPr>
            <w:r>
              <w:rPr>
                <w:rFonts w:ascii="Calibri" w:hAnsi="Calibri" w:eastAsia="Calibri"/>
                <w:b w:val="0"/>
                <w:i w:val="0"/>
                <w:color w:val="1E293B"/>
                <w:sz w:val="17"/>
              </w:rPr>
              <w:t>Demo recording + practice</w:t>
            </w:r>
          </w:p>
        </w:tc>
        <w:tc>
          <w:tcPr>
            <w:tcW w:type="dxa" w:w="1500"/>
          </w:tcPr>
          <w:p>
            <w:pPr>
              <w:spacing w:after="0" w:line="264" w:lineRule="auto"/>
            </w:pPr>
            <w:r>
              <w:rPr>
                <w:rFonts w:ascii="Calibri" w:hAnsi="Calibri" w:eastAsia="Calibri"/>
                <w:b w:val="0"/>
                <w:i w:val="0"/>
                <w:color w:val="1E293B"/>
                <w:sz w:val="17"/>
              </w:rPr>
              <w:t>60 min</w:t>
            </w:r>
          </w:p>
        </w:tc>
        <w:tc>
          <w:tcPr>
            <w:tcW w:type="dxa" w:w="2900"/>
          </w:tcPr>
          <w:p>
            <w:pPr>
              <w:spacing w:after="0" w:line="264" w:lineRule="auto"/>
            </w:pPr>
            <w:r>
              <w:rPr>
                <w:rFonts w:ascii="Calibri" w:hAnsi="Calibri" w:eastAsia="Calibri"/>
                <w:b w:val="0"/>
                <w:i w:val="0"/>
                <w:color w:val="1E293B"/>
                <w:sz w:val="17"/>
              </w:rPr>
              <w:t>Demo checklist</w:t>
            </w:r>
          </w:p>
        </w:tc>
      </w:tr>
      <w:tr>
        <w:trPr>
          <w:cantSplit/>
        </w:trPr>
        <w:tc>
          <w:tcPr>
            <w:tcW w:type="dxa" w:w="3000"/>
          </w:tcPr>
          <w:p>
            <w:pPr>
              <w:spacing w:after="0" w:line="264" w:lineRule="auto"/>
            </w:pPr>
            <w:r>
              <w:rPr>
                <w:rFonts w:ascii="Calibri" w:hAnsi="Calibri" w:eastAsia="Calibri"/>
                <w:b w:val="0"/>
                <w:i w:val="0"/>
                <w:color w:val="1E293B"/>
                <w:sz w:val="17"/>
              </w:rPr>
              <w:t>Connector lab: AWS, Azure or GCP</w:t>
            </w:r>
          </w:p>
        </w:tc>
        <w:tc>
          <w:tcPr>
            <w:tcW w:type="dxa" w:w="1960"/>
          </w:tcPr>
          <w:p>
            <w:pPr>
              <w:spacing w:after="0" w:line="264" w:lineRule="auto"/>
            </w:pPr>
            <w:r>
              <w:rPr>
                <w:rFonts w:ascii="Calibri" w:hAnsi="Calibri" w:eastAsia="Calibri"/>
                <w:b w:val="0"/>
                <w:i w:val="0"/>
                <w:color w:val="1E293B"/>
                <w:sz w:val="17"/>
              </w:rPr>
              <w:t>Hands-on lab</w:t>
            </w:r>
          </w:p>
        </w:tc>
        <w:tc>
          <w:tcPr>
            <w:tcW w:type="dxa" w:w="1500"/>
          </w:tcPr>
          <w:p>
            <w:pPr>
              <w:spacing w:after="0" w:line="264" w:lineRule="auto"/>
            </w:pPr>
            <w:r>
              <w:rPr>
                <w:rFonts w:ascii="Calibri" w:hAnsi="Calibri" w:eastAsia="Calibri"/>
                <w:b w:val="0"/>
                <w:i w:val="0"/>
                <w:color w:val="1E293B"/>
                <w:sz w:val="17"/>
              </w:rPr>
              <w:t>90-120 min</w:t>
            </w:r>
          </w:p>
        </w:tc>
        <w:tc>
          <w:tcPr>
            <w:tcW w:type="dxa" w:w="2900"/>
          </w:tcPr>
          <w:p>
            <w:pPr>
              <w:spacing w:after="0" w:line="264" w:lineRule="auto"/>
            </w:pPr>
            <w:r>
              <w:rPr>
                <w:rFonts w:ascii="Calibri" w:hAnsi="Calibri" w:eastAsia="Calibri"/>
                <w:b w:val="0"/>
                <w:i w:val="0"/>
                <w:color w:val="1E293B"/>
                <w:sz w:val="17"/>
              </w:rPr>
              <w:t>Successful connection evidence</w:t>
            </w:r>
          </w:p>
        </w:tc>
      </w:tr>
      <w:tr>
        <w:trPr>
          <w:cantSplit/>
        </w:trPr>
        <w:tc>
          <w:tcPr>
            <w:tcW w:type="dxa" w:w="3000"/>
          </w:tcPr>
          <w:p>
            <w:pPr>
              <w:spacing w:after="0" w:line="264" w:lineRule="auto"/>
            </w:pPr>
            <w:r>
              <w:rPr>
                <w:rFonts w:ascii="Calibri" w:hAnsi="Calibri" w:eastAsia="Calibri"/>
                <w:b w:val="0"/>
                <w:i w:val="0"/>
                <w:color w:val="1E293B"/>
                <w:sz w:val="17"/>
              </w:rPr>
              <w:t>POV lifecycle and terminology</w:t>
            </w:r>
          </w:p>
        </w:tc>
        <w:tc>
          <w:tcPr>
            <w:tcW w:type="dxa" w:w="1960"/>
          </w:tcPr>
          <w:p>
            <w:pPr>
              <w:spacing w:after="0" w:line="264" w:lineRule="auto"/>
            </w:pPr>
            <w:r>
              <w:rPr>
                <w:rFonts w:ascii="Calibri" w:hAnsi="Calibri" w:eastAsia="Calibri"/>
                <w:b w:val="0"/>
                <w:i w:val="0"/>
                <w:color w:val="1E293B"/>
                <w:sz w:val="17"/>
              </w:rPr>
              <w:t>Microlearning</w:t>
            </w:r>
          </w:p>
        </w:tc>
        <w:tc>
          <w:tcPr>
            <w:tcW w:type="dxa" w:w="1500"/>
          </w:tcPr>
          <w:p>
            <w:pPr>
              <w:spacing w:after="0" w:line="264" w:lineRule="auto"/>
            </w:pPr>
            <w:r>
              <w:rPr>
                <w:rFonts w:ascii="Calibri" w:hAnsi="Calibri" w:eastAsia="Calibri"/>
                <w:b w:val="0"/>
                <w:i w:val="0"/>
                <w:color w:val="1E293B"/>
                <w:sz w:val="17"/>
              </w:rPr>
              <w:t>30 min</w:t>
            </w:r>
          </w:p>
        </w:tc>
        <w:tc>
          <w:tcPr>
            <w:tcW w:type="dxa" w:w="2900"/>
          </w:tcPr>
          <w:p>
            <w:pPr>
              <w:spacing w:after="0" w:line="264" w:lineRule="auto"/>
            </w:pPr>
            <w:r>
              <w:rPr>
                <w:rFonts w:ascii="Calibri" w:hAnsi="Calibri" w:eastAsia="Calibri"/>
                <w:b w:val="0"/>
                <w:i w:val="0"/>
                <w:color w:val="1E293B"/>
                <w:sz w:val="17"/>
              </w:rPr>
              <w:t>Lifecycle quiz</w:t>
            </w:r>
          </w:p>
        </w:tc>
      </w:tr>
      <w:tr>
        <w:trPr>
          <w:cantSplit/>
        </w:trPr>
        <w:tc>
          <w:tcPr>
            <w:tcW w:type="dxa" w:w="3000"/>
          </w:tcPr>
          <w:p>
            <w:pPr>
              <w:spacing w:after="0" w:line="264" w:lineRule="auto"/>
            </w:pPr>
            <w:r>
              <w:rPr>
                <w:rFonts w:ascii="Calibri" w:hAnsi="Calibri" w:eastAsia="Calibri"/>
                <w:b w:val="0"/>
                <w:i w:val="0"/>
                <w:color w:val="1E293B"/>
                <w:sz w:val="17"/>
              </w:rPr>
              <w:t>Golden Customer briefing</w:t>
            </w:r>
          </w:p>
        </w:tc>
        <w:tc>
          <w:tcPr>
            <w:tcW w:type="dxa" w:w="1960"/>
          </w:tcPr>
          <w:p>
            <w:pPr>
              <w:spacing w:after="0" w:line="264" w:lineRule="auto"/>
            </w:pPr>
            <w:r>
              <w:rPr>
                <w:rFonts w:ascii="Calibri" w:hAnsi="Calibri" w:eastAsia="Calibri"/>
                <w:b w:val="0"/>
                <w:i w:val="0"/>
                <w:color w:val="1E293B"/>
                <w:sz w:val="17"/>
              </w:rPr>
              <w:t>Case packet</w:t>
            </w:r>
          </w:p>
        </w:tc>
        <w:tc>
          <w:tcPr>
            <w:tcW w:type="dxa" w:w="1500"/>
          </w:tcPr>
          <w:p>
            <w:pPr>
              <w:spacing w:after="0" w:line="264" w:lineRule="auto"/>
            </w:pPr>
            <w:r>
              <w:rPr>
                <w:rFonts w:ascii="Calibri" w:hAnsi="Calibri" w:eastAsia="Calibri"/>
                <w:b w:val="0"/>
                <w:i w:val="0"/>
                <w:color w:val="1E293B"/>
                <w:sz w:val="17"/>
              </w:rPr>
              <w:t>30 min</w:t>
            </w:r>
          </w:p>
        </w:tc>
        <w:tc>
          <w:tcPr>
            <w:tcW w:type="dxa" w:w="2900"/>
          </w:tcPr>
          <w:p>
            <w:pPr>
              <w:spacing w:after="0" w:line="264" w:lineRule="auto"/>
            </w:pPr>
            <w:r>
              <w:rPr>
                <w:rFonts w:ascii="Calibri" w:hAnsi="Calibri" w:eastAsia="Calibri"/>
                <w:b w:val="0"/>
                <w:i w:val="0"/>
                <w:color w:val="1E293B"/>
                <w:sz w:val="17"/>
              </w:rPr>
              <w:t>Initial hypotheses</w:t>
            </w:r>
          </w:p>
        </w:tc>
      </w:tr>
    </w:tbl>
    <w:p>
      <w:pPr>
        <w:spacing w:after="20"/>
        <w:widowControl/>
      </w:pPr>
    </w:p>
    <w:p>
      <w:pPr>
        <w:pStyle w:val="Heading3"/>
        <w:widowControl/>
      </w:pPr>
      <w:r>
        <w:t>Pre-work pass condition</w:t>
      </w:r>
    </w:p>
    <w:p>
      <w:pPr>
        <w:spacing w:after="120" w:line="300" w:lineRule="auto"/>
        <w:widowControl/>
      </w:pPr>
      <w:r>
        <w:rPr>
          <w:rFonts w:ascii="Calibri" w:hAnsi="Calibri" w:eastAsia="Calibri"/>
          <w:b w:val="0"/>
          <w:i w:val="0"/>
          <w:color w:val="1E293B"/>
          <w:sz w:val="22"/>
        </w:rPr>
        <w:t>All mandatory modules complete, connector lab passed, assessment score of at least 80%, and an initial two-paragraph POV hypothesis submitted 48 hours before Day 1.</w:t>
      </w:r>
    </w:p>
    <w:p>
      <w:pPr>
        <w:pStyle w:val="Heading2"/>
        <w:widowControl/>
      </w:pPr>
      <w:r>
        <w:t>16. Live Workshop Learning Objectives</w:t>
      </w:r>
    </w:p>
    <w:p>
      <w:pPr>
        <w:numPr>
          <w:ilvl w:val="0"/>
          <w:numId w:val="10"/>
        </w:numPr>
        <w:spacing w:after="80" w:line="300" w:lineRule="auto"/>
        <w:ind w:left="540" w:hanging="271"/>
        <w:widowControl/>
      </w:pPr>
      <w:r>
        <w:rPr>
          <w:rFonts w:ascii="Calibri" w:hAnsi="Calibri" w:eastAsia="Calibri"/>
          <w:b w:val="0"/>
          <w:i w:val="0"/>
          <w:color w:val="1E293B"/>
          <w:sz w:val="22"/>
        </w:rPr>
        <w:t>Conduct a structured Discovery interview across technical and executive personas.</w:t>
      </w:r>
    </w:p>
    <w:p>
      <w:pPr>
        <w:numPr>
          <w:ilvl w:val="0"/>
          <w:numId w:val="10"/>
        </w:numPr>
        <w:spacing w:after="80" w:line="300" w:lineRule="auto"/>
        <w:ind w:left="540" w:hanging="271"/>
        <w:widowControl/>
      </w:pPr>
      <w:r>
        <w:rPr>
          <w:rFonts w:ascii="Calibri" w:hAnsi="Calibri" w:eastAsia="Calibri"/>
          <w:b w:val="0"/>
          <w:i w:val="0"/>
          <w:color w:val="1E293B"/>
          <w:sz w:val="22"/>
        </w:rPr>
        <w:t>Decide whether a POV, risk assessment, certification assessment or non-POV path best fits the opportunity.</w:t>
      </w:r>
    </w:p>
    <w:p>
      <w:pPr>
        <w:numPr>
          <w:ilvl w:val="0"/>
          <w:numId w:val="10"/>
        </w:numPr>
        <w:spacing w:after="80" w:line="300" w:lineRule="auto"/>
        <w:ind w:left="540" w:hanging="271"/>
        <w:widowControl/>
      </w:pPr>
      <w:r>
        <w:rPr>
          <w:rFonts w:ascii="Calibri" w:hAnsi="Calibri" w:eastAsia="Calibri"/>
          <w:b w:val="0"/>
          <w:i w:val="0"/>
          <w:color w:val="1E293B"/>
          <w:sz w:val="22"/>
        </w:rPr>
        <w:t>Create measurable success criteria and a bounded POV plan.</w:t>
      </w:r>
    </w:p>
    <w:p>
      <w:pPr>
        <w:numPr>
          <w:ilvl w:val="0"/>
          <w:numId w:val="10"/>
        </w:numPr>
        <w:spacing w:after="80" w:line="300" w:lineRule="auto"/>
        <w:ind w:left="540" w:hanging="271"/>
        <w:widowControl/>
      </w:pPr>
      <w:r>
        <w:rPr>
          <w:rFonts w:ascii="Calibri" w:hAnsi="Calibri" w:eastAsia="Calibri"/>
          <w:b w:val="0"/>
          <w:i w:val="0"/>
          <w:color w:val="1E293B"/>
          <w:sz w:val="22"/>
        </w:rPr>
        <w:t>Adapt the Golden Demo to the customer narrative without turning it into a feature tour.</w:t>
      </w:r>
    </w:p>
    <w:p>
      <w:pPr>
        <w:numPr>
          <w:ilvl w:val="0"/>
          <w:numId w:val="10"/>
        </w:numPr>
        <w:spacing w:after="80" w:line="300" w:lineRule="auto"/>
        <w:ind w:left="540" w:hanging="271"/>
        <w:widowControl/>
      </w:pPr>
      <w:r>
        <w:rPr>
          <w:rFonts w:ascii="Calibri" w:hAnsi="Calibri" w:eastAsia="Calibri"/>
          <w:b w:val="0"/>
          <w:i w:val="0"/>
          <w:color w:val="1E293B"/>
          <w:sz w:val="22"/>
        </w:rPr>
        <w:t>Run the Go/No-Go discussion and handle incomplete sponsorship or access readiness.</w:t>
      </w:r>
    </w:p>
    <w:p>
      <w:pPr>
        <w:numPr>
          <w:ilvl w:val="0"/>
          <w:numId w:val="10"/>
        </w:numPr>
        <w:spacing w:after="80" w:line="300" w:lineRule="auto"/>
        <w:ind w:left="540" w:hanging="271"/>
        <w:widowControl/>
      </w:pPr>
      <w:r>
        <w:rPr>
          <w:rFonts w:ascii="Calibri" w:hAnsi="Calibri" w:eastAsia="Calibri"/>
          <w:b w:val="0"/>
          <w:i w:val="0"/>
          <w:color w:val="1E293B"/>
          <w:sz w:val="22"/>
        </w:rPr>
        <w:t>Operate the first 24 hours, prioritize evidence and manage checkpoints.</w:t>
      </w:r>
    </w:p>
    <w:p>
      <w:pPr>
        <w:numPr>
          <w:ilvl w:val="0"/>
          <w:numId w:val="10"/>
        </w:numPr>
        <w:spacing w:after="80" w:line="300" w:lineRule="auto"/>
        <w:ind w:left="540" w:hanging="271"/>
        <w:widowControl/>
      </w:pPr>
      <w:r>
        <w:rPr>
          <w:rFonts w:ascii="Calibri" w:hAnsi="Calibri" w:eastAsia="Calibri"/>
          <w:b w:val="0"/>
          <w:i w:val="0"/>
          <w:color w:val="1E293B"/>
          <w:sz w:val="22"/>
        </w:rPr>
        <w:t>Deliver a technical Finding Review and an executive Outcome Playback.</w:t>
      </w:r>
    </w:p>
    <w:p>
      <w:pPr>
        <w:numPr>
          <w:ilvl w:val="0"/>
          <w:numId w:val="10"/>
        </w:numPr>
        <w:spacing w:after="80" w:line="300" w:lineRule="auto"/>
        <w:ind w:left="540" w:hanging="271"/>
        <w:widowControl/>
      </w:pPr>
      <w:r>
        <w:rPr>
          <w:rFonts w:ascii="Calibri" w:hAnsi="Calibri" w:eastAsia="Calibri"/>
          <w:b w:val="0"/>
          <w:i w:val="0"/>
          <w:color w:val="1E293B"/>
          <w:sz w:val="22"/>
        </w:rPr>
        <w:t>Respond to common objections while preserving trust and scope discipline.</w:t>
      </w:r>
    </w:p>
    <w:p>
      <w:pPr>
        <w:pStyle w:val="Heading2"/>
        <w:widowControl/>
      </w:pPr>
      <w:r>
        <w:t>17. Engagement Motion Selection</w:t>
      </w:r>
    </w:p>
    <w:p>
      <w:pPr>
        <w:spacing w:after="120" w:line="300" w:lineRule="auto"/>
        <w:widowControl/>
      </w:pPr>
      <w:r>
        <w:rPr>
          <w:rFonts w:ascii="Calibri" w:hAnsi="Calibri" w:eastAsia="Calibri"/>
          <w:b w:val="0"/>
          <w:i w:val="0"/>
          <w:color w:val="1E293B"/>
          <w:sz w:val="22"/>
        </w:rPr>
        <w:t>Participants must demonstrate that a POV is not the answer to every opportunity. Exact names and definitions should be aligned with the current global presales methodology.</w:t>
      </w:r>
    </w:p>
    <w:tbl>
      <w:tblPr>
        <w:tblStyle w:val="TableGrid"/>
        <w:tblW w:type="dxa" w:w="9360"/>
        <w:jc w:val="left"/>
        <w:tblLayout w:type="fixed"/>
        <w:tblLook w:firstColumn="1" w:firstRow="1" w:lastColumn="0" w:lastRow="0" w:noHBand="0" w:noVBand="1" w:val="04A0"/>
        <w:tblInd w:w="120" w:type="dxa"/>
      </w:tblPr>
      <w:tblGrid>
        <w:gridCol w:w="1900"/>
        <w:gridCol w:w="3420"/>
        <w:gridCol w:w="2400"/>
        <w:gridCol w:w="1640"/>
      </w:tblGrid>
      <w:tr>
        <w:trPr>
          <w:tblHeader w:val="true"/>
        </w:trPr>
        <w:tc>
          <w:tcPr>
            <w:tcW w:type="dxa" w:w="19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Motion</w:t>
            </w:r>
          </w:p>
        </w:tc>
        <w:tc>
          <w:tcPr>
            <w:tcW w:type="dxa" w:w="342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Best Fit</w:t>
            </w:r>
          </w:p>
        </w:tc>
        <w:tc>
          <w:tcPr>
            <w:tcW w:type="dxa" w:w="24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Primary Output</w:t>
            </w:r>
          </w:p>
        </w:tc>
        <w:tc>
          <w:tcPr>
            <w:tcW w:type="dxa" w:w="164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Do Not Use When</w:t>
            </w:r>
          </w:p>
        </w:tc>
      </w:tr>
      <w:tr>
        <w:trPr>
          <w:cantSplit/>
        </w:trPr>
        <w:tc>
          <w:tcPr>
            <w:tcW w:type="dxa" w:w="1900"/>
          </w:tcPr>
          <w:p>
            <w:pPr>
              <w:spacing w:after="0" w:line="264" w:lineRule="auto"/>
            </w:pPr>
            <w:r>
              <w:rPr>
                <w:rFonts w:ascii="Calibri" w:hAnsi="Calibri" w:eastAsia="Calibri"/>
                <w:b w:val="0"/>
                <w:i w:val="0"/>
                <w:color w:val="1E293B"/>
                <w:sz w:val="16"/>
              </w:rPr>
              <w:t>Tailored Demo</w:t>
            </w:r>
          </w:p>
        </w:tc>
        <w:tc>
          <w:tcPr>
            <w:tcW w:type="dxa" w:w="3420"/>
          </w:tcPr>
          <w:p>
            <w:pPr>
              <w:spacing w:after="0" w:line="264" w:lineRule="auto"/>
            </w:pPr>
            <w:r>
              <w:rPr>
                <w:rFonts w:ascii="Calibri" w:hAnsi="Calibri" w:eastAsia="Calibri"/>
                <w:b w:val="0"/>
                <w:i w:val="0"/>
                <w:color w:val="1E293B"/>
                <w:sz w:val="16"/>
              </w:rPr>
              <w:t>Customer needs understanding and relevance before committing environment access.</w:t>
            </w:r>
          </w:p>
        </w:tc>
        <w:tc>
          <w:tcPr>
            <w:tcW w:type="dxa" w:w="2400"/>
          </w:tcPr>
          <w:p>
            <w:pPr>
              <w:spacing w:after="0" w:line="264" w:lineRule="auto"/>
            </w:pPr>
            <w:r>
              <w:rPr>
                <w:rFonts w:ascii="Calibri" w:hAnsi="Calibri" w:eastAsia="Calibri"/>
                <w:b w:val="0"/>
                <w:i w:val="0"/>
                <w:color w:val="1E293B"/>
                <w:sz w:val="16"/>
              </w:rPr>
              <w:t>Persona-specific value story</w:t>
            </w:r>
          </w:p>
        </w:tc>
        <w:tc>
          <w:tcPr>
            <w:tcW w:type="dxa" w:w="1640"/>
          </w:tcPr>
          <w:p>
            <w:pPr>
              <w:spacing w:after="0" w:line="264" w:lineRule="auto"/>
            </w:pPr>
            <w:r>
              <w:rPr>
                <w:rFonts w:ascii="Calibri" w:hAnsi="Calibri" w:eastAsia="Calibri"/>
                <w:b w:val="0"/>
                <w:i w:val="0"/>
                <w:color w:val="1E293B"/>
                <w:sz w:val="16"/>
              </w:rPr>
              <w:t>The customer expects proof from its own environment.</w:t>
            </w:r>
          </w:p>
        </w:tc>
      </w:tr>
      <w:tr>
        <w:trPr>
          <w:cantSplit/>
        </w:trPr>
        <w:tc>
          <w:tcPr>
            <w:tcW w:type="dxa" w:w="1900"/>
          </w:tcPr>
          <w:p>
            <w:pPr>
              <w:spacing w:after="0" w:line="264" w:lineRule="auto"/>
            </w:pPr>
            <w:r>
              <w:rPr>
                <w:rFonts w:ascii="Calibri" w:hAnsi="Calibri" w:eastAsia="Calibri"/>
                <w:b w:val="0"/>
                <w:i w:val="0"/>
                <w:color w:val="1E293B"/>
                <w:sz w:val="16"/>
              </w:rPr>
              <w:t>Cloud Security Workshop</w:t>
            </w:r>
          </w:p>
        </w:tc>
        <w:tc>
          <w:tcPr>
            <w:tcW w:type="dxa" w:w="3420"/>
          </w:tcPr>
          <w:p>
            <w:pPr>
              <w:spacing w:after="0" w:line="264" w:lineRule="auto"/>
            </w:pPr>
            <w:r>
              <w:rPr>
                <w:rFonts w:ascii="Calibri" w:hAnsi="Calibri" w:eastAsia="Calibri"/>
                <w:b w:val="0"/>
                <w:i w:val="0"/>
                <w:color w:val="1E293B"/>
                <w:sz w:val="16"/>
              </w:rPr>
              <w:t>Customer context, target architecture or priorities are not yet aligned.</w:t>
            </w:r>
          </w:p>
        </w:tc>
        <w:tc>
          <w:tcPr>
            <w:tcW w:type="dxa" w:w="2400"/>
          </w:tcPr>
          <w:p>
            <w:pPr>
              <w:spacing w:after="0" w:line="264" w:lineRule="auto"/>
            </w:pPr>
            <w:r>
              <w:rPr>
                <w:rFonts w:ascii="Calibri" w:hAnsi="Calibri" w:eastAsia="Calibri"/>
                <w:b w:val="0"/>
                <w:i w:val="0"/>
                <w:color w:val="1E293B"/>
                <w:sz w:val="16"/>
              </w:rPr>
              <w:t>Agreed problems, stakeholders and hypotheses</w:t>
            </w:r>
          </w:p>
        </w:tc>
        <w:tc>
          <w:tcPr>
            <w:tcW w:type="dxa" w:w="1640"/>
          </w:tcPr>
          <w:p>
            <w:pPr>
              <w:spacing w:after="0" w:line="264" w:lineRule="auto"/>
            </w:pPr>
            <w:r>
              <w:rPr>
                <w:rFonts w:ascii="Calibri" w:hAnsi="Calibri" w:eastAsia="Calibri"/>
                <w:b w:val="0"/>
                <w:i w:val="0"/>
                <w:color w:val="1E293B"/>
                <w:sz w:val="16"/>
              </w:rPr>
              <w:t>The problem and decision criteria are already clear.</w:t>
            </w:r>
          </w:p>
        </w:tc>
      </w:tr>
      <w:tr>
        <w:trPr>
          <w:cantSplit/>
        </w:trPr>
        <w:tc>
          <w:tcPr>
            <w:tcW w:type="dxa" w:w="1900"/>
          </w:tcPr>
          <w:p>
            <w:pPr>
              <w:spacing w:after="0" w:line="264" w:lineRule="auto"/>
            </w:pPr>
            <w:r>
              <w:rPr>
                <w:rFonts w:ascii="Calibri" w:hAnsi="Calibri" w:eastAsia="Calibri"/>
                <w:b w:val="0"/>
                <w:i w:val="0"/>
                <w:color w:val="1E293B"/>
                <w:sz w:val="16"/>
              </w:rPr>
              <w:t>Risk Assessment</w:t>
            </w:r>
          </w:p>
        </w:tc>
        <w:tc>
          <w:tcPr>
            <w:tcW w:type="dxa" w:w="3420"/>
          </w:tcPr>
          <w:p>
            <w:pPr>
              <w:spacing w:after="0" w:line="264" w:lineRule="auto"/>
            </w:pPr>
            <w:r>
              <w:rPr>
                <w:rFonts w:ascii="Calibri" w:hAnsi="Calibri" w:eastAsia="Calibri"/>
                <w:b w:val="0"/>
                <w:i w:val="0"/>
                <w:color w:val="1E293B"/>
                <w:sz w:val="16"/>
              </w:rPr>
              <w:t>Customer wants a bounded view of risk and prioritization.</w:t>
            </w:r>
          </w:p>
        </w:tc>
        <w:tc>
          <w:tcPr>
            <w:tcW w:type="dxa" w:w="2400"/>
          </w:tcPr>
          <w:p>
            <w:pPr>
              <w:spacing w:after="0" w:line="264" w:lineRule="auto"/>
            </w:pPr>
            <w:r>
              <w:rPr>
                <w:rFonts w:ascii="Calibri" w:hAnsi="Calibri" w:eastAsia="Calibri"/>
                <w:b w:val="0"/>
                <w:i w:val="0"/>
                <w:color w:val="1E293B"/>
                <w:sz w:val="16"/>
              </w:rPr>
              <w:t>Risk findings and action summary</w:t>
            </w:r>
          </w:p>
        </w:tc>
        <w:tc>
          <w:tcPr>
            <w:tcW w:type="dxa" w:w="1640"/>
          </w:tcPr>
          <w:p>
            <w:pPr>
              <w:spacing w:after="0" w:line="264" w:lineRule="auto"/>
            </w:pPr>
            <w:r>
              <w:rPr>
                <w:rFonts w:ascii="Calibri" w:hAnsi="Calibri" w:eastAsia="Calibri"/>
                <w:b w:val="0"/>
                <w:i w:val="0"/>
                <w:color w:val="1E293B"/>
                <w:sz w:val="16"/>
              </w:rPr>
              <w:t>It is being used as an unqualified free scan.</w:t>
            </w:r>
          </w:p>
        </w:tc>
      </w:tr>
      <w:tr>
        <w:trPr>
          <w:cantSplit/>
        </w:trPr>
        <w:tc>
          <w:tcPr>
            <w:tcW w:type="dxa" w:w="1900"/>
          </w:tcPr>
          <w:p>
            <w:pPr>
              <w:spacing w:after="0" w:line="264" w:lineRule="auto"/>
            </w:pPr>
            <w:r>
              <w:rPr>
                <w:rFonts w:ascii="Calibri" w:hAnsi="Calibri" w:eastAsia="Calibri"/>
                <w:b w:val="0"/>
                <w:i w:val="0"/>
                <w:color w:val="1E293B"/>
                <w:sz w:val="16"/>
              </w:rPr>
              <w:t>Certification Assessment</w:t>
            </w:r>
          </w:p>
        </w:tc>
        <w:tc>
          <w:tcPr>
            <w:tcW w:type="dxa" w:w="3420"/>
          </w:tcPr>
          <w:p>
            <w:pPr>
              <w:spacing w:after="0" w:line="264" w:lineRule="auto"/>
            </w:pPr>
            <w:r>
              <w:rPr>
                <w:rFonts w:ascii="Calibri" w:hAnsi="Calibri" w:eastAsia="Calibri"/>
                <w:b w:val="0"/>
                <w:i w:val="0"/>
                <w:color w:val="1E293B"/>
                <w:sz w:val="16"/>
              </w:rPr>
              <w:t>Customer needs evidence against an agreed framework or requirement.</w:t>
            </w:r>
          </w:p>
        </w:tc>
        <w:tc>
          <w:tcPr>
            <w:tcW w:type="dxa" w:w="2400"/>
          </w:tcPr>
          <w:p>
            <w:pPr>
              <w:spacing w:after="0" w:line="264" w:lineRule="auto"/>
            </w:pPr>
            <w:r>
              <w:rPr>
                <w:rFonts w:ascii="Calibri" w:hAnsi="Calibri" w:eastAsia="Calibri"/>
                <w:b w:val="0"/>
                <w:i w:val="0"/>
                <w:color w:val="1E293B"/>
                <w:sz w:val="16"/>
              </w:rPr>
              <w:t>Scoped assessment result</w:t>
            </w:r>
          </w:p>
        </w:tc>
        <w:tc>
          <w:tcPr>
            <w:tcW w:type="dxa" w:w="1640"/>
          </w:tcPr>
          <w:p>
            <w:pPr>
              <w:spacing w:after="0" w:line="264" w:lineRule="auto"/>
            </w:pPr>
            <w:r>
              <w:rPr>
                <w:rFonts w:ascii="Calibri" w:hAnsi="Calibri" w:eastAsia="Calibri"/>
                <w:b w:val="0"/>
                <w:i w:val="0"/>
                <w:color w:val="1E293B"/>
                <w:sz w:val="16"/>
              </w:rPr>
              <w:t>Framework, scope or authority is unclear.</w:t>
            </w:r>
          </w:p>
        </w:tc>
      </w:tr>
      <w:tr>
        <w:trPr>
          <w:cantSplit/>
        </w:trPr>
        <w:tc>
          <w:tcPr>
            <w:tcW w:type="dxa" w:w="1900"/>
          </w:tcPr>
          <w:p>
            <w:pPr>
              <w:spacing w:after="0" w:line="264" w:lineRule="auto"/>
            </w:pPr>
            <w:r>
              <w:rPr>
                <w:rFonts w:ascii="Calibri" w:hAnsi="Calibri" w:eastAsia="Calibri"/>
                <w:b w:val="0"/>
                <w:i w:val="0"/>
                <w:color w:val="1E293B"/>
                <w:sz w:val="16"/>
              </w:rPr>
              <w:t>Wiz POV</w:t>
            </w:r>
          </w:p>
        </w:tc>
        <w:tc>
          <w:tcPr>
            <w:tcW w:type="dxa" w:w="3420"/>
          </w:tcPr>
          <w:p>
            <w:pPr>
              <w:spacing w:after="0" w:line="264" w:lineRule="auto"/>
            </w:pPr>
            <w:r>
              <w:rPr>
                <w:rFonts w:ascii="Calibri" w:hAnsi="Calibri" w:eastAsia="Calibri"/>
                <w:b w:val="0"/>
                <w:i w:val="0"/>
                <w:color w:val="1E293B"/>
                <w:sz w:val="16"/>
              </w:rPr>
              <w:t>A qualified buying decision requires validation in customer scope.</w:t>
            </w:r>
          </w:p>
        </w:tc>
        <w:tc>
          <w:tcPr>
            <w:tcW w:type="dxa" w:w="2400"/>
          </w:tcPr>
          <w:p>
            <w:pPr>
              <w:spacing w:after="0" w:line="264" w:lineRule="auto"/>
            </w:pPr>
            <w:r>
              <w:rPr>
                <w:rFonts w:ascii="Calibri" w:hAnsi="Calibri" w:eastAsia="Calibri"/>
                <w:b w:val="0"/>
                <w:i w:val="0"/>
                <w:color w:val="1E293B"/>
                <w:sz w:val="16"/>
              </w:rPr>
              <w:t>Evidence against agreed success criteria</w:t>
            </w:r>
          </w:p>
        </w:tc>
        <w:tc>
          <w:tcPr>
            <w:tcW w:type="dxa" w:w="1640"/>
          </w:tcPr>
          <w:p>
            <w:pPr>
              <w:spacing w:after="0" w:line="264" w:lineRule="auto"/>
            </w:pPr>
            <w:r>
              <w:rPr>
                <w:rFonts w:ascii="Calibri" w:hAnsi="Calibri" w:eastAsia="Calibri"/>
                <w:b w:val="0"/>
                <w:i w:val="0"/>
                <w:color w:val="1E293B"/>
                <w:sz w:val="16"/>
              </w:rPr>
              <w:t>Sponsor, access, success criteria or next decision is missing.</w:t>
            </w:r>
          </w:p>
        </w:tc>
      </w:tr>
      <w:tr>
        <w:trPr>
          <w:cantSplit/>
        </w:trPr>
        <w:tc>
          <w:tcPr>
            <w:tcW w:type="dxa" w:w="1900"/>
          </w:tcPr>
          <w:p>
            <w:pPr>
              <w:spacing w:after="0" w:line="264" w:lineRule="auto"/>
            </w:pPr>
            <w:r>
              <w:rPr>
                <w:rFonts w:ascii="Calibri" w:hAnsi="Calibri" w:eastAsia="Calibri"/>
                <w:b w:val="0"/>
                <w:i w:val="0"/>
                <w:color w:val="1E293B"/>
                <w:sz w:val="16"/>
              </w:rPr>
              <w:t>Executive Outcome Review</w:t>
            </w:r>
          </w:p>
        </w:tc>
        <w:tc>
          <w:tcPr>
            <w:tcW w:type="dxa" w:w="3420"/>
          </w:tcPr>
          <w:p>
            <w:pPr>
              <w:spacing w:after="0" w:line="264" w:lineRule="auto"/>
            </w:pPr>
            <w:r>
              <w:rPr>
                <w:rFonts w:ascii="Calibri" w:hAnsi="Calibri" w:eastAsia="Calibri"/>
                <w:b w:val="0"/>
                <w:i w:val="0"/>
                <w:color w:val="1E293B"/>
                <w:sz w:val="16"/>
              </w:rPr>
              <w:t>Technical evidence must be converted into an executive decision.</w:t>
            </w:r>
          </w:p>
        </w:tc>
        <w:tc>
          <w:tcPr>
            <w:tcW w:type="dxa" w:w="2400"/>
          </w:tcPr>
          <w:p>
            <w:pPr>
              <w:spacing w:after="0" w:line="264" w:lineRule="auto"/>
            </w:pPr>
            <w:r>
              <w:rPr>
                <w:rFonts w:ascii="Calibri" w:hAnsi="Calibri" w:eastAsia="Calibri"/>
                <w:b w:val="0"/>
                <w:i w:val="0"/>
                <w:color w:val="1E293B"/>
                <w:sz w:val="16"/>
              </w:rPr>
              <w:t>Outcome, limitations and next-step decision</w:t>
            </w:r>
          </w:p>
        </w:tc>
        <w:tc>
          <w:tcPr>
            <w:tcW w:type="dxa" w:w="1640"/>
          </w:tcPr>
          <w:p>
            <w:pPr>
              <w:spacing w:after="0" w:line="264" w:lineRule="auto"/>
            </w:pPr>
            <w:r>
              <w:rPr>
                <w:rFonts w:ascii="Calibri" w:hAnsi="Calibri" w:eastAsia="Calibri"/>
                <w:b w:val="0"/>
                <w:i w:val="0"/>
                <w:color w:val="1E293B"/>
                <w:sz w:val="16"/>
              </w:rPr>
              <w:t>No technical evidence or stakeholder agreement exists.</w:t>
            </w:r>
          </w:p>
        </w:tc>
      </w:tr>
    </w:tbl>
    <w:p>
      <w:pPr>
        <w:spacing w:after="20"/>
        <w:widowControl/>
      </w:pPr>
    </w:p>
    <w:p>
      <w:pPr>
        <w:pStyle w:val="Heading2"/>
        <w:widowControl/>
      </w:pPr>
      <w:r>
        <w:t>18. Day 1 Detailed Agenda - Decide What to Prove</w:t>
      </w:r>
    </w:p>
    <w:tbl>
      <w:tblPr>
        <w:tblStyle w:val="TableGrid"/>
        <w:tblW w:type="dxa" w:w="9360"/>
        <w:jc w:val="left"/>
        <w:tblLayout w:type="fixed"/>
        <w:tblLook w:firstColumn="1" w:firstRow="1" w:lastColumn="0" w:lastRow="0" w:noHBand="0" w:noVBand="1" w:val="04A0"/>
        <w:tblInd w:w="120" w:type="dxa"/>
      </w:tblPr>
      <w:tblGrid>
        <w:gridCol w:w="1100"/>
        <w:gridCol w:w="3100"/>
        <w:gridCol w:w="2400"/>
        <w:gridCol w:w="2760"/>
      </w:tblGrid>
      <w:tr>
        <w:trPr>
          <w:tblHeader w:val="true"/>
        </w:trPr>
        <w:tc>
          <w:tcPr>
            <w:tcW w:type="dxa" w:w="11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Time</w:t>
            </w:r>
          </w:p>
        </w:tc>
        <w:tc>
          <w:tcPr>
            <w:tcW w:type="dxa" w:w="31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Session</w:t>
            </w:r>
          </w:p>
        </w:tc>
        <w:tc>
          <w:tcPr>
            <w:tcW w:type="dxa" w:w="24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Method</w:t>
            </w:r>
          </w:p>
        </w:tc>
        <w:tc>
          <w:tcPr>
            <w:tcW w:type="dxa" w:w="27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Participant Output</w:t>
            </w:r>
          </w:p>
        </w:tc>
      </w:tr>
      <w:tr>
        <w:trPr>
          <w:cantSplit/>
        </w:trPr>
        <w:tc>
          <w:tcPr>
            <w:tcW w:type="dxa" w:w="1100"/>
          </w:tcPr>
          <w:p>
            <w:pPr>
              <w:spacing w:after="0" w:line="264" w:lineRule="auto"/>
            </w:pPr>
            <w:r>
              <w:rPr>
                <w:rFonts w:ascii="Calibri" w:hAnsi="Calibri" w:eastAsia="Calibri"/>
                <w:b w:val="0"/>
                <w:i w:val="0"/>
                <w:color w:val="1E293B"/>
                <w:sz w:val="16"/>
              </w:rPr>
              <w:t>09:00-09:30</w:t>
            </w:r>
          </w:p>
        </w:tc>
        <w:tc>
          <w:tcPr>
            <w:tcW w:type="dxa" w:w="3100"/>
          </w:tcPr>
          <w:p>
            <w:pPr>
              <w:spacing w:after="0" w:line="264" w:lineRule="auto"/>
            </w:pPr>
            <w:r>
              <w:rPr>
                <w:rFonts w:ascii="Calibri" w:hAnsi="Calibri" w:eastAsia="Calibri"/>
                <w:b w:val="0"/>
                <w:i w:val="0"/>
                <w:color w:val="1E293B"/>
                <w:sz w:val="16"/>
              </w:rPr>
              <w:t>Opening, objectives and rules of engagement</w:t>
            </w:r>
          </w:p>
        </w:tc>
        <w:tc>
          <w:tcPr>
            <w:tcW w:type="dxa" w:w="2400"/>
          </w:tcPr>
          <w:p>
            <w:pPr>
              <w:spacing w:after="0" w:line="264" w:lineRule="auto"/>
            </w:pPr>
            <w:r>
              <w:rPr>
                <w:rFonts w:ascii="Calibri" w:hAnsi="Calibri" w:eastAsia="Calibri"/>
                <w:b w:val="0"/>
                <w:i w:val="0"/>
                <w:color w:val="1E293B"/>
                <w:sz w:val="16"/>
              </w:rPr>
              <w:t>Briefing + baseline poll</w:t>
            </w:r>
          </w:p>
        </w:tc>
        <w:tc>
          <w:tcPr>
            <w:tcW w:type="dxa" w:w="2760"/>
          </w:tcPr>
          <w:p>
            <w:pPr>
              <w:spacing w:after="0" w:line="264" w:lineRule="auto"/>
            </w:pPr>
            <w:r>
              <w:rPr>
                <w:rFonts w:ascii="Calibri" w:hAnsi="Calibri" w:eastAsia="Calibri"/>
                <w:b w:val="0"/>
                <w:i w:val="0"/>
                <w:color w:val="1E293B"/>
                <w:sz w:val="16"/>
              </w:rPr>
              <w:t>Personal learning goal</w:t>
            </w:r>
          </w:p>
        </w:tc>
      </w:tr>
      <w:tr>
        <w:trPr>
          <w:cantSplit/>
        </w:trPr>
        <w:tc>
          <w:tcPr>
            <w:tcW w:type="dxa" w:w="1100"/>
          </w:tcPr>
          <w:p>
            <w:pPr>
              <w:spacing w:after="0" w:line="264" w:lineRule="auto"/>
            </w:pPr>
            <w:r>
              <w:rPr>
                <w:rFonts w:ascii="Calibri" w:hAnsi="Calibri" w:eastAsia="Calibri"/>
                <w:b w:val="0"/>
                <w:i w:val="0"/>
                <w:color w:val="1E293B"/>
                <w:sz w:val="16"/>
              </w:rPr>
              <w:t>09:30-10:15</w:t>
            </w:r>
          </w:p>
        </w:tc>
        <w:tc>
          <w:tcPr>
            <w:tcW w:type="dxa" w:w="3100"/>
          </w:tcPr>
          <w:p>
            <w:pPr>
              <w:spacing w:after="0" w:line="264" w:lineRule="auto"/>
            </w:pPr>
            <w:r>
              <w:rPr>
                <w:rFonts w:ascii="Calibri" w:hAnsi="Calibri" w:eastAsia="Calibri"/>
                <w:b w:val="0"/>
                <w:i w:val="0"/>
                <w:color w:val="1E293B"/>
                <w:sz w:val="16"/>
              </w:rPr>
              <w:t>POV lifecycle and motion selection</w:t>
            </w:r>
          </w:p>
        </w:tc>
        <w:tc>
          <w:tcPr>
            <w:tcW w:type="dxa" w:w="2400"/>
          </w:tcPr>
          <w:p>
            <w:pPr>
              <w:spacing w:after="0" w:line="264" w:lineRule="auto"/>
            </w:pPr>
            <w:r>
              <w:rPr>
                <w:rFonts w:ascii="Calibri" w:hAnsi="Calibri" w:eastAsia="Calibri"/>
                <w:b w:val="0"/>
                <w:i w:val="0"/>
                <w:color w:val="1E293B"/>
                <w:sz w:val="16"/>
              </w:rPr>
              <w:t>Mini-lesson + case sorting</w:t>
            </w:r>
          </w:p>
        </w:tc>
        <w:tc>
          <w:tcPr>
            <w:tcW w:type="dxa" w:w="2760"/>
          </w:tcPr>
          <w:p>
            <w:pPr>
              <w:spacing w:after="0" w:line="264" w:lineRule="auto"/>
            </w:pPr>
            <w:r>
              <w:rPr>
                <w:rFonts w:ascii="Calibri" w:hAnsi="Calibri" w:eastAsia="Calibri"/>
                <w:b w:val="0"/>
                <w:i w:val="0"/>
                <w:color w:val="1E293B"/>
                <w:sz w:val="16"/>
              </w:rPr>
              <w:t>Motion decision</w:t>
            </w:r>
          </w:p>
        </w:tc>
      </w:tr>
      <w:tr>
        <w:trPr>
          <w:cantSplit/>
        </w:trPr>
        <w:tc>
          <w:tcPr>
            <w:tcW w:type="dxa" w:w="1100"/>
          </w:tcPr>
          <w:p>
            <w:pPr>
              <w:spacing w:after="0" w:line="264" w:lineRule="auto"/>
            </w:pPr>
            <w:r>
              <w:rPr>
                <w:rFonts w:ascii="Calibri" w:hAnsi="Calibri" w:eastAsia="Calibri"/>
                <w:b w:val="0"/>
                <w:i w:val="0"/>
                <w:color w:val="1E293B"/>
                <w:sz w:val="16"/>
              </w:rPr>
              <w:t>10:15-10:30</w:t>
            </w:r>
          </w:p>
        </w:tc>
        <w:tc>
          <w:tcPr>
            <w:tcW w:type="dxa" w:w="3100"/>
          </w:tcPr>
          <w:p>
            <w:pPr>
              <w:spacing w:after="0" w:line="264" w:lineRule="auto"/>
            </w:pPr>
            <w:r>
              <w:rPr>
                <w:rFonts w:ascii="Calibri" w:hAnsi="Calibri" w:eastAsia="Calibri"/>
                <w:b w:val="0"/>
                <w:i w:val="0"/>
                <w:color w:val="1E293B"/>
                <w:sz w:val="16"/>
              </w:rPr>
              <w:t>Break</w:t>
            </w:r>
          </w:p>
        </w:tc>
        <w:tc>
          <w:tcPr>
            <w:tcW w:type="dxa" w:w="2400"/>
          </w:tcPr>
          <w:p>
            <w:pPr>
              <w:spacing w:after="0" w:line="264" w:lineRule="auto"/>
            </w:pPr>
            <w:r>
              <w:rPr>
                <w:rFonts w:ascii="Calibri" w:hAnsi="Calibri" w:eastAsia="Calibri"/>
                <w:b w:val="0"/>
                <w:i w:val="0"/>
                <w:color w:val="1E293B"/>
                <w:sz w:val="16"/>
              </w:rPr>
            </w:r>
          </w:p>
        </w:tc>
        <w:tc>
          <w:tcPr>
            <w:tcW w:type="dxa" w:w="2760"/>
          </w:tcPr>
          <w:p>
            <w:pPr>
              <w:spacing w:after="0" w:line="264" w:lineRule="auto"/>
            </w:pPr>
            <w:r>
              <w:rPr>
                <w:rFonts w:ascii="Calibri" w:hAnsi="Calibri" w:eastAsia="Calibri"/>
                <w:b w:val="0"/>
                <w:i w:val="0"/>
                <w:color w:val="1E293B"/>
                <w:sz w:val="16"/>
              </w:rPr>
            </w:r>
          </w:p>
        </w:tc>
      </w:tr>
      <w:tr>
        <w:trPr>
          <w:cantSplit/>
        </w:trPr>
        <w:tc>
          <w:tcPr>
            <w:tcW w:type="dxa" w:w="1100"/>
          </w:tcPr>
          <w:p>
            <w:pPr>
              <w:spacing w:after="0" w:line="264" w:lineRule="auto"/>
            </w:pPr>
            <w:r>
              <w:rPr>
                <w:rFonts w:ascii="Calibri" w:hAnsi="Calibri" w:eastAsia="Calibri"/>
                <w:b w:val="0"/>
                <w:i w:val="0"/>
                <w:color w:val="1E293B"/>
                <w:sz w:val="16"/>
              </w:rPr>
              <w:t>10:30-11:30</w:t>
            </w:r>
          </w:p>
        </w:tc>
        <w:tc>
          <w:tcPr>
            <w:tcW w:type="dxa" w:w="3100"/>
          </w:tcPr>
          <w:p>
            <w:pPr>
              <w:spacing w:after="0" w:line="264" w:lineRule="auto"/>
            </w:pPr>
            <w:r>
              <w:rPr>
                <w:rFonts w:ascii="Calibri" w:hAnsi="Calibri" w:eastAsia="Calibri"/>
                <w:b w:val="0"/>
                <w:i w:val="0"/>
                <w:color w:val="1E293B"/>
                <w:sz w:val="16"/>
              </w:rPr>
              <w:t>Golden Customer Discovery Round 1</w:t>
            </w:r>
          </w:p>
        </w:tc>
        <w:tc>
          <w:tcPr>
            <w:tcW w:type="dxa" w:w="2400"/>
          </w:tcPr>
          <w:p>
            <w:pPr>
              <w:spacing w:after="0" w:line="264" w:lineRule="auto"/>
            </w:pPr>
            <w:r>
              <w:rPr>
                <w:rFonts w:ascii="Calibri" w:hAnsi="Calibri" w:eastAsia="Calibri"/>
                <w:b w:val="0"/>
                <w:i w:val="0"/>
                <w:color w:val="1E293B"/>
                <w:sz w:val="16"/>
              </w:rPr>
              <w:t>Persona role play</w:t>
            </w:r>
          </w:p>
        </w:tc>
        <w:tc>
          <w:tcPr>
            <w:tcW w:type="dxa" w:w="2760"/>
          </w:tcPr>
          <w:p>
            <w:pPr>
              <w:spacing w:after="0" w:line="264" w:lineRule="auto"/>
            </w:pPr>
            <w:r>
              <w:rPr>
                <w:rFonts w:ascii="Calibri" w:hAnsi="Calibri" w:eastAsia="Calibri"/>
                <w:b w:val="0"/>
                <w:i w:val="0"/>
                <w:color w:val="1E293B"/>
                <w:sz w:val="16"/>
              </w:rPr>
              <w:t>Discovery notes</w:t>
            </w:r>
          </w:p>
        </w:tc>
      </w:tr>
      <w:tr>
        <w:trPr>
          <w:cantSplit/>
        </w:trPr>
        <w:tc>
          <w:tcPr>
            <w:tcW w:type="dxa" w:w="1100"/>
          </w:tcPr>
          <w:p>
            <w:pPr>
              <w:spacing w:after="0" w:line="264" w:lineRule="auto"/>
            </w:pPr>
            <w:r>
              <w:rPr>
                <w:rFonts w:ascii="Calibri" w:hAnsi="Calibri" w:eastAsia="Calibri"/>
                <w:b w:val="0"/>
                <w:i w:val="0"/>
                <w:color w:val="1E293B"/>
                <w:sz w:val="16"/>
              </w:rPr>
              <w:t>11:30-12:15</w:t>
            </w:r>
          </w:p>
        </w:tc>
        <w:tc>
          <w:tcPr>
            <w:tcW w:type="dxa" w:w="3100"/>
          </w:tcPr>
          <w:p>
            <w:pPr>
              <w:spacing w:after="0" w:line="264" w:lineRule="auto"/>
            </w:pPr>
            <w:r>
              <w:rPr>
                <w:rFonts w:ascii="Calibri" w:hAnsi="Calibri" w:eastAsia="Calibri"/>
                <w:b w:val="0"/>
                <w:i w:val="0"/>
                <w:color w:val="1E293B"/>
                <w:sz w:val="16"/>
              </w:rPr>
              <w:t>Qualification and stakeholder mapping</w:t>
            </w:r>
          </w:p>
        </w:tc>
        <w:tc>
          <w:tcPr>
            <w:tcW w:type="dxa" w:w="2400"/>
          </w:tcPr>
          <w:p>
            <w:pPr>
              <w:spacing w:after="0" w:line="264" w:lineRule="auto"/>
            </w:pPr>
            <w:r>
              <w:rPr>
                <w:rFonts w:ascii="Calibri" w:hAnsi="Calibri" w:eastAsia="Calibri"/>
                <w:b w:val="0"/>
                <w:i w:val="0"/>
                <w:color w:val="1E293B"/>
                <w:sz w:val="16"/>
              </w:rPr>
              <w:t>Team exercise</w:t>
            </w:r>
          </w:p>
        </w:tc>
        <w:tc>
          <w:tcPr>
            <w:tcW w:type="dxa" w:w="2760"/>
          </w:tcPr>
          <w:p>
            <w:pPr>
              <w:spacing w:after="0" w:line="264" w:lineRule="auto"/>
            </w:pPr>
            <w:r>
              <w:rPr>
                <w:rFonts w:ascii="Calibri" w:hAnsi="Calibri" w:eastAsia="Calibri"/>
                <w:b w:val="0"/>
                <w:i w:val="0"/>
                <w:color w:val="1E293B"/>
                <w:sz w:val="16"/>
              </w:rPr>
              <w:t>Qualification map</w:t>
            </w:r>
          </w:p>
        </w:tc>
      </w:tr>
      <w:tr>
        <w:trPr>
          <w:cantSplit/>
        </w:trPr>
        <w:tc>
          <w:tcPr>
            <w:tcW w:type="dxa" w:w="1100"/>
          </w:tcPr>
          <w:p>
            <w:pPr>
              <w:spacing w:after="0" w:line="264" w:lineRule="auto"/>
            </w:pPr>
            <w:r>
              <w:rPr>
                <w:rFonts w:ascii="Calibri" w:hAnsi="Calibri" w:eastAsia="Calibri"/>
                <w:b w:val="0"/>
                <w:i w:val="0"/>
                <w:color w:val="1E293B"/>
                <w:sz w:val="16"/>
              </w:rPr>
              <w:t>12:15-13:00</w:t>
            </w:r>
          </w:p>
        </w:tc>
        <w:tc>
          <w:tcPr>
            <w:tcW w:type="dxa" w:w="3100"/>
          </w:tcPr>
          <w:p>
            <w:pPr>
              <w:spacing w:after="0" w:line="264" w:lineRule="auto"/>
            </w:pPr>
            <w:r>
              <w:rPr>
                <w:rFonts w:ascii="Calibri" w:hAnsi="Calibri" w:eastAsia="Calibri"/>
                <w:b w:val="0"/>
                <w:i w:val="0"/>
                <w:color w:val="1E293B"/>
                <w:sz w:val="16"/>
              </w:rPr>
              <w:t>Lunch</w:t>
            </w:r>
          </w:p>
        </w:tc>
        <w:tc>
          <w:tcPr>
            <w:tcW w:type="dxa" w:w="2400"/>
          </w:tcPr>
          <w:p>
            <w:pPr>
              <w:spacing w:after="0" w:line="264" w:lineRule="auto"/>
            </w:pPr>
            <w:r>
              <w:rPr>
                <w:rFonts w:ascii="Calibri" w:hAnsi="Calibri" w:eastAsia="Calibri"/>
                <w:b w:val="0"/>
                <w:i w:val="0"/>
                <w:color w:val="1E293B"/>
                <w:sz w:val="16"/>
              </w:rPr>
            </w:r>
          </w:p>
        </w:tc>
        <w:tc>
          <w:tcPr>
            <w:tcW w:type="dxa" w:w="2760"/>
          </w:tcPr>
          <w:p>
            <w:pPr>
              <w:spacing w:after="0" w:line="264" w:lineRule="auto"/>
            </w:pPr>
            <w:r>
              <w:rPr>
                <w:rFonts w:ascii="Calibri" w:hAnsi="Calibri" w:eastAsia="Calibri"/>
                <w:b w:val="0"/>
                <w:i w:val="0"/>
                <w:color w:val="1E293B"/>
                <w:sz w:val="16"/>
              </w:rPr>
            </w:r>
          </w:p>
        </w:tc>
      </w:tr>
      <w:tr>
        <w:trPr>
          <w:cantSplit/>
        </w:trPr>
        <w:tc>
          <w:tcPr>
            <w:tcW w:type="dxa" w:w="1100"/>
          </w:tcPr>
          <w:p>
            <w:pPr>
              <w:spacing w:after="0" w:line="264" w:lineRule="auto"/>
            </w:pPr>
            <w:r>
              <w:rPr>
                <w:rFonts w:ascii="Calibri" w:hAnsi="Calibri" w:eastAsia="Calibri"/>
                <w:b w:val="0"/>
                <w:i w:val="0"/>
                <w:color w:val="1E293B"/>
                <w:sz w:val="16"/>
              </w:rPr>
              <w:t>13:00-13:45</w:t>
            </w:r>
          </w:p>
        </w:tc>
        <w:tc>
          <w:tcPr>
            <w:tcW w:type="dxa" w:w="3100"/>
          </w:tcPr>
          <w:p>
            <w:pPr>
              <w:spacing w:after="0" w:line="264" w:lineRule="auto"/>
            </w:pPr>
            <w:r>
              <w:rPr>
                <w:rFonts w:ascii="Calibri" w:hAnsi="Calibri" w:eastAsia="Calibri"/>
                <w:b w:val="0"/>
                <w:i w:val="0"/>
                <w:color w:val="1E293B"/>
                <w:sz w:val="16"/>
              </w:rPr>
              <w:t>CSW-to-POV hypothesis conversion</w:t>
            </w:r>
          </w:p>
        </w:tc>
        <w:tc>
          <w:tcPr>
            <w:tcW w:type="dxa" w:w="2400"/>
          </w:tcPr>
          <w:p>
            <w:pPr>
              <w:spacing w:after="0" w:line="264" w:lineRule="auto"/>
            </w:pPr>
            <w:r>
              <w:rPr>
                <w:rFonts w:ascii="Calibri" w:hAnsi="Calibri" w:eastAsia="Calibri"/>
                <w:b w:val="0"/>
                <w:i w:val="0"/>
                <w:color w:val="1E293B"/>
                <w:sz w:val="16"/>
              </w:rPr>
              <w:t>Facilitated workshop</w:t>
            </w:r>
          </w:p>
        </w:tc>
        <w:tc>
          <w:tcPr>
            <w:tcW w:type="dxa" w:w="2760"/>
          </w:tcPr>
          <w:p>
            <w:pPr>
              <w:spacing w:after="0" w:line="264" w:lineRule="auto"/>
            </w:pPr>
            <w:r>
              <w:rPr>
                <w:rFonts w:ascii="Calibri" w:hAnsi="Calibri" w:eastAsia="Calibri"/>
                <w:b w:val="0"/>
                <w:i w:val="0"/>
                <w:color w:val="1E293B"/>
                <w:sz w:val="16"/>
              </w:rPr>
              <w:t>2-4 POV hypotheses</w:t>
            </w:r>
          </w:p>
        </w:tc>
      </w:tr>
      <w:tr>
        <w:trPr>
          <w:cantSplit/>
        </w:trPr>
        <w:tc>
          <w:tcPr>
            <w:tcW w:type="dxa" w:w="1100"/>
          </w:tcPr>
          <w:p>
            <w:pPr>
              <w:spacing w:after="0" w:line="264" w:lineRule="auto"/>
            </w:pPr>
            <w:r>
              <w:rPr>
                <w:rFonts w:ascii="Calibri" w:hAnsi="Calibri" w:eastAsia="Calibri"/>
                <w:b w:val="0"/>
                <w:i w:val="0"/>
                <w:color w:val="1E293B"/>
                <w:sz w:val="16"/>
              </w:rPr>
              <w:t>13:45-14:45</w:t>
            </w:r>
          </w:p>
        </w:tc>
        <w:tc>
          <w:tcPr>
            <w:tcW w:type="dxa" w:w="3100"/>
          </w:tcPr>
          <w:p>
            <w:pPr>
              <w:spacing w:after="0" w:line="264" w:lineRule="auto"/>
            </w:pPr>
            <w:r>
              <w:rPr>
                <w:rFonts w:ascii="Calibri" w:hAnsi="Calibri" w:eastAsia="Calibri"/>
                <w:b w:val="0"/>
                <w:i w:val="0"/>
                <w:color w:val="1E293B"/>
                <w:sz w:val="16"/>
              </w:rPr>
              <w:t>Success criteria and scope design</w:t>
            </w:r>
          </w:p>
        </w:tc>
        <w:tc>
          <w:tcPr>
            <w:tcW w:type="dxa" w:w="2400"/>
          </w:tcPr>
          <w:p>
            <w:pPr>
              <w:spacing w:after="0" w:line="264" w:lineRule="auto"/>
            </w:pPr>
            <w:r>
              <w:rPr>
                <w:rFonts w:ascii="Calibri" w:hAnsi="Calibri" w:eastAsia="Calibri"/>
                <w:b w:val="0"/>
                <w:i w:val="0"/>
                <w:color w:val="1E293B"/>
                <w:sz w:val="16"/>
              </w:rPr>
              <w:t>Template sprint</w:t>
            </w:r>
          </w:p>
        </w:tc>
        <w:tc>
          <w:tcPr>
            <w:tcW w:type="dxa" w:w="2760"/>
          </w:tcPr>
          <w:p>
            <w:pPr>
              <w:spacing w:after="0" w:line="264" w:lineRule="auto"/>
            </w:pPr>
            <w:r>
              <w:rPr>
                <w:rFonts w:ascii="Calibri" w:hAnsi="Calibri" w:eastAsia="Calibri"/>
                <w:b w:val="0"/>
                <w:i w:val="0"/>
                <w:color w:val="1E293B"/>
                <w:sz w:val="16"/>
              </w:rPr>
              <w:t>Draft Success Plan</w:t>
            </w:r>
          </w:p>
        </w:tc>
      </w:tr>
      <w:tr>
        <w:trPr>
          <w:cantSplit/>
        </w:trPr>
        <w:tc>
          <w:tcPr>
            <w:tcW w:type="dxa" w:w="1100"/>
          </w:tcPr>
          <w:p>
            <w:pPr>
              <w:spacing w:after="0" w:line="264" w:lineRule="auto"/>
            </w:pPr>
            <w:r>
              <w:rPr>
                <w:rFonts w:ascii="Calibri" w:hAnsi="Calibri" w:eastAsia="Calibri"/>
                <w:b w:val="0"/>
                <w:i w:val="0"/>
                <w:color w:val="1E293B"/>
                <w:sz w:val="16"/>
              </w:rPr>
              <w:t>14:45-15:00</w:t>
            </w:r>
          </w:p>
        </w:tc>
        <w:tc>
          <w:tcPr>
            <w:tcW w:type="dxa" w:w="3100"/>
          </w:tcPr>
          <w:p>
            <w:pPr>
              <w:spacing w:after="0" w:line="264" w:lineRule="auto"/>
            </w:pPr>
            <w:r>
              <w:rPr>
                <w:rFonts w:ascii="Calibri" w:hAnsi="Calibri" w:eastAsia="Calibri"/>
                <w:b w:val="0"/>
                <w:i w:val="0"/>
                <w:color w:val="1E293B"/>
                <w:sz w:val="16"/>
              </w:rPr>
              <w:t>Break</w:t>
            </w:r>
          </w:p>
        </w:tc>
        <w:tc>
          <w:tcPr>
            <w:tcW w:type="dxa" w:w="2400"/>
          </w:tcPr>
          <w:p>
            <w:pPr>
              <w:spacing w:after="0" w:line="264" w:lineRule="auto"/>
            </w:pPr>
            <w:r>
              <w:rPr>
                <w:rFonts w:ascii="Calibri" w:hAnsi="Calibri" w:eastAsia="Calibri"/>
                <w:b w:val="0"/>
                <w:i w:val="0"/>
                <w:color w:val="1E293B"/>
                <w:sz w:val="16"/>
              </w:rPr>
            </w:r>
          </w:p>
        </w:tc>
        <w:tc>
          <w:tcPr>
            <w:tcW w:type="dxa" w:w="2760"/>
          </w:tcPr>
          <w:p>
            <w:pPr>
              <w:spacing w:after="0" w:line="264" w:lineRule="auto"/>
            </w:pPr>
            <w:r>
              <w:rPr>
                <w:rFonts w:ascii="Calibri" w:hAnsi="Calibri" w:eastAsia="Calibri"/>
                <w:b w:val="0"/>
                <w:i w:val="0"/>
                <w:color w:val="1E293B"/>
                <w:sz w:val="16"/>
              </w:rPr>
            </w:r>
          </w:p>
        </w:tc>
      </w:tr>
      <w:tr>
        <w:trPr>
          <w:cantSplit/>
        </w:trPr>
        <w:tc>
          <w:tcPr>
            <w:tcW w:type="dxa" w:w="1100"/>
          </w:tcPr>
          <w:p>
            <w:pPr>
              <w:spacing w:after="0" w:line="264" w:lineRule="auto"/>
            </w:pPr>
            <w:r>
              <w:rPr>
                <w:rFonts w:ascii="Calibri" w:hAnsi="Calibri" w:eastAsia="Calibri"/>
                <w:b w:val="0"/>
                <w:i w:val="0"/>
                <w:color w:val="1E293B"/>
                <w:sz w:val="16"/>
              </w:rPr>
              <w:t>15:00-15:45</w:t>
            </w:r>
          </w:p>
        </w:tc>
        <w:tc>
          <w:tcPr>
            <w:tcW w:type="dxa" w:w="3100"/>
          </w:tcPr>
          <w:p>
            <w:pPr>
              <w:spacing w:after="0" w:line="264" w:lineRule="auto"/>
            </w:pPr>
            <w:r>
              <w:rPr>
                <w:rFonts w:ascii="Calibri" w:hAnsi="Calibri" w:eastAsia="Calibri"/>
                <w:b w:val="0"/>
                <w:i w:val="0"/>
                <w:color w:val="1E293B"/>
                <w:sz w:val="16"/>
              </w:rPr>
              <w:t>Golden Demo adaptation</w:t>
            </w:r>
          </w:p>
        </w:tc>
        <w:tc>
          <w:tcPr>
            <w:tcW w:type="dxa" w:w="2400"/>
          </w:tcPr>
          <w:p>
            <w:pPr>
              <w:spacing w:after="0" w:line="264" w:lineRule="auto"/>
            </w:pPr>
            <w:r>
              <w:rPr>
                <w:rFonts w:ascii="Calibri" w:hAnsi="Calibri" w:eastAsia="Calibri"/>
                <w:b w:val="0"/>
                <w:i w:val="0"/>
                <w:color w:val="1E293B"/>
                <w:sz w:val="16"/>
              </w:rPr>
              <w:t>Demo practice</w:t>
            </w:r>
          </w:p>
        </w:tc>
        <w:tc>
          <w:tcPr>
            <w:tcW w:type="dxa" w:w="2760"/>
          </w:tcPr>
          <w:p>
            <w:pPr>
              <w:spacing w:after="0" w:line="264" w:lineRule="auto"/>
            </w:pPr>
            <w:r>
              <w:rPr>
                <w:rFonts w:ascii="Calibri" w:hAnsi="Calibri" w:eastAsia="Calibri"/>
                <w:b w:val="0"/>
                <w:i w:val="0"/>
                <w:color w:val="1E293B"/>
                <w:sz w:val="16"/>
              </w:rPr>
              <w:t>10-minute tailored story</w:t>
            </w:r>
          </w:p>
        </w:tc>
      </w:tr>
      <w:tr>
        <w:trPr>
          <w:cantSplit/>
        </w:trPr>
        <w:tc>
          <w:tcPr>
            <w:tcW w:type="dxa" w:w="1100"/>
          </w:tcPr>
          <w:p>
            <w:pPr>
              <w:spacing w:after="0" w:line="264" w:lineRule="auto"/>
            </w:pPr>
            <w:r>
              <w:rPr>
                <w:rFonts w:ascii="Calibri" w:hAnsi="Calibri" w:eastAsia="Calibri"/>
                <w:b w:val="0"/>
                <w:i w:val="0"/>
                <w:color w:val="1E293B"/>
                <w:sz w:val="16"/>
              </w:rPr>
              <w:t>15:45-16:30</w:t>
            </w:r>
          </w:p>
        </w:tc>
        <w:tc>
          <w:tcPr>
            <w:tcW w:type="dxa" w:w="3100"/>
          </w:tcPr>
          <w:p>
            <w:pPr>
              <w:spacing w:after="0" w:line="264" w:lineRule="auto"/>
            </w:pPr>
            <w:r>
              <w:rPr>
                <w:rFonts w:ascii="Calibri" w:hAnsi="Calibri" w:eastAsia="Calibri"/>
                <w:b w:val="0"/>
                <w:i w:val="0"/>
                <w:color w:val="1E293B"/>
                <w:sz w:val="16"/>
              </w:rPr>
              <w:t>Readiness Scorecard and Go/No-Go preparation</w:t>
            </w:r>
          </w:p>
        </w:tc>
        <w:tc>
          <w:tcPr>
            <w:tcW w:type="dxa" w:w="2400"/>
          </w:tcPr>
          <w:p>
            <w:pPr>
              <w:spacing w:after="0" w:line="264" w:lineRule="auto"/>
            </w:pPr>
            <w:r>
              <w:rPr>
                <w:rFonts w:ascii="Calibri" w:hAnsi="Calibri" w:eastAsia="Calibri"/>
                <w:b w:val="0"/>
                <w:i w:val="0"/>
                <w:color w:val="1E293B"/>
                <w:sz w:val="16"/>
              </w:rPr>
              <w:t>Team challenge</w:t>
            </w:r>
          </w:p>
        </w:tc>
        <w:tc>
          <w:tcPr>
            <w:tcW w:type="dxa" w:w="2760"/>
          </w:tcPr>
          <w:p>
            <w:pPr>
              <w:spacing w:after="0" w:line="264" w:lineRule="auto"/>
            </w:pPr>
            <w:r>
              <w:rPr>
                <w:rFonts w:ascii="Calibri" w:hAnsi="Calibri" w:eastAsia="Calibri"/>
                <w:b w:val="0"/>
                <w:i w:val="0"/>
                <w:color w:val="1E293B"/>
                <w:sz w:val="16"/>
              </w:rPr>
              <w:t>Gate recommendation</w:t>
            </w:r>
          </w:p>
        </w:tc>
      </w:tr>
      <w:tr>
        <w:trPr>
          <w:cantSplit/>
        </w:trPr>
        <w:tc>
          <w:tcPr>
            <w:tcW w:type="dxa" w:w="1100"/>
          </w:tcPr>
          <w:p>
            <w:pPr>
              <w:spacing w:after="0" w:line="264" w:lineRule="auto"/>
            </w:pPr>
            <w:r>
              <w:rPr>
                <w:rFonts w:ascii="Calibri" w:hAnsi="Calibri" w:eastAsia="Calibri"/>
                <w:b w:val="0"/>
                <w:i w:val="0"/>
                <w:color w:val="1E293B"/>
                <w:sz w:val="16"/>
              </w:rPr>
              <w:t>16:30-17:15</w:t>
            </w:r>
          </w:p>
        </w:tc>
        <w:tc>
          <w:tcPr>
            <w:tcW w:type="dxa" w:w="3100"/>
          </w:tcPr>
          <w:p>
            <w:pPr>
              <w:spacing w:after="0" w:line="264" w:lineRule="auto"/>
            </w:pPr>
            <w:r>
              <w:rPr>
                <w:rFonts w:ascii="Calibri" w:hAnsi="Calibri" w:eastAsia="Calibri"/>
                <w:b w:val="0"/>
                <w:i w:val="0"/>
                <w:color w:val="1E293B"/>
                <w:sz w:val="16"/>
              </w:rPr>
              <w:t>Go/No-Go Call simulation</w:t>
            </w:r>
          </w:p>
        </w:tc>
        <w:tc>
          <w:tcPr>
            <w:tcW w:type="dxa" w:w="2400"/>
          </w:tcPr>
          <w:p>
            <w:pPr>
              <w:spacing w:after="0" w:line="264" w:lineRule="auto"/>
            </w:pPr>
            <w:r>
              <w:rPr>
                <w:rFonts w:ascii="Calibri" w:hAnsi="Calibri" w:eastAsia="Calibri"/>
                <w:b w:val="0"/>
                <w:i w:val="0"/>
                <w:color w:val="1E293B"/>
                <w:sz w:val="16"/>
              </w:rPr>
              <w:t>Role play + assessor feedback</w:t>
            </w:r>
          </w:p>
        </w:tc>
        <w:tc>
          <w:tcPr>
            <w:tcW w:type="dxa" w:w="2760"/>
          </w:tcPr>
          <w:p>
            <w:pPr>
              <w:spacing w:after="0" w:line="264" w:lineRule="auto"/>
            </w:pPr>
            <w:r>
              <w:rPr>
                <w:rFonts w:ascii="Calibri" w:hAnsi="Calibri" w:eastAsia="Calibri"/>
                <w:b w:val="0"/>
                <w:i w:val="0"/>
                <w:color w:val="1E293B"/>
                <w:sz w:val="16"/>
              </w:rPr>
              <w:t>Decision and conditions</w:t>
            </w:r>
          </w:p>
        </w:tc>
      </w:tr>
      <w:tr>
        <w:trPr>
          <w:cantSplit/>
        </w:trPr>
        <w:tc>
          <w:tcPr>
            <w:tcW w:type="dxa" w:w="1100"/>
          </w:tcPr>
          <w:p>
            <w:pPr>
              <w:spacing w:after="0" w:line="264" w:lineRule="auto"/>
            </w:pPr>
            <w:r>
              <w:rPr>
                <w:rFonts w:ascii="Calibri" w:hAnsi="Calibri" w:eastAsia="Calibri"/>
                <w:b w:val="0"/>
                <w:i w:val="0"/>
                <w:color w:val="1E293B"/>
                <w:sz w:val="16"/>
              </w:rPr>
              <w:t>17:15-17:30</w:t>
            </w:r>
          </w:p>
        </w:tc>
        <w:tc>
          <w:tcPr>
            <w:tcW w:type="dxa" w:w="3100"/>
          </w:tcPr>
          <w:p>
            <w:pPr>
              <w:spacing w:after="0" w:line="264" w:lineRule="auto"/>
            </w:pPr>
            <w:r>
              <w:rPr>
                <w:rFonts w:ascii="Calibri" w:hAnsi="Calibri" w:eastAsia="Calibri"/>
                <w:b w:val="0"/>
                <w:i w:val="0"/>
                <w:color w:val="1E293B"/>
                <w:sz w:val="16"/>
              </w:rPr>
              <w:t>Debrief and Day 2 assignment</w:t>
            </w:r>
          </w:p>
        </w:tc>
        <w:tc>
          <w:tcPr>
            <w:tcW w:type="dxa" w:w="2400"/>
          </w:tcPr>
          <w:p>
            <w:pPr>
              <w:spacing w:after="0" w:line="264" w:lineRule="auto"/>
            </w:pPr>
            <w:r>
              <w:rPr>
                <w:rFonts w:ascii="Calibri" w:hAnsi="Calibri" w:eastAsia="Calibri"/>
                <w:b w:val="0"/>
                <w:i w:val="0"/>
                <w:color w:val="1E293B"/>
                <w:sz w:val="16"/>
              </w:rPr>
              <w:t>Reflection</w:t>
            </w:r>
          </w:p>
        </w:tc>
        <w:tc>
          <w:tcPr>
            <w:tcW w:type="dxa" w:w="2760"/>
          </w:tcPr>
          <w:p>
            <w:pPr>
              <w:spacing w:after="0" w:line="264" w:lineRule="auto"/>
            </w:pPr>
            <w:r>
              <w:rPr>
                <w:rFonts w:ascii="Calibri" w:hAnsi="Calibri" w:eastAsia="Calibri"/>
                <w:b w:val="0"/>
                <w:i w:val="0"/>
                <w:color w:val="1E293B"/>
                <w:sz w:val="16"/>
              </w:rPr>
              <w:t>Revised POV charter</w:t>
            </w:r>
          </w:p>
        </w:tc>
      </w:tr>
    </w:tbl>
    <w:p>
      <w:pPr>
        <w:spacing w:after="20"/>
        <w:widowControl/>
      </w:pPr>
    </w:p>
    <w:p>
      <w:pPr>
        <w:pStyle w:val="Heading3"/>
        <w:widowControl/>
      </w:pPr>
      <w:r>
        <w:t>Day 1 critical teaching moments</w:t>
      </w:r>
    </w:p>
    <w:p>
      <w:pPr>
        <w:numPr>
          <w:ilvl w:val="0"/>
          <w:numId w:val="10"/>
        </w:numPr>
        <w:spacing w:after="80" w:line="300" w:lineRule="auto"/>
        <w:ind w:left="540" w:hanging="271"/>
        <w:widowControl/>
      </w:pPr>
      <w:r>
        <w:rPr>
          <w:rFonts w:ascii="Calibri" w:hAnsi="Calibri" w:eastAsia="Calibri"/>
          <w:b w:val="0"/>
          <w:i w:val="0"/>
          <w:color w:val="1E293B"/>
          <w:sz w:val="22"/>
        </w:rPr>
        <w:t>A feature request is not automatically a success criterion.</w:t>
      </w:r>
    </w:p>
    <w:p>
      <w:pPr>
        <w:numPr>
          <w:ilvl w:val="0"/>
          <w:numId w:val="10"/>
        </w:numPr>
        <w:spacing w:after="80" w:line="300" w:lineRule="auto"/>
        <w:ind w:left="540" w:hanging="271"/>
        <w:widowControl/>
      </w:pPr>
      <w:r>
        <w:rPr>
          <w:rFonts w:ascii="Calibri" w:hAnsi="Calibri" w:eastAsia="Calibri"/>
          <w:b w:val="0"/>
          <w:i w:val="0"/>
          <w:color w:val="1E293B"/>
          <w:sz w:val="22"/>
        </w:rPr>
        <w:t>A technical champion without an executive decision path is insufficient.</w:t>
      </w:r>
    </w:p>
    <w:p>
      <w:pPr>
        <w:numPr>
          <w:ilvl w:val="0"/>
          <w:numId w:val="10"/>
        </w:numPr>
        <w:spacing w:after="80" w:line="300" w:lineRule="auto"/>
        <w:ind w:left="540" w:hanging="271"/>
        <w:widowControl/>
      </w:pPr>
      <w:r>
        <w:rPr>
          <w:rFonts w:ascii="Calibri" w:hAnsi="Calibri" w:eastAsia="Calibri"/>
          <w:b w:val="0"/>
          <w:i w:val="0"/>
          <w:color w:val="1E293B"/>
          <w:sz w:val="22"/>
        </w:rPr>
        <w:t>A smaller, decision-relevant scope is stronger than an uncontrolled broad scan.</w:t>
      </w:r>
    </w:p>
    <w:p>
      <w:pPr>
        <w:numPr>
          <w:ilvl w:val="0"/>
          <w:numId w:val="10"/>
        </w:numPr>
        <w:spacing w:after="80" w:line="300" w:lineRule="auto"/>
        <w:ind w:left="540" w:hanging="271"/>
        <w:widowControl/>
      </w:pPr>
      <w:r>
        <w:rPr>
          <w:rFonts w:ascii="Calibri" w:hAnsi="Calibri" w:eastAsia="Calibri"/>
          <w:b w:val="0"/>
          <w:i w:val="0"/>
          <w:color w:val="1E293B"/>
          <w:sz w:val="22"/>
        </w:rPr>
        <w:t>A conditional Go can be used when owners and dates exist for closing readiness gaps.</w:t>
      </w:r>
    </w:p>
    <w:p>
      <w:pPr>
        <w:pStyle w:val="Heading2"/>
        <w:widowControl/>
      </w:pPr>
      <w:r>
        <w:t>19. Day 2 Detailed Agenda - Execute and Land the Decision</w:t>
      </w:r>
    </w:p>
    <w:tbl>
      <w:tblPr>
        <w:tblStyle w:val="TableGrid"/>
        <w:tblW w:type="dxa" w:w="9360"/>
        <w:jc w:val="left"/>
        <w:tblLayout w:type="fixed"/>
        <w:tblLook w:firstColumn="1" w:firstRow="1" w:lastColumn="0" w:lastRow="0" w:noHBand="0" w:noVBand="1" w:val="04A0"/>
        <w:tblInd w:w="120" w:type="dxa"/>
      </w:tblPr>
      <w:tblGrid>
        <w:gridCol w:w="1100"/>
        <w:gridCol w:w="3100"/>
        <w:gridCol w:w="2400"/>
        <w:gridCol w:w="2760"/>
      </w:tblGrid>
      <w:tr>
        <w:trPr>
          <w:tblHeader w:val="true"/>
        </w:trPr>
        <w:tc>
          <w:tcPr>
            <w:tcW w:type="dxa" w:w="11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Time</w:t>
            </w:r>
          </w:p>
        </w:tc>
        <w:tc>
          <w:tcPr>
            <w:tcW w:type="dxa" w:w="31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Session</w:t>
            </w:r>
          </w:p>
        </w:tc>
        <w:tc>
          <w:tcPr>
            <w:tcW w:type="dxa" w:w="24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Method</w:t>
            </w:r>
          </w:p>
        </w:tc>
        <w:tc>
          <w:tcPr>
            <w:tcW w:type="dxa" w:w="27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Participant Output</w:t>
            </w:r>
          </w:p>
        </w:tc>
      </w:tr>
      <w:tr>
        <w:trPr>
          <w:cantSplit/>
        </w:trPr>
        <w:tc>
          <w:tcPr>
            <w:tcW w:type="dxa" w:w="1100"/>
          </w:tcPr>
          <w:p>
            <w:pPr>
              <w:spacing w:after="0" w:line="264" w:lineRule="auto"/>
            </w:pPr>
            <w:r>
              <w:rPr>
                <w:rFonts w:ascii="Calibri" w:hAnsi="Calibri" w:eastAsia="Calibri"/>
                <w:b w:val="0"/>
                <w:i w:val="0"/>
                <w:color w:val="1E293B"/>
                <w:sz w:val="16"/>
              </w:rPr>
              <w:t>09:00-09:20</w:t>
            </w:r>
          </w:p>
        </w:tc>
        <w:tc>
          <w:tcPr>
            <w:tcW w:type="dxa" w:w="3100"/>
          </w:tcPr>
          <w:p>
            <w:pPr>
              <w:spacing w:after="0" w:line="264" w:lineRule="auto"/>
            </w:pPr>
            <w:r>
              <w:rPr>
                <w:rFonts w:ascii="Calibri" w:hAnsi="Calibri" w:eastAsia="Calibri"/>
                <w:b w:val="0"/>
                <w:i w:val="0"/>
                <w:color w:val="1E293B"/>
                <w:sz w:val="16"/>
              </w:rPr>
              <w:t>Day 1 recap and tenant health confirmation</w:t>
            </w:r>
          </w:p>
        </w:tc>
        <w:tc>
          <w:tcPr>
            <w:tcW w:type="dxa" w:w="2400"/>
          </w:tcPr>
          <w:p>
            <w:pPr>
              <w:spacing w:after="0" w:line="264" w:lineRule="auto"/>
            </w:pPr>
            <w:r>
              <w:rPr>
                <w:rFonts w:ascii="Calibri" w:hAnsi="Calibri" w:eastAsia="Calibri"/>
                <w:b w:val="0"/>
                <w:i w:val="0"/>
                <w:color w:val="1E293B"/>
                <w:sz w:val="16"/>
              </w:rPr>
              <w:t>Stand-up</w:t>
            </w:r>
          </w:p>
        </w:tc>
        <w:tc>
          <w:tcPr>
            <w:tcW w:type="dxa" w:w="2760"/>
          </w:tcPr>
          <w:p>
            <w:pPr>
              <w:spacing w:after="0" w:line="264" w:lineRule="auto"/>
            </w:pPr>
            <w:r>
              <w:rPr>
                <w:rFonts w:ascii="Calibri" w:hAnsi="Calibri" w:eastAsia="Calibri"/>
                <w:b w:val="0"/>
                <w:i w:val="0"/>
                <w:color w:val="1E293B"/>
                <w:sz w:val="16"/>
              </w:rPr>
              <w:t>Execution priorities</w:t>
            </w:r>
          </w:p>
        </w:tc>
      </w:tr>
      <w:tr>
        <w:trPr>
          <w:cantSplit/>
        </w:trPr>
        <w:tc>
          <w:tcPr>
            <w:tcW w:type="dxa" w:w="1100"/>
          </w:tcPr>
          <w:p>
            <w:pPr>
              <w:spacing w:after="0" w:line="264" w:lineRule="auto"/>
            </w:pPr>
            <w:r>
              <w:rPr>
                <w:rFonts w:ascii="Calibri" w:hAnsi="Calibri" w:eastAsia="Calibri"/>
                <w:b w:val="0"/>
                <w:i w:val="0"/>
                <w:color w:val="1E293B"/>
                <w:sz w:val="16"/>
              </w:rPr>
              <w:t>09:20-10:15</w:t>
            </w:r>
          </w:p>
        </w:tc>
        <w:tc>
          <w:tcPr>
            <w:tcW w:type="dxa" w:w="3100"/>
          </w:tcPr>
          <w:p>
            <w:pPr>
              <w:spacing w:after="0" w:line="264" w:lineRule="auto"/>
            </w:pPr>
            <w:r>
              <w:rPr>
                <w:rFonts w:ascii="Calibri" w:hAnsi="Calibri" w:eastAsia="Calibri"/>
                <w:b w:val="0"/>
                <w:i w:val="0"/>
                <w:color w:val="1E293B"/>
                <w:sz w:val="16"/>
              </w:rPr>
              <w:t>Connector plan, access and first 24 hours</w:t>
            </w:r>
          </w:p>
        </w:tc>
        <w:tc>
          <w:tcPr>
            <w:tcW w:type="dxa" w:w="2400"/>
          </w:tcPr>
          <w:p>
            <w:pPr>
              <w:spacing w:after="0" w:line="264" w:lineRule="auto"/>
            </w:pPr>
            <w:r>
              <w:rPr>
                <w:rFonts w:ascii="Calibri" w:hAnsi="Calibri" w:eastAsia="Calibri"/>
                <w:b w:val="0"/>
                <w:i w:val="0"/>
                <w:color w:val="1E293B"/>
                <w:sz w:val="16"/>
              </w:rPr>
              <w:t>Runbook exercise</w:t>
            </w:r>
          </w:p>
        </w:tc>
        <w:tc>
          <w:tcPr>
            <w:tcW w:type="dxa" w:w="2760"/>
          </w:tcPr>
          <w:p>
            <w:pPr>
              <w:spacing w:after="0" w:line="264" w:lineRule="auto"/>
            </w:pPr>
            <w:r>
              <w:rPr>
                <w:rFonts w:ascii="Calibri" w:hAnsi="Calibri" w:eastAsia="Calibri"/>
                <w:b w:val="0"/>
                <w:i w:val="0"/>
                <w:color w:val="1E293B"/>
                <w:sz w:val="16"/>
              </w:rPr>
              <w:t>First 24-Hour Plan</w:t>
            </w:r>
          </w:p>
        </w:tc>
      </w:tr>
      <w:tr>
        <w:trPr>
          <w:cantSplit/>
        </w:trPr>
        <w:tc>
          <w:tcPr>
            <w:tcW w:type="dxa" w:w="1100"/>
          </w:tcPr>
          <w:p>
            <w:pPr>
              <w:spacing w:after="0" w:line="264" w:lineRule="auto"/>
            </w:pPr>
            <w:r>
              <w:rPr>
                <w:rFonts w:ascii="Calibri" w:hAnsi="Calibri" w:eastAsia="Calibri"/>
                <w:b w:val="0"/>
                <w:i w:val="0"/>
                <w:color w:val="1E293B"/>
                <w:sz w:val="16"/>
              </w:rPr>
              <w:t>10:15-10:30</w:t>
            </w:r>
          </w:p>
        </w:tc>
        <w:tc>
          <w:tcPr>
            <w:tcW w:type="dxa" w:w="3100"/>
          </w:tcPr>
          <w:p>
            <w:pPr>
              <w:spacing w:after="0" w:line="264" w:lineRule="auto"/>
            </w:pPr>
            <w:r>
              <w:rPr>
                <w:rFonts w:ascii="Calibri" w:hAnsi="Calibri" w:eastAsia="Calibri"/>
                <w:b w:val="0"/>
                <w:i w:val="0"/>
                <w:color w:val="1E293B"/>
                <w:sz w:val="16"/>
              </w:rPr>
              <w:t>Break</w:t>
            </w:r>
          </w:p>
        </w:tc>
        <w:tc>
          <w:tcPr>
            <w:tcW w:type="dxa" w:w="2400"/>
          </w:tcPr>
          <w:p>
            <w:pPr>
              <w:spacing w:after="0" w:line="264" w:lineRule="auto"/>
            </w:pPr>
            <w:r>
              <w:rPr>
                <w:rFonts w:ascii="Calibri" w:hAnsi="Calibri" w:eastAsia="Calibri"/>
                <w:b w:val="0"/>
                <w:i w:val="0"/>
                <w:color w:val="1E293B"/>
                <w:sz w:val="16"/>
              </w:rPr>
            </w:r>
          </w:p>
        </w:tc>
        <w:tc>
          <w:tcPr>
            <w:tcW w:type="dxa" w:w="2760"/>
          </w:tcPr>
          <w:p>
            <w:pPr>
              <w:spacing w:after="0" w:line="264" w:lineRule="auto"/>
            </w:pPr>
            <w:r>
              <w:rPr>
                <w:rFonts w:ascii="Calibri" w:hAnsi="Calibri" w:eastAsia="Calibri"/>
                <w:b w:val="0"/>
                <w:i w:val="0"/>
                <w:color w:val="1E293B"/>
                <w:sz w:val="16"/>
              </w:rPr>
            </w:r>
          </w:p>
        </w:tc>
      </w:tr>
      <w:tr>
        <w:trPr>
          <w:cantSplit/>
        </w:trPr>
        <w:tc>
          <w:tcPr>
            <w:tcW w:type="dxa" w:w="1100"/>
          </w:tcPr>
          <w:p>
            <w:pPr>
              <w:spacing w:after="0" w:line="264" w:lineRule="auto"/>
            </w:pPr>
            <w:r>
              <w:rPr>
                <w:rFonts w:ascii="Calibri" w:hAnsi="Calibri" w:eastAsia="Calibri"/>
                <w:b w:val="0"/>
                <w:i w:val="0"/>
                <w:color w:val="1E293B"/>
                <w:sz w:val="16"/>
              </w:rPr>
              <w:t>10:30-11:45</w:t>
            </w:r>
          </w:p>
        </w:tc>
        <w:tc>
          <w:tcPr>
            <w:tcW w:type="dxa" w:w="3100"/>
          </w:tcPr>
          <w:p>
            <w:pPr>
              <w:spacing w:after="0" w:line="264" w:lineRule="auto"/>
            </w:pPr>
            <w:r>
              <w:rPr>
                <w:rFonts w:ascii="Calibri" w:hAnsi="Calibri" w:eastAsia="Calibri"/>
                <w:b w:val="0"/>
                <w:i w:val="0"/>
                <w:color w:val="1E293B"/>
                <w:sz w:val="16"/>
              </w:rPr>
              <w:t>Finding triage sprint</w:t>
            </w:r>
          </w:p>
        </w:tc>
        <w:tc>
          <w:tcPr>
            <w:tcW w:type="dxa" w:w="2400"/>
          </w:tcPr>
          <w:p>
            <w:pPr>
              <w:spacing w:after="0" w:line="264" w:lineRule="auto"/>
            </w:pPr>
            <w:r>
              <w:rPr>
                <w:rFonts w:ascii="Calibri" w:hAnsi="Calibri" w:eastAsia="Calibri"/>
                <w:b w:val="0"/>
                <w:i w:val="0"/>
                <w:color w:val="1E293B"/>
                <w:sz w:val="16"/>
              </w:rPr>
              <w:t>Golden Tenant lab</w:t>
            </w:r>
          </w:p>
        </w:tc>
        <w:tc>
          <w:tcPr>
            <w:tcW w:type="dxa" w:w="2760"/>
          </w:tcPr>
          <w:p>
            <w:pPr>
              <w:spacing w:after="0" w:line="264" w:lineRule="auto"/>
            </w:pPr>
            <w:r>
              <w:rPr>
                <w:rFonts w:ascii="Calibri" w:hAnsi="Calibri" w:eastAsia="Calibri"/>
                <w:b w:val="0"/>
                <w:i w:val="0"/>
                <w:color w:val="1E293B"/>
                <w:sz w:val="16"/>
              </w:rPr>
              <w:t>Evidence shortlist</w:t>
            </w:r>
          </w:p>
        </w:tc>
      </w:tr>
      <w:tr>
        <w:trPr>
          <w:cantSplit/>
        </w:trPr>
        <w:tc>
          <w:tcPr>
            <w:tcW w:type="dxa" w:w="1100"/>
          </w:tcPr>
          <w:p>
            <w:pPr>
              <w:spacing w:after="0" w:line="264" w:lineRule="auto"/>
            </w:pPr>
            <w:r>
              <w:rPr>
                <w:rFonts w:ascii="Calibri" w:hAnsi="Calibri" w:eastAsia="Calibri"/>
                <w:b w:val="0"/>
                <w:i w:val="0"/>
                <w:color w:val="1E293B"/>
                <w:sz w:val="16"/>
              </w:rPr>
              <w:t>11:45-12:30</w:t>
            </w:r>
          </w:p>
        </w:tc>
        <w:tc>
          <w:tcPr>
            <w:tcW w:type="dxa" w:w="3100"/>
          </w:tcPr>
          <w:p>
            <w:pPr>
              <w:spacing w:after="0" w:line="264" w:lineRule="auto"/>
            </w:pPr>
            <w:r>
              <w:rPr>
                <w:rFonts w:ascii="Calibri" w:hAnsi="Calibri" w:eastAsia="Calibri"/>
                <w:b w:val="0"/>
                <w:i w:val="0"/>
                <w:color w:val="1E293B"/>
                <w:sz w:val="16"/>
              </w:rPr>
              <w:t>Finding-to-outcome mapping</w:t>
            </w:r>
          </w:p>
        </w:tc>
        <w:tc>
          <w:tcPr>
            <w:tcW w:type="dxa" w:w="2400"/>
          </w:tcPr>
          <w:p>
            <w:pPr>
              <w:spacing w:after="0" w:line="264" w:lineRule="auto"/>
            </w:pPr>
            <w:r>
              <w:rPr>
                <w:rFonts w:ascii="Calibri" w:hAnsi="Calibri" w:eastAsia="Calibri"/>
                <w:b w:val="0"/>
                <w:i w:val="0"/>
                <w:color w:val="1E293B"/>
                <w:sz w:val="16"/>
              </w:rPr>
              <w:t>Team coaching</w:t>
            </w:r>
          </w:p>
        </w:tc>
        <w:tc>
          <w:tcPr>
            <w:tcW w:type="dxa" w:w="2760"/>
          </w:tcPr>
          <w:p>
            <w:pPr>
              <w:spacing w:after="0" w:line="264" w:lineRule="auto"/>
            </w:pPr>
            <w:r>
              <w:rPr>
                <w:rFonts w:ascii="Calibri" w:hAnsi="Calibri" w:eastAsia="Calibri"/>
                <w:b w:val="0"/>
                <w:i w:val="0"/>
                <w:color w:val="1E293B"/>
                <w:sz w:val="16"/>
              </w:rPr>
              <w:t>Finding Evidence Log</w:t>
            </w:r>
          </w:p>
        </w:tc>
      </w:tr>
      <w:tr>
        <w:trPr>
          <w:cantSplit/>
        </w:trPr>
        <w:tc>
          <w:tcPr>
            <w:tcW w:type="dxa" w:w="1100"/>
          </w:tcPr>
          <w:p>
            <w:pPr>
              <w:spacing w:after="0" w:line="264" w:lineRule="auto"/>
            </w:pPr>
            <w:r>
              <w:rPr>
                <w:rFonts w:ascii="Calibri" w:hAnsi="Calibri" w:eastAsia="Calibri"/>
                <w:b w:val="0"/>
                <w:i w:val="0"/>
                <w:color w:val="1E293B"/>
                <w:sz w:val="16"/>
              </w:rPr>
              <w:t>12:30-13:15</w:t>
            </w:r>
          </w:p>
        </w:tc>
        <w:tc>
          <w:tcPr>
            <w:tcW w:type="dxa" w:w="3100"/>
          </w:tcPr>
          <w:p>
            <w:pPr>
              <w:spacing w:after="0" w:line="264" w:lineRule="auto"/>
            </w:pPr>
            <w:r>
              <w:rPr>
                <w:rFonts w:ascii="Calibri" w:hAnsi="Calibri" w:eastAsia="Calibri"/>
                <w:b w:val="0"/>
                <w:i w:val="0"/>
                <w:color w:val="1E293B"/>
                <w:sz w:val="16"/>
              </w:rPr>
              <w:t>Lunch</w:t>
            </w:r>
          </w:p>
        </w:tc>
        <w:tc>
          <w:tcPr>
            <w:tcW w:type="dxa" w:w="2400"/>
          </w:tcPr>
          <w:p>
            <w:pPr>
              <w:spacing w:after="0" w:line="264" w:lineRule="auto"/>
            </w:pPr>
            <w:r>
              <w:rPr>
                <w:rFonts w:ascii="Calibri" w:hAnsi="Calibri" w:eastAsia="Calibri"/>
                <w:b w:val="0"/>
                <w:i w:val="0"/>
                <w:color w:val="1E293B"/>
                <w:sz w:val="16"/>
              </w:rPr>
            </w:r>
          </w:p>
        </w:tc>
        <w:tc>
          <w:tcPr>
            <w:tcW w:type="dxa" w:w="2760"/>
          </w:tcPr>
          <w:p>
            <w:pPr>
              <w:spacing w:after="0" w:line="264" w:lineRule="auto"/>
            </w:pPr>
            <w:r>
              <w:rPr>
                <w:rFonts w:ascii="Calibri" w:hAnsi="Calibri" w:eastAsia="Calibri"/>
                <w:b w:val="0"/>
                <w:i w:val="0"/>
                <w:color w:val="1E293B"/>
                <w:sz w:val="16"/>
              </w:rPr>
            </w:r>
          </w:p>
        </w:tc>
      </w:tr>
      <w:tr>
        <w:trPr>
          <w:cantSplit/>
        </w:trPr>
        <w:tc>
          <w:tcPr>
            <w:tcW w:type="dxa" w:w="1100"/>
          </w:tcPr>
          <w:p>
            <w:pPr>
              <w:spacing w:after="0" w:line="264" w:lineRule="auto"/>
            </w:pPr>
            <w:r>
              <w:rPr>
                <w:rFonts w:ascii="Calibri" w:hAnsi="Calibri" w:eastAsia="Calibri"/>
                <w:b w:val="0"/>
                <w:i w:val="0"/>
                <w:color w:val="1E293B"/>
                <w:sz w:val="16"/>
              </w:rPr>
              <w:t>13:15-14:00</w:t>
            </w:r>
          </w:p>
        </w:tc>
        <w:tc>
          <w:tcPr>
            <w:tcW w:type="dxa" w:w="3100"/>
          </w:tcPr>
          <w:p>
            <w:pPr>
              <w:spacing w:after="0" w:line="264" w:lineRule="auto"/>
            </w:pPr>
            <w:r>
              <w:rPr>
                <w:rFonts w:ascii="Calibri" w:hAnsi="Calibri" w:eastAsia="Calibri"/>
                <w:b w:val="0"/>
                <w:i w:val="0"/>
                <w:color w:val="1E293B"/>
                <w:sz w:val="16"/>
              </w:rPr>
              <w:t>Technical Finding Review</w:t>
            </w:r>
          </w:p>
        </w:tc>
        <w:tc>
          <w:tcPr>
            <w:tcW w:type="dxa" w:w="2400"/>
          </w:tcPr>
          <w:p>
            <w:pPr>
              <w:spacing w:after="0" w:line="264" w:lineRule="auto"/>
            </w:pPr>
            <w:r>
              <w:rPr>
                <w:rFonts w:ascii="Calibri" w:hAnsi="Calibri" w:eastAsia="Calibri"/>
                <w:b w:val="0"/>
                <w:i w:val="0"/>
                <w:color w:val="1E293B"/>
                <w:sz w:val="16"/>
              </w:rPr>
              <w:t>Customer role play</w:t>
            </w:r>
          </w:p>
        </w:tc>
        <w:tc>
          <w:tcPr>
            <w:tcW w:type="dxa" w:w="2760"/>
          </w:tcPr>
          <w:p>
            <w:pPr>
              <w:spacing w:after="0" w:line="264" w:lineRule="auto"/>
            </w:pPr>
            <w:r>
              <w:rPr>
                <w:rFonts w:ascii="Calibri" w:hAnsi="Calibri" w:eastAsia="Calibri"/>
                <w:b w:val="0"/>
                <w:i w:val="0"/>
                <w:color w:val="1E293B"/>
                <w:sz w:val="16"/>
              </w:rPr>
              <w:t>Agreed technical narrative</w:t>
            </w:r>
          </w:p>
        </w:tc>
      </w:tr>
      <w:tr>
        <w:trPr>
          <w:cantSplit/>
        </w:trPr>
        <w:tc>
          <w:tcPr>
            <w:tcW w:type="dxa" w:w="1100"/>
          </w:tcPr>
          <w:p>
            <w:pPr>
              <w:spacing w:after="0" w:line="264" w:lineRule="auto"/>
            </w:pPr>
            <w:r>
              <w:rPr>
                <w:rFonts w:ascii="Calibri" w:hAnsi="Calibri" w:eastAsia="Calibri"/>
                <w:b w:val="0"/>
                <w:i w:val="0"/>
                <w:color w:val="1E293B"/>
                <w:sz w:val="16"/>
              </w:rPr>
              <w:t>14:00-14:45</w:t>
            </w:r>
          </w:p>
        </w:tc>
        <w:tc>
          <w:tcPr>
            <w:tcW w:type="dxa" w:w="3100"/>
          </w:tcPr>
          <w:p>
            <w:pPr>
              <w:spacing w:after="0" w:line="264" w:lineRule="auto"/>
            </w:pPr>
            <w:r>
              <w:rPr>
                <w:rFonts w:ascii="Calibri" w:hAnsi="Calibri" w:eastAsia="Calibri"/>
                <w:b w:val="0"/>
                <w:i w:val="0"/>
                <w:color w:val="1E293B"/>
                <w:sz w:val="16"/>
              </w:rPr>
              <w:t>Objection handling under pressure</w:t>
            </w:r>
          </w:p>
        </w:tc>
        <w:tc>
          <w:tcPr>
            <w:tcW w:type="dxa" w:w="2400"/>
          </w:tcPr>
          <w:p>
            <w:pPr>
              <w:spacing w:after="0" w:line="264" w:lineRule="auto"/>
            </w:pPr>
            <w:r>
              <w:rPr>
                <w:rFonts w:ascii="Calibri" w:hAnsi="Calibri" w:eastAsia="Calibri"/>
                <w:b w:val="0"/>
                <w:i w:val="0"/>
                <w:color w:val="1E293B"/>
                <w:sz w:val="16"/>
              </w:rPr>
              <w:t>Rotating role play</w:t>
            </w:r>
          </w:p>
        </w:tc>
        <w:tc>
          <w:tcPr>
            <w:tcW w:type="dxa" w:w="2760"/>
          </w:tcPr>
          <w:p>
            <w:pPr>
              <w:spacing w:after="0" w:line="264" w:lineRule="auto"/>
            </w:pPr>
            <w:r>
              <w:rPr>
                <w:rFonts w:ascii="Calibri" w:hAnsi="Calibri" w:eastAsia="Calibri"/>
                <w:b w:val="0"/>
                <w:i w:val="0"/>
                <w:color w:val="1E293B"/>
                <w:sz w:val="16"/>
              </w:rPr>
              <w:t>Response plan</w:t>
            </w:r>
          </w:p>
        </w:tc>
      </w:tr>
      <w:tr>
        <w:trPr>
          <w:cantSplit/>
        </w:trPr>
        <w:tc>
          <w:tcPr>
            <w:tcW w:type="dxa" w:w="1100"/>
          </w:tcPr>
          <w:p>
            <w:pPr>
              <w:spacing w:after="0" w:line="264" w:lineRule="auto"/>
            </w:pPr>
            <w:r>
              <w:rPr>
                <w:rFonts w:ascii="Calibri" w:hAnsi="Calibri" w:eastAsia="Calibri"/>
                <w:b w:val="0"/>
                <w:i w:val="0"/>
                <w:color w:val="1E293B"/>
                <w:sz w:val="16"/>
              </w:rPr>
              <w:t>14:45-15:00</w:t>
            </w:r>
          </w:p>
        </w:tc>
        <w:tc>
          <w:tcPr>
            <w:tcW w:type="dxa" w:w="3100"/>
          </w:tcPr>
          <w:p>
            <w:pPr>
              <w:spacing w:after="0" w:line="264" w:lineRule="auto"/>
            </w:pPr>
            <w:r>
              <w:rPr>
                <w:rFonts w:ascii="Calibri" w:hAnsi="Calibri" w:eastAsia="Calibri"/>
                <w:b w:val="0"/>
                <w:i w:val="0"/>
                <w:color w:val="1E293B"/>
                <w:sz w:val="16"/>
              </w:rPr>
              <w:t>Break</w:t>
            </w:r>
          </w:p>
        </w:tc>
        <w:tc>
          <w:tcPr>
            <w:tcW w:type="dxa" w:w="2400"/>
          </w:tcPr>
          <w:p>
            <w:pPr>
              <w:spacing w:after="0" w:line="264" w:lineRule="auto"/>
            </w:pPr>
            <w:r>
              <w:rPr>
                <w:rFonts w:ascii="Calibri" w:hAnsi="Calibri" w:eastAsia="Calibri"/>
                <w:b w:val="0"/>
                <w:i w:val="0"/>
                <w:color w:val="1E293B"/>
                <w:sz w:val="16"/>
              </w:rPr>
            </w:r>
          </w:p>
        </w:tc>
        <w:tc>
          <w:tcPr>
            <w:tcW w:type="dxa" w:w="2760"/>
          </w:tcPr>
          <w:p>
            <w:pPr>
              <w:spacing w:after="0" w:line="264" w:lineRule="auto"/>
            </w:pPr>
            <w:r>
              <w:rPr>
                <w:rFonts w:ascii="Calibri" w:hAnsi="Calibri" w:eastAsia="Calibri"/>
                <w:b w:val="0"/>
                <w:i w:val="0"/>
                <w:color w:val="1E293B"/>
                <w:sz w:val="16"/>
              </w:rPr>
            </w:r>
          </w:p>
        </w:tc>
      </w:tr>
      <w:tr>
        <w:trPr>
          <w:cantSplit/>
        </w:trPr>
        <w:tc>
          <w:tcPr>
            <w:tcW w:type="dxa" w:w="1100"/>
          </w:tcPr>
          <w:p>
            <w:pPr>
              <w:spacing w:after="0" w:line="264" w:lineRule="auto"/>
            </w:pPr>
            <w:r>
              <w:rPr>
                <w:rFonts w:ascii="Calibri" w:hAnsi="Calibri" w:eastAsia="Calibri"/>
                <w:b w:val="0"/>
                <w:i w:val="0"/>
                <w:color w:val="1E293B"/>
                <w:sz w:val="16"/>
              </w:rPr>
              <w:t>15:00-15:45</w:t>
            </w:r>
          </w:p>
        </w:tc>
        <w:tc>
          <w:tcPr>
            <w:tcW w:type="dxa" w:w="3100"/>
          </w:tcPr>
          <w:p>
            <w:pPr>
              <w:spacing w:after="0" w:line="264" w:lineRule="auto"/>
            </w:pPr>
            <w:r>
              <w:rPr>
                <w:rFonts w:ascii="Calibri" w:hAnsi="Calibri" w:eastAsia="Calibri"/>
                <w:b w:val="0"/>
                <w:i w:val="0"/>
                <w:color w:val="1E293B"/>
                <w:sz w:val="16"/>
              </w:rPr>
              <w:t>Executive Playback design</w:t>
            </w:r>
          </w:p>
        </w:tc>
        <w:tc>
          <w:tcPr>
            <w:tcW w:type="dxa" w:w="2400"/>
          </w:tcPr>
          <w:p>
            <w:pPr>
              <w:spacing w:after="0" w:line="264" w:lineRule="auto"/>
            </w:pPr>
            <w:r>
              <w:rPr>
                <w:rFonts w:ascii="Calibri" w:hAnsi="Calibri" w:eastAsia="Calibri"/>
                <w:b w:val="0"/>
                <w:i w:val="0"/>
                <w:color w:val="1E293B"/>
                <w:sz w:val="16"/>
              </w:rPr>
              <w:t>Storyboard sprint</w:t>
            </w:r>
          </w:p>
        </w:tc>
        <w:tc>
          <w:tcPr>
            <w:tcW w:type="dxa" w:w="2760"/>
          </w:tcPr>
          <w:p>
            <w:pPr>
              <w:spacing w:after="0" w:line="264" w:lineRule="auto"/>
            </w:pPr>
            <w:r>
              <w:rPr>
                <w:rFonts w:ascii="Calibri" w:hAnsi="Calibri" w:eastAsia="Calibri"/>
                <w:b w:val="0"/>
                <w:i w:val="0"/>
                <w:color w:val="1E293B"/>
                <w:sz w:val="16"/>
              </w:rPr>
              <w:t>Six-slide playback</w:t>
            </w:r>
          </w:p>
        </w:tc>
      </w:tr>
      <w:tr>
        <w:trPr>
          <w:cantSplit/>
        </w:trPr>
        <w:tc>
          <w:tcPr>
            <w:tcW w:type="dxa" w:w="1100"/>
          </w:tcPr>
          <w:p>
            <w:pPr>
              <w:spacing w:after="0" w:line="264" w:lineRule="auto"/>
            </w:pPr>
            <w:r>
              <w:rPr>
                <w:rFonts w:ascii="Calibri" w:hAnsi="Calibri" w:eastAsia="Calibri"/>
                <w:b w:val="0"/>
                <w:i w:val="0"/>
                <w:color w:val="1E293B"/>
                <w:sz w:val="16"/>
              </w:rPr>
              <w:t>15:45-16:45</w:t>
            </w:r>
          </w:p>
        </w:tc>
        <w:tc>
          <w:tcPr>
            <w:tcW w:type="dxa" w:w="3100"/>
          </w:tcPr>
          <w:p>
            <w:pPr>
              <w:spacing w:after="0" w:line="264" w:lineRule="auto"/>
            </w:pPr>
            <w:r>
              <w:rPr>
                <w:rFonts w:ascii="Calibri" w:hAnsi="Calibri" w:eastAsia="Calibri"/>
                <w:b w:val="0"/>
                <w:i w:val="0"/>
                <w:color w:val="1E293B"/>
                <w:sz w:val="16"/>
              </w:rPr>
              <w:t>Capstone executive playback</w:t>
            </w:r>
          </w:p>
        </w:tc>
        <w:tc>
          <w:tcPr>
            <w:tcW w:type="dxa" w:w="2400"/>
          </w:tcPr>
          <w:p>
            <w:pPr>
              <w:spacing w:after="0" w:line="264" w:lineRule="auto"/>
            </w:pPr>
            <w:r>
              <w:rPr>
                <w:rFonts w:ascii="Calibri" w:hAnsi="Calibri" w:eastAsia="Calibri"/>
                <w:b w:val="0"/>
                <w:i w:val="0"/>
                <w:color w:val="1E293B"/>
                <w:sz w:val="16"/>
              </w:rPr>
              <w:t>Presentation + Q&amp;A</w:t>
            </w:r>
          </w:p>
        </w:tc>
        <w:tc>
          <w:tcPr>
            <w:tcW w:type="dxa" w:w="2760"/>
          </w:tcPr>
          <w:p>
            <w:pPr>
              <w:spacing w:after="0" w:line="264" w:lineRule="auto"/>
            </w:pPr>
            <w:r>
              <w:rPr>
                <w:rFonts w:ascii="Calibri" w:hAnsi="Calibri" w:eastAsia="Calibri"/>
                <w:b w:val="0"/>
                <w:i w:val="0"/>
                <w:color w:val="1E293B"/>
                <w:sz w:val="16"/>
              </w:rPr>
              <w:t>Decision recommendation</w:t>
            </w:r>
          </w:p>
        </w:tc>
      </w:tr>
      <w:tr>
        <w:trPr>
          <w:cantSplit/>
        </w:trPr>
        <w:tc>
          <w:tcPr>
            <w:tcW w:type="dxa" w:w="1100"/>
          </w:tcPr>
          <w:p>
            <w:pPr>
              <w:spacing w:after="0" w:line="264" w:lineRule="auto"/>
            </w:pPr>
            <w:r>
              <w:rPr>
                <w:rFonts w:ascii="Calibri" w:hAnsi="Calibri" w:eastAsia="Calibri"/>
                <w:b w:val="0"/>
                <w:i w:val="0"/>
                <w:color w:val="1E293B"/>
                <w:sz w:val="16"/>
              </w:rPr>
              <w:t>16:45-17:15</w:t>
            </w:r>
          </w:p>
        </w:tc>
        <w:tc>
          <w:tcPr>
            <w:tcW w:type="dxa" w:w="3100"/>
          </w:tcPr>
          <w:p>
            <w:pPr>
              <w:spacing w:after="0" w:line="264" w:lineRule="auto"/>
            </w:pPr>
            <w:r>
              <w:rPr>
                <w:rFonts w:ascii="Calibri" w:hAnsi="Calibri" w:eastAsia="Calibri"/>
                <w:b w:val="0"/>
                <w:i w:val="0"/>
                <w:color w:val="1E293B"/>
                <w:sz w:val="16"/>
              </w:rPr>
              <w:t>Assessment and individual feedback</w:t>
            </w:r>
          </w:p>
        </w:tc>
        <w:tc>
          <w:tcPr>
            <w:tcW w:type="dxa" w:w="2400"/>
          </w:tcPr>
          <w:p>
            <w:pPr>
              <w:spacing w:after="0" w:line="264" w:lineRule="auto"/>
            </w:pPr>
            <w:r>
              <w:rPr>
                <w:rFonts w:ascii="Calibri" w:hAnsi="Calibri" w:eastAsia="Calibri"/>
                <w:b w:val="0"/>
                <w:i w:val="0"/>
                <w:color w:val="1E293B"/>
                <w:sz w:val="16"/>
              </w:rPr>
              <w:t>Rubric review</w:t>
            </w:r>
          </w:p>
        </w:tc>
        <w:tc>
          <w:tcPr>
            <w:tcW w:type="dxa" w:w="2760"/>
          </w:tcPr>
          <w:p>
            <w:pPr>
              <w:spacing w:after="0" w:line="264" w:lineRule="auto"/>
            </w:pPr>
            <w:r>
              <w:rPr>
                <w:rFonts w:ascii="Calibri" w:hAnsi="Calibri" w:eastAsia="Calibri"/>
                <w:b w:val="0"/>
                <w:i w:val="0"/>
                <w:color w:val="1E293B"/>
                <w:sz w:val="16"/>
              </w:rPr>
              <w:t>Development plan</w:t>
            </w:r>
          </w:p>
        </w:tc>
      </w:tr>
      <w:tr>
        <w:trPr>
          <w:cantSplit/>
        </w:trPr>
        <w:tc>
          <w:tcPr>
            <w:tcW w:type="dxa" w:w="1100"/>
          </w:tcPr>
          <w:p>
            <w:pPr>
              <w:spacing w:after="0" w:line="264" w:lineRule="auto"/>
            </w:pPr>
            <w:r>
              <w:rPr>
                <w:rFonts w:ascii="Calibri" w:hAnsi="Calibri" w:eastAsia="Calibri"/>
                <w:b w:val="0"/>
                <w:i w:val="0"/>
                <w:color w:val="1E293B"/>
                <w:sz w:val="16"/>
              </w:rPr>
              <w:t>17:15-17:30</w:t>
            </w:r>
          </w:p>
        </w:tc>
        <w:tc>
          <w:tcPr>
            <w:tcW w:type="dxa" w:w="3100"/>
          </w:tcPr>
          <w:p>
            <w:pPr>
              <w:spacing w:after="0" w:line="264" w:lineRule="auto"/>
            </w:pPr>
            <w:r>
              <w:rPr>
                <w:rFonts w:ascii="Calibri" w:hAnsi="Calibri" w:eastAsia="Calibri"/>
                <w:b w:val="0"/>
                <w:i w:val="0"/>
                <w:color w:val="1E293B"/>
                <w:sz w:val="16"/>
              </w:rPr>
              <w:t>Field practicum kickoff</w:t>
            </w:r>
          </w:p>
        </w:tc>
        <w:tc>
          <w:tcPr>
            <w:tcW w:type="dxa" w:w="2400"/>
          </w:tcPr>
          <w:p>
            <w:pPr>
              <w:spacing w:after="0" w:line="264" w:lineRule="auto"/>
            </w:pPr>
            <w:r>
              <w:rPr>
                <w:rFonts w:ascii="Calibri" w:hAnsi="Calibri" w:eastAsia="Calibri"/>
                <w:b w:val="0"/>
                <w:i w:val="0"/>
                <w:color w:val="1E293B"/>
                <w:sz w:val="16"/>
              </w:rPr>
              <w:t>Commitment planning</w:t>
            </w:r>
          </w:p>
        </w:tc>
        <w:tc>
          <w:tcPr>
            <w:tcW w:type="dxa" w:w="2760"/>
          </w:tcPr>
          <w:p>
            <w:pPr>
              <w:spacing w:after="0" w:line="264" w:lineRule="auto"/>
            </w:pPr>
            <w:r>
              <w:rPr>
                <w:rFonts w:ascii="Calibri" w:hAnsi="Calibri" w:eastAsia="Calibri"/>
                <w:b w:val="0"/>
                <w:i w:val="0"/>
                <w:color w:val="1E293B"/>
                <w:sz w:val="16"/>
              </w:rPr>
              <w:t>Opportunity and mentor match</w:t>
            </w:r>
          </w:p>
        </w:tc>
      </w:tr>
    </w:tbl>
    <w:p>
      <w:pPr>
        <w:spacing w:after="20"/>
        <w:widowControl/>
      </w:pPr>
    </w:p>
    <w:p>
      <w:pPr>
        <w:pStyle w:val="Heading2"/>
        <w:widowControl/>
      </w:pPr>
      <w:r>
        <w:t>20. Required Participant Deliverables</w:t>
      </w:r>
    </w:p>
    <w:tbl>
      <w:tblPr>
        <w:tblStyle w:val="TableGrid"/>
        <w:tblW w:type="dxa" w:w="9360"/>
        <w:jc w:val="left"/>
        <w:tblLayout w:type="fixed"/>
        <w:tblLook w:firstColumn="1" w:firstRow="1" w:lastColumn="0" w:lastRow="0" w:noHBand="0" w:noVBand="1" w:val="04A0"/>
        <w:tblInd w:w="120" w:type="dxa"/>
      </w:tblPr>
      <w:tblGrid>
        <w:gridCol w:w="2200"/>
        <w:gridCol w:w="5060"/>
        <w:gridCol w:w="2100"/>
      </w:tblGrid>
      <w:tr>
        <w:trPr>
          <w:tblHeader w:val="true"/>
        </w:trPr>
        <w:tc>
          <w:tcPr>
            <w:tcW w:type="dxa" w:w="22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Deliverable</w:t>
            </w:r>
          </w:p>
        </w:tc>
        <w:tc>
          <w:tcPr>
            <w:tcW w:type="dxa" w:w="50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Purpose</w:t>
            </w:r>
          </w:p>
        </w:tc>
        <w:tc>
          <w:tcPr>
            <w:tcW w:type="dxa" w:w="21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When Assessed</w:t>
            </w:r>
          </w:p>
        </w:tc>
      </w:tr>
      <w:tr>
        <w:trPr>
          <w:cantSplit/>
        </w:trPr>
        <w:tc>
          <w:tcPr>
            <w:tcW w:type="dxa" w:w="2200"/>
          </w:tcPr>
          <w:p>
            <w:pPr>
              <w:spacing w:after="0" w:line="264" w:lineRule="auto"/>
            </w:pPr>
            <w:r>
              <w:rPr>
                <w:rFonts w:ascii="Calibri" w:hAnsi="Calibri" w:eastAsia="Calibri"/>
                <w:b w:val="0"/>
                <w:i w:val="0"/>
                <w:color w:val="1E293B"/>
                <w:sz w:val="17"/>
              </w:rPr>
              <w:t>Discovery Canvas</w:t>
            </w:r>
          </w:p>
        </w:tc>
        <w:tc>
          <w:tcPr>
            <w:tcW w:type="dxa" w:w="5060"/>
          </w:tcPr>
          <w:p>
            <w:pPr>
              <w:spacing w:after="0" w:line="264" w:lineRule="auto"/>
            </w:pPr>
            <w:r>
              <w:rPr>
                <w:rFonts w:ascii="Calibri" w:hAnsi="Calibri" w:eastAsia="Calibri"/>
                <w:b w:val="0"/>
                <w:i w:val="0"/>
                <w:color w:val="1E293B"/>
                <w:sz w:val="17"/>
              </w:rPr>
              <w:t>Capture business trigger, pains, cloud context, tools, stakeholders and decision process.</w:t>
            </w:r>
          </w:p>
        </w:tc>
        <w:tc>
          <w:tcPr>
            <w:tcW w:type="dxa" w:w="2100"/>
          </w:tcPr>
          <w:p>
            <w:pPr>
              <w:spacing w:after="0" w:line="264" w:lineRule="auto"/>
            </w:pPr>
            <w:r>
              <w:rPr>
                <w:rFonts w:ascii="Calibri" w:hAnsi="Calibri" w:eastAsia="Calibri"/>
                <w:b w:val="0"/>
                <w:i w:val="0"/>
                <w:color w:val="1E293B"/>
                <w:sz w:val="17"/>
              </w:rPr>
              <w:t>Day 1</w:t>
            </w:r>
          </w:p>
        </w:tc>
      </w:tr>
      <w:tr>
        <w:trPr>
          <w:cantSplit/>
        </w:trPr>
        <w:tc>
          <w:tcPr>
            <w:tcW w:type="dxa" w:w="2200"/>
          </w:tcPr>
          <w:p>
            <w:pPr>
              <w:spacing w:after="0" w:line="264" w:lineRule="auto"/>
            </w:pPr>
            <w:r>
              <w:rPr>
                <w:rFonts w:ascii="Calibri" w:hAnsi="Calibri" w:eastAsia="Calibri"/>
                <w:b w:val="0"/>
                <w:i w:val="0"/>
                <w:color w:val="1E293B"/>
                <w:sz w:val="17"/>
              </w:rPr>
              <w:t>Stakeholder Map</w:t>
            </w:r>
          </w:p>
        </w:tc>
        <w:tc>
          <w:tcPr>
            <w:tcW w:type="dxa" w:w="5060"/>
          </w:tcPr>
          <w:p>
            <w:pPr>
              <w:spacing w:after="0" w:line="264" w:lineRule="auto"/>
            </w:pPr>
            <w:r>
              <w:rPr>
                <w:rFonts w:ascii="Calibri" w:hAnsi="Calibri" w:eastAsia="Calibri"/>
                <w:b w:val="0"/>
                <w:i w:val="0"/>
                <w:color w:val="1E293B"/>
                <w:sz w:val="17"/>
              </w:rPr>
              <w:t>Identify sponsor, champion, access owner, app owners, procurement and decision body.</w:t>
            </w:r>
          </w:p>
        </w:tc>
        <w:tc>
          <w:tcPr>
            <w:tcW w:type="dxa" w:w="2100"/>
          </w:tcPr>
          <w:p>
            <w:pPr>
              <w:spacing w:after="0" w:line="264" w:lineRule="auto"/>
            </w:pPr>
            <w:r>
              <w:rPr>
                <w:rFonts w:ascii="Calibri" w:hAnsi="Calibri" w:eastAsia="Calibri"/>
                <w:b w:val="0"/>
                <w:i w:val="0"/>
                <w:color w:val="1E293B"/>
                <w:sz w:val="17"/>
              </w:rPr>
              <w:t>Day 1</w:t>
            </w:r>
          </w:p>
        </w:tc>
      </w:tr>
      <w:tr>
        <w:trPr>
          <w:cantSplit/>
        </w:trPr>
        <w:tc>
          <w:tcPr>
            <w:tcW w:type="dxa" w:w="2200"/>
          </w:tcPr>
          <w:p>
            <w:pPr>
              <w:spacing w:after="0" w:line="264" w:lineRule="auto"/>
            </w:pPr>
            <w:r>
              <w:rPr>
                <w:rFonts w:ascii="Calibri" w:hAnsi="Calibri" w:eastAsia="Calibri"/>
                <w:b w:val="0"/>
                <w:i w:val="0"/>
                <w:color w:val="1E293B"/>
                <w:sz w:val="17"/>
              </w:rPr>
              <w:t>POV Success Plan</w:t>
            </w:r>
          </w:p>
        </w:tc>
        <w:tc>
          <w:tcPr>
            <w:tcW w:type="dxa" w:w="5060"/>
          </w:tcPr>
          <w:p>
            <w:pPr>
              <w:spacing w:after="0" w:line="264" w:lineRule="auto"/>
            </w:pPr>
            <w:r>
              <w:rPr>
                <w:rFonts w:ascii="Calibri" w:hAnsi="Calibri" w:eastAsia="Calibri"/>
                <w:b w:val="0"/>
                <w:i w:val="0"/>
                <w:color w:val="1E293B"/>
                <w:sz w:val="17"/>
              </w:rPr>
              <w:t>Document scope, hypotheses, measures, timeline, roles, risks and exit criteria.</w:t>
            </w:r>
          </w:p>
        </w:tc>
        <w:tc>
          <w:tcPr>
            <w:tcW w:type="dxa" w:w="2100"/>
          </w:tcPr>
          <w:p>
            <w:pPr>
              <w:spacing w:after="0" w:line="264" w:lineRule="auto"/>
            </w:pPr>
            <w:r>
              <w:rPr>
                <w:rFonts w:ascii="Calibri" w:hAnsi="Calibri" w:eastAsia="Calibri"/>
                <w:b w:val="0"/>
                <w:i w:val="0"/>
                <w:color w:val="1E293B"/>
                <w:sz w:val="17"/>
              </w:rPr>
              <w:t>Day 1</w:t>
            </w:r>
          </w:p>
        </w:tc>
      </w:tr>
      <w:tr>
        <w:trPr>
          <w:cantSplit/>
        </w:trPr>
        <w:tc>
          <w:tcPr>
            <w:tcW w:type="dxa" w:w="2200"/>
          </w:tcPr>
          <w:p>
            <w:pPr>
              <w:spacing w:after="0" w:line="264" w:lineRule="auto"/>
            </w:pPr>
            <w:r>
              <w:rPr>
                <w:rFonts w:ascii="Calibri" w:hAnsi="Calibri" w:eastAsia="Calibri"/>
                <w:b w:val="0"/>
                <w:i w:val="0"/>
                <w:color w:val="1E293B"/>
                <w:sz w:val="17"/>
              </w:rPr>
              <w:t>Readiness Scorecard</w:t>
            </w:r>
          </w:p>
        </w:tc>
        <w:tc>
          <w:tcPr>
            <w:tcW w:type="dxa" w:w="5060"/>
          </w:tcPr>
          <w:p>
            <w:pPr>
              <w:spacing w:after="0" w:line="264" w:lineRule="auto"/>
            </w:pPr>
            <w:r>
              <w:rPr>
                <w:rFonts w:ascii="Calibri" w:hAnsi="Calibri" w:eastAsia="Calibri"/>
                <w:b w:val="0"/>
                <w:i w:val="0"/>
                <w:color w:val="1E293B"/>
                <w:sz w:val="17"/>
              </w:rPr>
              <w:t>Support Go, Conditional Go or No-Go with evidence.</w:t>
            </w:r>
          </w:p>
        </w:tc>
        <w:tc>
          <w:tcPr>
            <w:tcW w:type="dxa" w:w="2100"/>
          </w:tcPr>
          <w:p>
            <w:pPr>
              <w:spacing w:after="0" w:line="264" w:lineRule="auto"/>
            </w:pPr>
            <w:r>
              <w:rPr>
                <w:rFonts w:ascii="Calibri" w:hAnsi="Calibri" w:eastAsia="Calibri"/>
                <w:b w:val="0"/>
                <w:i w:val="0"/>
                <w:color w:val="1E293B"/>
                <w:sz w:val="17"/>
              </w:rPr>
              <w:t>Day 1</w:t>
            </w:r>
          </w:p>
        </w:tc>
      </w:tr>
      <w:tr>
        <w:trPr>
          <w:cantSplit/>
        </w:trPr>
        <w:tc>
          <w:tcPr>
            <w:tcW w:type="dxa" w:w="2200"/>
          </w:tcPr>
          <w:p>
            <w:pPr>
              <w:spacing w:after="0" w:line="264" w:lineRule="auto"/>
            </w:pPr>
            <w:r>
              <w:rPr>
                <w:rFonts w:ascii="Calibri" w:hAnsi="Calibri" w:eastAsia="Calibri"/>
                <w:b w:val="0"/>
                <w:i w:val="0"/>
                <w:color w:val="1E293B"/>
                <w:sz w:val="17"/>
              </w:rPr>
              <w:t>First 24-Hour Plan</w:t>
            </w:r>
          </w:p>
        </w:tc>
        <w:tc>
          <w:tcPr>
            <w:tcW w:type="dxa" w:w="5060"/>
          </w:tcPr>
          <w:p>
            <w:pPr>
              <w:spacing w:after="0" w:line="264" w:lineRule="auto"/>
            </w:pPr>
            <w:r>
              <w:rPr>
                <w:rFonts w:ascii="Calibri" w:hAnsi="Calibri" w:eastAsia="Calibri"/>
                <w:b w:val="0"/>
                <w:i w:val="0"/>
                <w:color w:val="1E293B"/>
                <w:sz w:val="17"/>
              </w:rPr>
              <w:t>Sequence access, connection, validation, first findings and communication.</w:t>
            </w:r>
          </w:p>
        </w:tc>
        <w:tc>
          <w:tcPr>
            <w:tcW w:type="dxa" w:w="2100"/>
          </w:tcPr>
          <w:p>
            <w:pPr>
              <w:spacing w:after="0" w:line="264" w:lineRule="auto"/>
            </w:pPr>
            <w:r>
              <w:rPr>
                <w:rFonts w:ascii="Calibri" w:hAnsi="Calibri" w:eastAsia="Calibri"/>
                <w:b w:val="0"/>
                <w:i w:val="0"/>
                <w:color w:val="1E293B"/>
                <w:sz w:val="17"/>
              </w:rPr>
              <w:t>Day 2</w:t>
            </w:r>
          </w:p>
        </w:tc>
      </w:tr>
      <w:tr>
        <w:trPr>
          <w:cantSplit/>
        </w:trPr>
        <w:tc>
          <w:tcPr>
            <w:tcW w:type="dxa" w:w="2200"/>
          </w:tcPr>
          <w:p>
            <w:pPr>
              <w:spacing w:after="0" w:line="264" w:lineRule="auto"/>
            </w:pPr>
            <w:r>
              <w:rPr>
                <w:rFonts w:ascii="Calibri" w:hAnsi="Calibri" w:eastAsia="Calibri"/>
                <w:b w:val="0"/>
                <w:i w:val="0"/>
                <w:color w:val="1E293B"/>
                <w:sz w:val="17"/>
              </w:rPr>
              <w:t>Finding Evidence Log</w:t>
            </w:r>
          </w:p>
        </w:tc>
        <w:tc>
          <w:tcPr>
            <w:tcW w:type="dxa" w:w="5060"/>
          </w:tcPr>
          <w:p>
            <w:pPr>
              <w:spacing w:after="0" w:line="264" w:lineRule="auto"/>
            </w:pPr>
            <w:r>
              <w:rPr>
                <w:rFonts w:ascii="Calibri" w:hAnsi="Calibri" w:eastAsia="Calibri"/>
                <w:b w:val="0"/>
                <w:i w:val="0"/>
                <w:color w:val="1E293B"/>
                <w:sz w:val="17"/>
              </w:rPr>
              <w:t>Connect evidence to business service, owner, remediation and value.</w:t>
            </w:r>
          </w:p>
        </w:tc>
        <w:tc>
          <w:tcPr>
            <w:tcW w:type="dxa" w:w="2100"/>
          </w:tcPr>
          <w:p>
            <w:pPr>
              <w:spacing w:after="0" w:line="264" w:lineRule="auto"/>
            </w:pPr>
            <w:r>
              <w:rPr>
                <w:rFonts w:ascii="Calibri" w:hAnsi="Calibri" w:eastAsia="Calibri"/>
                <w:b w:val="0"/>
                <w:i w:val="0"/>
                <w:color w:val="1E293B"/>
                <w:sz w:val="17"/>
              </w:rPr>
              <w:t>Day 2</w:t>
            </w:r>
          </w:p>
        </w:tc>
      </w:tr>
      <w:tr>
        <w:trPr>
          <w:cantSplit/>
        </w:trPr>
        <w:tc>
          <w:tcPr>
            <w:tcW w:type="dxa" w:w="2200"/>
          </w:tcPr>
          <w:p>
            <w:pPr>
              <w:spacing w:after="0" w:line="264" w:lineRule="auto"/>
            </w:pPr>
            <w:r>
              <w:rPr>
                <w:rFonts w:ascii="Calibri" w:hAnsi="Calibri" w:eastAsia="Calibri"/>
                <w:b w:val="0"/>
                <w:i w:val="0"/>
                <w:color w:val="1E293B"/>
                <w:sz w:val="17"/>
              </w:rPr>
              <w:t>Executive Playback</w:t>
            </w:r>
          </w:p>
        </w:tc>
        <w:tc>
          <w:tcPr>
            <w:tcW w:type="dxa" w:w="5060"/>
          </w:tcPr>
          <w:p>
            <w:pPr>
              <w:spacing w:after="0" w:line="264" w:lineRule="auto"/>
            </w:pPr>
            <w:r>
              <w:rPr>
                <w:rFonts w:ascii="Calibri" w:hAnsi="Calibri" w:eastAsia="Calibri"/>
                <w:b w:val="0"/>
                <w:i w:val="0"/>
                <w:color w:val="1E293B"/>
                <w:sz w:val="17"/>
              </w:rPr>
              <w:t>Summarize outcome, limitations, risks, value and next decision in six slides.</w:t>
            </w:r>
          </w:p>
        </w:tc>
        <w:tc>
          <w:tcPr>
            <w:tcW w:type="dxa" w:w="2100"/>
          </w:tcPr>
          <w:p>
            <w:pPr>
              <w:spacing w:after="0" w:line="264" w:lineRule="auto"/>
            </w:pPr>
            <w:r>
              <w:rPr>
                <w:rFonts w:ascii="Calibri" w:hAnsi="Calibri" w:eastAsia="Calibri"/>
                <w:b w:val="0"/>
                <w:i w:val="0"/>
                <w:color w:val="1E293B"/>
                <w:sz w:val="17"/>
              </w:rPr>
              <w:t>Capstone</w:t>
            </w:r>
          </w:p>
        </w:tc>
      </w:tr>
      <w:tr>
        <w:trPr>
          <w:cantSplit/>
        </w:trPr>
        <w:tc>
          <w:tcPr>
            <w:tcW w:type="dxa" w:w="2200"/>
          </w:tcPr>
          <w:p>
            <w:pPr>
              <w:spacing w:after="0" w:line="264" w:lineRule="auto"/>
            </w:pPr>
            <w:r>
              <w:rPr>
                <w:rFonts w:ascii="Calibri" w:hAnsi="Calibri" w:eastAsia="Calibri"/>
                <w:b w:val="0"/>
                <w:i w:val="0"/>
                <w:color w:val="1E293B"/>
                <w:sz w:val="17"/>
              </w:rPr>
              <w:t>Field Practicum Plan</w:t>
            </w:r>
          </w:p>
        </w:tc>
        <w:tc>
          <w:tcPr>
            <w:tcW w:type="dxa" w:w="5060"/>
          </w:tcPr>
          <w:p>
            <w:pPr>
              <w:spacing w:after="0" w:line="264" w:lineRule="auto"/>
            </w:pPr>
            <w:r>
              <w:rPr>
                <w:rFonts w:ascii="Calibri" w:hAnsi="Calibri" w:eastAsia="Calibri"/>
                <w:b w:val="0"/>
                <w:i w:val="0"/>
                <w:color w:val="1E293B"/>
                <w:sz w:val="17"/>
              </w:rPr>
              <w:t>Name opportunity, mentor, target dates and evidence to be collected.</w:t>
            </w:r>
          </w:p>
        </w:tc>
        <w:tc>
          <w:tcPr>
            <w:tcW w:type="dxa" w:w="2100"/>
          </w:tcPr>
          <w:p>
            <w:pPr>
              <w:spacing w:after="0" w:line="264" w:lineRule="auto"/>
            </w:pPr>
            <w:r>
              <w:rPr>
                <w:rFonts w:ascii="Calibri" w:hAnsi="Calibri" w:eastAsia="Calibri"/>
                <w:b w:val="0"/>
                <w:i w:val="0"/>
                <w:color w:val="1E293B"/>
                <w:sz w:val="17"/>
              </w:rPr>
              <w:t>Close</w:t>
            </w:r>
          </w:p>
        </w:tc>
      </w:tr>
    </w:tbl>
    <w:p>
      <w:pPr>
        <w:spacing w:after="20"/>
        <w:widowControl/>
      </w:pPr>
    </w:p>
    <w:p>
      <w:pPr>
        <w:pStyle w:val="Heading2"/>
        <w:widowControl/>
      </w:pPr>
      <w:r>
        <w:t>21. First 24-Hour Operating Standard</w:t>
      </w:r>
    </w:p>
    <w:p>
      <w:pPr>
        <w:numPr>
          <w:ilvl w:val="0"/>
          <w:numId w:val="11"/>
        </w:numPr>
        <w:spacing w:after="80" w:line="300" w:lineRule="auto"/>
        <w:ind w:left="540" w:hanging="271"/>
        <w:widowControl/>
      </w:pPr>
      <w:r>
        <w:rPr>
          <w:rFonts w:ascii="Calibri" w:hAnsi="Calibri" w:eastAsia="Calibri"/>
          <w:b w:val="0"/>
          <w:i w:val="0"/>
          <w:color w:val="1E293B"/>
          <w:sz w:val="22"/>
        </w:rPr>
        <w:t>Confirm scope, sponsor, technical owner, communication channel and escalation contacts.</w:t>
      </w:r>
    </w:p>
    <w:p>
      <w:pPr>
        <w:numPr>
          <w:ilvl w:val="0"/>
          <w:numId w:val="11"/>
        </w:numPr>
        <w:spacing w:after="80" w:line="300" w:lineRule="auto"/>
        <w:ind w:left="540" w:hanging="271"/>
        <w:widowControl/>
      </w:pPr>
      <w:r>
        <w:rPr>
          <w:rFonts w:ascii="Calibri" w:hAnsi="Calibri" w:eastAsia="Calibri"/>
          <w:b w:val="0"/>
          <w:i w:val="0"/>
          <w:color w:val="1E293B"/>
          <w:sz w:val="22"/>
        </w:rPr>
        <w:t>Validate participant identities, access windows and approved connector method.</w:t>
      </w:r>
    </w:p>
    <w:p>
      <w:pPr>
        <w:numPr>
          <w:ilvl w:val="0"/>
          <w:numId w:val="11"/>
        </w:numPr>
        <w:spacing w:after="80" w:line="300" w:lineRule="auto"/>
        <w:ind w:left="540" w:hanging="271"/>
        <w:widowControl/>
      </w:pPr>
      <w:r>
        <w:rPr>
          <w:rFonts w:ascii="Calibri" w:hAnsi="Calibri" w:eastAsia="Calibri"/>
          <w:b w:val="0"/>
          <w:i w:val="0"/>
          <w:color w:val="1E293B"/>
          <w:sz w:val="22"/>
        </w:rPr>
        <w:t>Connect the agreed cloud scope and verify system health and expected coverage.</w:t>
      </w:r>
    </w:p>
    <w:p>
      <w:pPr>
        <w:numPr>
          <w:ilvl w:val="0"/>
          <w:numId w:val="11"/>
        </w:numPr>
        <w:spacing w:after="80" w:line="300" w:lineRule="auto"/>
        <w:ind w:left="540" w:hanging="271"/>
        <w:widowControl/>
      </w:pPr>
      <w:r>
        <w:rPr>
          <w:rFonts w:ascii="Calibri" w:hAnsi="Calibri" w:eastAsia="Calibri"/>
          <w:b w:val="0"/>
          <w:i w:val="0"/>
          <w:color w:val="1E293B"/>
          <w:sz w:val="22"/>
        </w:rPr>
        <w:t>Confirm that collected evidence matches scope and that no unexpected sensitive data handling occurs.</w:t>
      </w:r>
    </w:p>
    <w:p>
      <w:pPr>
        <w:numPr>
          <w:ilvl w:val="0"/>
          <w:numId w:val="11"/>
        </w:numPr>
        <w:spacing w:after="80" w:line="300" w:lineRule="auto"/>
        <w:ind w:left="540" w:hanging="271"/>
        <w:widowControl/>
      </w:pPr>
      <w:r>
        <w:rPr>
          <w:rFonts w:ascii="Calibri" w:hAnsi="Calibri" w:eastAsia="Calibri"/>
          <w:b w:val="0"/>
          <w:i w:val="0"/>
          <w:color w:val="1E293B"/>
          <w:sz w:val="22"/>
        </w:rPr>
        <w:t>Establish a first inventory baseline and identify any scope or visibility gaps.</w:t>
      </w:r>
    </w:p>
    <w:p>
      <w:pPr>
        <w:numPr>
          <w:ilvl w:val="0"/>
          <w:numId w:val="11"/>
        </w:numPr>
        <w:spacing w:after="80" w:line="300" w:lineRule="auto"/>
        <w:ind w:left="540" w:hanging="271"/>
        <w:widowControl/>
      </w:pPr>
      <w:r>
        <w:rPr>
          <w:rFonts w:ascii="Calibri" w:hAnsi="Calibri" w:eastAsia="Calibri"/>
          <w:b w:val="0"/>
          <w:i w:val="0"/>
          <w:color w:val="1E293B"/>
          <w:sz w:val="22"/>
        </w:rPr>
        <w:t>Select an initial set of decision-relevant findings; avoid sending an uncurated finding dump.</w:t>
      </w:r>
    </w:p>
    <w:p>
      <w:pPr>
        <w:numPr>
          <w:ilvl w:val="0"/>
          <w:numId w:val="11"/>
        </w:numPr>
        <w:spacing w:after="80" w:line="300" w:lineRule="auto"/>
        <w:ind w:left="540" w:hanging="271"/>
        <w:widowControl/>
      </w:pPr>
      <w:r>
        <w:rPr>
          <w:rFonts w:ascii="Calibri" w:hAnsi="Calibri" w:eastAsia="Calibri"/>
          <w:b w:val="0"/>
          <w:i w:val="0"/>
          <w:color w:val="1E293B"/>
          <w:sz w:val="22"/>
        </w:rPr>
        <w:t>Send a concise status update: connected scope, known limitations, early signal and next checkpoint.</w:t>
      </w:r>
    </w:p>
    <w:p>
      <w:pPr>
        <w:numPr>
          <w:ilvl w:val="0"/>
          <w:numId w:val="11"/>
        </w:numPr>
        <w:spacing w:after="80" w:line="300" w:lineRule="auto"/>
        <w:ind w:left="540" w:hanging="271"/>
        <w:widowControl/>
      </w:pPr>
      <w:r>
        <w:rPr>
          <w:rFonts w:ascii="Calibri" w:hAnsi="Calibri" w:eastAsia="Calibri"/>
          <w:b w:val="0"/>
          <w:i w:val="0"/>
          <w:color w:val="1E293B"/>
          <w:sz w:val="22"/>
        </w:rPr>
        <w:t>Escalate blockers with owner, impact, decision required and target resolution time.</w:t>
      </w:r>
    </w:p>
    <w:p>
      <w:pPr>
        <w:keepLines/>
        <w:spacing w:before="80" w:after="200"/>
        <w:widowControl/>
      </w:pPr>
      <w:r>
        <w:rPr>
          <w:rFonts w:ascii="Calibri" w:hAnsi="Calibri" w:eastAsia="Calibri"/>
          <w:b/>
          <w:i w:val="0"/>
          <w:color w:val="000000"/>
          <w:sz w:val="21"/>
        </w:rPr>
        <w:t xml:space="preserve">STANDARD: </w:t>
      </w:r>
      <w:r>
        <w:rPr>
          <w:rFonts w:ascii="Calibri" w:hAnsi="Calibri" w:eastAsia="Calibri"/>
          <w:b w:val="0"/>
          <w:i w:val="0"/>
          <w:color w:val="1E293B"/>
          <w:sz w:val="21"/>
        </w:rPr>
        <w:t>Speed matters, but the first 24 hours are successful only when the team establishes trustworthy scope, evidence and communication - not simply when a connector is deployed.</w:t>
      </w:r>
    </w:p>
    <w:p>
      <w:pPr>
        <w:pStyle w:val="Heading2"/>
        <w:widowControl/>
      </w:pPr>
      <w:r>
        <w:t>22. Playback Structure</w:t>
      </w:r>
    </w:p>
    <w:p>
      <w:pPr>
        <w:pStyle w:val="Heading3"/>
        <w:widowControl/>
      </w:pPr>
      <w:r>
        <w:t>Technical Finding Review</w:t>
      </w:r>
    </w:p>
    <w:p>
      <w:pPr>
        <w:numPr>
          <w:ilvl w:val="0"/>
          <w:numId w:val="10"/>
        </w:numPr>
        <w:spacing w:after="80" w:line="300" w:lineRule="auto"/>
        <w:ind w:left="540" w:hanging="271"/>
        <w:widowControl/>
      </w:pPr>
      <w:r>
        <w:rPr>
          <w:rFonts w:ascii="Calibri" w:hAnsi="Calibri" w:eastAsia="Calibri"/>
          <w:b w:val="0"/>
          <w:i w:val="0"/>
          <w:color w:val="1E293B"/>
          <w:sz w:val="22"/>
        </w:rPr>
        <w:t>Confirm scope and known limitations.</w:t>
      </w:r>
    </w:p>
    <w:p>
      <w:pPr>
        <w:numPr>
          <w:ilvl w:val="0"/>
          <w:numId w:val="10"/>
        </w:numPr>
        <w:spacing w:after="80" w:line="300" w:lineRule="auto"/>
        <w:ind w:left="540" w:hanging="271"/>
        <w:widowControl/>
      </w:pPr>
      <w:r>
        <w:rPr>
          <w:rFonts w:ascii="Calibri" w:hAnsi="Calibri" w:eastAsia="Calibri"/>
          <w:b w:val="0"/>
          <w:i w:val="0"/>
          <w:color w:val="1E293B"/>
          <w:sz w:val="22"/>
        </w:rPr>
        <w:t>Review a small number of representative material findings.</w:t>
      </w:r>
    </w:p>
    <w:p>
      <w:pPr>
        <w:numPr>
          <w:ilvl w:val="0"/>
          <w:numId w:val="10"/>
        </w:numPr>
        <w:spacing w:after="80" w:line="300" w:lineRule="auto"/>
        <w:ind w:left="540" w:hanging="271"/>
        <w:widowControl/>
      </w:pPr>
      <w:r>
        <w:rPr>
          <w:rFonts w:ascii="Calibri" w:hAnsi="Calibri" w:eastAsia="Calibri"/>
          <w:b w:val="0"/>
          <w:i w:val="0"/>
          <w:color w:val="1E293B"/>
          <w:sz w:val="22"/>
        </w:rPr>
        <w:t>Validate relevance with the cloud/application owner.</w:t>
      </w:r>
    </w:p>
    <w:p>
      <w:pPr>
        <w:numPr>
          <w:ilvl w:val="0"/>
          <w:numId w:val="10"/>
        </w:numPr>
        <w:spacing w:after="80" w:line="300" w:lineRule="auto"/>
        <w:ind w:left="540" w:hanging="271"/>
        <w:widowControl/>
      </w:pPr>
      <w:r>
        <w:rPr>
          <w:rFonts w:ascii="Calibri" w:hAnsi="Calibri" w:eastAsia="Calibri"/>
          <w:b w:val="0"/>
          <w:i w:val="0"/>
          <w:color w:val="1E293B"/>
          <w:sz w:val="22"/>
        </w:rPr>
        <w:t>Agree remediation owner, action and validation step.</w:t>
      </w:r>
    </w:p>
    <w:p>
      <w:pPr>
        <w:numPr>
          <w:ilvl w:val="0"/>
          <w:numId w:val="10"/>
        </w:numPr>
        <w:spacing w:after="80" w:line="300" w:lineRule="auto"/>
        <w:ind w:left="540" w:hanging="271"/>
        <w:widowControl/>
      </w:pPr>
      <w:r>
        <w:rPr>
          <w:rFonts w:ascii="Calibri" w:hAnsi="Calibri" w:eastAsia="Calibri"/>
          <w:b w:val="0"/>
          <w:i w:val="0"/>
          <w:color w:val="1E293B"/>
          <w:sz w:val="22"/>
        </w:rPr>
        <w:t>Capture disagreements and unresolved questions without overstating certainty.</w:t>
      </w:r>
    </w:p>
    <w:p>
      <w:pPr>
        <w:pStyle w:val="Heading3"/>
        <w:widowControl/>
      </w:pPr>
      <w:r>
        <w:t>Six-slide Executive Outcome Playback</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Slide</w:t>
            </w:r>
          </w:p>
        </w:tc>
        <w:tc>
          <w:tcPr>
            <w:tcW w:type="dxa" w:w="76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Purpose</w:t>
            </w:r>
          </w:p>
        </w:tc>
      </w:tr>
      <w:tr>
        <w:trPr>
          <w:cantSplit/>
        </w:trPr>
        <w:tc>
          <w:tcPr>
            <w:tcW w:type="dxa" w:w="1700"/>
          </w:tcPr>
          <w:p>
            <w:pPr>
              <w:spacing w:after="0" w:line="264" w:lineRule="auto"/>
            </w:pPr>
            <w:r>
              <w:rPr>
                <w:rFonts w:ascii="Calibri" w:hAnsi="Calibri" w:eastAsia="Calibri"/>
                <w:b w:val="0"/>
                <w:i w:val="0"/>
                <w:color w:val="1E293B"/>
                <w:sz w:val="18"/>
              </w:rPr>
              <w:t>1. Decision and context</w:t>
            </w:r>
          </w:p>
        </w:tc>
        <w:tc>
          <w:tcPr>
            <w:tcW w:type="dxa" w:w="7660"/>
          </w:tcPr>
          <w:p>
            <w:pPr>
              <w:spacing w:after="0" w:line="264" w:lineRule="auto"/>
            </w:pPr>
            <w:r>
              <w:rPr>
                <w:rFonts w:ascii="Calibri" w:hAnsi="Calibri" w:eastAsia="Calibri"/>
                <w:b w:val="0"/>
                <w:i w:val="0"/>
                <w:color w:val="1E293B"/>
                <w:sz w:val="18"/>
              </w:rPr>
              <w:t>Restate the decision, scope and success criteria.</w:t>
            </w:r>
          </w:p>
        </w:tc>
      </w:tr>
      <w:tr>
        <w:trPr>
          <w:cantSplit/>
        </w:trPr>
        <w:tc>
          <w:tcPr>
            <w:tcW w:type="dxa" w:w="1700"/>
          </w:tcPr>
          <w:p>
            <w:pPr>
              <w:spacing w:after="0" w:line="264" w:lineRule="auto"/>
            </w:pPr>
            <w:r>
              <w:rPr>
                <w:rFonts w:ascii="Calibri" w:hAnsi="Calibri" w:eastAsia="Calibri"/>
                <w:b w:val="0"/>
                <w:i w:val="0"/>
                <w:color w:val="1E293B"/>
                <w:sz w:val="18"/>
              </w:rPr>
              <w:t>2. Environment observed</w:t>
            </w:r>
          </w:p>
        </w:tc>
        <w:tc>
          <w:tcPr>
            <w:tcW w:type="dxa" w:w="7660"/>
          </w:tcPr>
          <w:p>
            <w:pPr>
              <w:spacing w:after="0" w:line="264" w:lineRule="auto"/>
            </w:pPr>
            <w:r>
              <w:rPr>
                <w:rFonts w:ascii="Calibri" w:hAnsi="Calibri" w:eastAsia="Calibri"/>
                <w:b w:val="0"/>
                <w:i w:val="0"/>
                <w:color w:val="1E293B"/>
                <w:sz w:val="18"/>
              </w:rPr>
              <w:t>Show connected scope and limitations.</w:t>
            </w:r>
          </w:p>
        </w:tc>
      </w:tr>
      <w:tr>
        <w:trPr>
          <w:cantSplit/>
        </w:trPr>
        <w:tc>
          <w:tcPr>
            <w:tcW w:type="dxa" w:w="1700"/>
          </w:tcPr>
          <w:p>
            <w:pPr>
              <w:spacing w:after="0" w:line="264" w:lineRule="auto"/>
            </w:pPr>
            <w:r>
              <w:rPr>
                <w:rFonts w:ascii="Calibri" w:hAnsi="Calibri" w:eastAsia="Calibri"/>
                <w:b w:val="0"/>
                <w:i w:val="0"/>
                <w:color w:val="1E293B"/>
                <w:sz w:val="18"/>
              </w:rPr>
              <w:t>3. Top risk stories</w:t>
            </w:r>
          </w:p>
        </w:tc>
        <w:tc>
          <w:tcPr>
            <w:tcW w:type="dxa" w:w="7660"/>
          </w:tcPr>
          <w:p>
            <w:pPr>
              <w:spacing w:after="0" w:line="264" w:lineRule="auto"/>
            </w:pPr>
            <w:r>
              <w:rPr>
                <w:rFonts w:ascii="Calibri" w:hAnsi="Calibri" w:eastAsia="Calibri"/>
                <w:b w:val="0"/>
                <w:i w:val="0"/>
                <w:color w:val="1E293B"/>
                <w:sz w:val="18"/>
              </w:rPr>
              <w:t>Present three contextual risks in business language.</w:t>
            </w:r>
          </w:p>
        </w:tc>
      </w:tr>
      <w:tr>
        <w:trPr>
          <w:cantSplit/>
        </w:trPr>
        <w:tc>
          <w:tcPr>
            <w:tcW w:type="dxa" w:w="1700"/>
          </w:tcPr>
          <w:p>
            <w:pPr>
              <w:spacing w:after="0" w:line="264" w:lineRule="auto"/>
            </w:pPr>
            <w:r>
              <w:rPr>
                <w:rFonts w:ascii="Calibri" w:hAnsi="Calibri" w:eastAsia="Calibri"/>
                <w:b w:val="0"/>
                <w:i w:val="0"/>
                <w:color w:val="1E293B"/>
                <w:sz w:val="18"/>
              </w:rPr>
              <w:t>4. Value demonstrated</w:t>
            </w:r>
          </w:p>
        </w:tc>
        <w:tc>
          <w:tcPr>
            <w:tcW w:type="dxa" w:w="7660"/>
          </w:tcPr>
          <w:p>
            <w:pPr>
              <w:spacing w:after="0" w:line="264" w:lineRule="auto"/>
            </w:pPr>
            <w:r>
              <w:rPr>
                <w:rFonts w:ascii="Calibri" w:hAnsi="Calibri" w:eastAsia="Calibri"/>
                <w:b w:val="0"/>
                <w:i w:val="0"/>
                <w:color w:val="1E293B"/>
                <w:sz w:val="18"/>
              </w:rPr>
              <w:t>Map evidence to prioritization, ownership and operational outcomes.</w:t>
            </w:r>
          </w:p>
        </w:tc>
      </w:tr>
      <w:tr>
        <w:trPr>
          <w:cantSplit/>
        </w:trPr>
        <w:tc>
          <w:tcPr>
            <w:tcW w:type="dxa" w:w="1700"/>
          </w:tcPr>
          <w:p>
            <w:pPr>
              <w:spacing w:after="0" w:line="264" w:lineRule="auto"/>
            </w:pPr>
            <w:r>
              <w:rPr>
                <w:rFonts w:ascii="Calibri" w:hAnsi="Calibri" w:eastAsia="Calibri"/>
                <w:b w:val="0"/>
                <w:i w:val="0"/>
                <w:color w:val="1E293B"/>
                <w:sz w:val="18"/>
              </w:rPr>
              <w:t>5. Recommended 30/60/90 plan</w:t>
            </w:r>
          </w:p>
        </w:tc>
        <w:tc>
          <w:tcPr>
            <w:tcW w:type="dxa" w:w="7660"/>
          </w:tcPr>
          <w:p>
            <w:pPr>
              <w:spacing w:after="0" w:line="264" w:lineRule="auto"/>
            </w:pPr>
            <w:r>
              <w:rPr>
                <w:rFonts w:ascii="Calibri" w:hAnsi="Calibri" w:eastAsia="Calibri"/>
                <w:b w:val="0"/>
                <w:i w:val="0"/>
                <w:color w:val="1E293B"/>
                <w:sz w:val="18"/>
              </w:rPr>
              <w:t>Define immediate remediation, operating model and deployment priorities.</w:t>
            </w:r>
          </w:p>
        </w:tc>
      </w:tr>
      <w:tr>
        <w:trPr>
          <w:cantSplit/>
        </w:trPr>
        <w:tc>
          <w:tcPr>
            <w:tcW w:type="dxa" w:w="1700"/>
          </w:tcPr>
          <w:p>
            <w:pPr>
              <w:spacing w:after="0" w:line="264" w:lineRule="auto"/>
            </w:pPr>
            <w:r>
              <w:rPr>
                <w:rFonts w:ascii="Calibri" w:hAnsi="Calibri" w:eastAsia="Calibri"/>
                <w:b w:val="0"/>
                <w:i w:val="0"/>
                <w:color w:val="1E293B"/>
                <w:sz w:val="18"/>
              </w:rPr>
              <w:t>6. Decision required</w:t>
            </w:r>
          </w:p>
        </w:tc>
        <w:tc>
          <w:tcPr>
            <w:tcW w:type="dxa" w:w="7660"/>
          </w:tcPr>
          <w:p>
            <w:pPr>
              <w:spacing w:after="0" w:line="264" w:lineRule="auto"/>
            </w:pPr>
            <w:r>
              <w:rPr>
                <w:rFonts w:ascii="Calibri" w:hAnsi="Calibri" w:eastAsia="Calibri"/>
                <w:b w:val="0"/>
                <w:i w:val="0"/>
                <w:color w:val="1E293B"/>
                <w:sz w:val="18"/>
              </w:rPr>
              <w:t>Request a specific next step, owner and date.</w:t>
            </w:r>
          </w:p>
        </w:tc>
      </w:tr>
    </w:tbl>
    <w:p>
      <w:pPr>
        <w:spacing w:after="20"/>
        <w:widowControl/>
      </w:pPr>
    </w:p>
    <w:p>
      <w:pPr>
        <w:pStyle w:val="Heading2"/>
        <w:widowControl/>
      </w:pPr>
      <w:r>
        <w:t>23. Objection Handling Scenarios</w:t>
      </w:r>
    </w:p>
    <w:tbl>
      <w:tblPr>
        <w:tblStyle w:val="TableGrid"/>
        <w:tblW w:type="dxa" w:w="9360"/>
        <w:jc w:val="left"/>
        <w:tblLayout w:type="fixed"/>
        <w:tblLook w:firstColumn="1" w:firstRow="1" w:lastColumn="0" w:lastRow="0" w:noHBand="0" w:noVBand="1" w:val="04A0"/>
        <w:tblInd w:w="120" w:type="dxa"/>
      </w:tblPr>
      <w:tblGrid>
        <w:gridCol w:w="2500"/>
        <w:gridCol w:w="4950"/>
        <w:gridCol w:w="1910"/>
      </w:tblGrid>
      <w:tr>
        <w:trPr>
          <w:tblHeader w:val="true"/>
        </w:trPr>
        <w:tc>
          <w:tcPr>
            <w:tcW w:type="dxa" w:w="25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Objection</w:t>
            </w:r>
          </w:p>
        </w:tc>
        <w:tc>
          <w:tcPr>
            <w:tcW w:type="dxa" w:w="49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Expected Response Pattern</w:t>
            </w:r>
          </w:p>
        </w:tc>
        <w:tc>
          <w:tcPr>
            <w:tcW w:type="dxa" w:w="191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Failure Mode</w:t>
            </w:r>
          </w:p>
        </w:tc>
      </w:tr>
      <w:tr>
        <w:trPr>
          <w:cantSplit/>
        </w:trPr>
        <w:tc>
          <w:tcPr>
            <w:tcW w:type="dxa" w:w="2500"/>
          </w:tcPr>
          <w:p>
            <w:pPr>
              <w:spacing w:after="0" w:line="264" w:lineRule="auto"/>
            </w:pPr>
            <w:r>
              <w:rPr>
                <w:rFonts w:ascii="Calibri" w:hAnsi="Calibri" w:eastAsia="Calibri"/>
                <w:b w:val="0"/>
                <w:i w:val="0"/>
                <w:color w:val="1E293B"/>
                <w:sz w:val="16"/>
              </w:rPr>
              <w:t>“This is another dashboard.”</w:t>
            </w:r>
          </w:p>
        </w:tc>
        <w:tc>
          <w:tcPr>
            <w:tcW w:type="dxa" w:w="4950"/>
          </w:tcPr>
          <w:p>
            <w:pPr>
              <w:spacing w:after="0" w:line="264" w:lineRule="auto"/>
            </w:pPr>
            <w:r>
              <w:rPr>
                <w:rFonts w:ascii="Calibri" w:hAnsi="Calibri" w:eastAsia="Calibri"/>
                <w:b w:val="0"/>
                <w:i w:val="0"/>
                <w:color w:val="1E293B"/>
                <w:sz w:val="16"/>
              </w:rPr>
              <w:t>Acknowledge tool sprawl; return to decision-relevant risk context, ownership and workflow evidence.</w:t>
            </w:r>
          </w:p>
        </w:tc>
        <w:tc>
          <w:tcPr>
            <w:tcW w:type="dxa" w:w="1910"/>
          </w:tcPr>
          <w:p>
            <w:pPr>
              <w:spacing w:after="0" w:line="264" w:lineRule="auto"/>
            </w:pPr>
            <w:r>
              <w:rPr>
                <w:rFonts w:ascii="Calibri" w:hAnsi="Calibri" w:eastAsia="Calibri"/>
                <w:b w:val="0"/>
                <w:i w:val="0"/>
                <w:color w:val="1E293B"/>
                <w:sz w:val="16"/>
              </w:rPr>
              <w:t>Listing product modules.</w:t>
            </w:r>
          </w:p>
        </w:tc>
      </w:tr>
      <w:tr>
        <w:trPr>
          <w:cantSplit/>
        </w:trPr>
        <w:tc>
          <w:tcPr>
            <w:tcW w:type="dxa" w:w="2500"/>
          </w:tcPr>
          <w:p>
            <w:pPr>
              <w:spacing w:after="0" w:line="264" w:lineRule="auto"/>
            </w:pPr>
            <w:r>
              <w:rPr>
                <w:rFonts w:ascii="Calibri" w:hAnsi="Calibri" w:eastAsia="Calibri"/>
                <w:b w:val="0"/>
                <w:i w:val="0"/>
                <w:color w:val="1E293B"/>
                <w:sz w:val="16"/>
              </w:rPr>
              <w:t>“The permissions are too broad.”</w:t>
            </w:r>
          </w:p>
        </w:tc>
        <w:tc>
          <w:tcPr>
            <w:tcW w:type="dxa" w:w="4950"/>
          </w:tcPr>
          <w:p>
            <w:pPr>
              <w:spacing w:after="0" w:line="264" w:lineRule="auto"/>
            </w:pPr>
            <w:r>
              <w:rPr>
                <w:rFonts w:ascii="Calibri" w:hAnsi="Calibri" w:eastAsia="Calibri"/>
                <w:b w:val="0"/>
                <w:i w:val="0"/>
                <w:color w:val="1E293B"/>
                <w:sz w:val="16"/>
              </w:rPr>
              <w:t>Clarify scope, purpose, least-privilege options, approval owner and unresolved risks; escalate if required.</w:t>
            </w:r>
          </w:p>
        </w:tc>
        <w:tc>
          <w:tcPr>
            <w:tcW w:type="dxa" w:w="1910"/>
          </w:tcPr>
          <w:p>
            <w:pPr>
              <w:spacing w:after="0" w:line="264" w:lineRule="auto"/>
            </w:pPr>
            <w:r>
              <w:rPr>
                <w:rFonts w:ascii="Calibri" w:hAnsi="Calibri" w:eastAsia="Calibri"/>
                <w:b w:val="0"/>
                <w:i w:val="0"/>
                <w:color w:val="1E293B"/>
                <w:sz w:val="16"/>
              </w:rPr>
              <w:t>Dismissing access concerns.</w:t>
            </w:r>
          </w:p>
        </w:tc>
      </w:tr>
      <w:tr>
        <w:trPr>
          <w:cantSplit/>
        </w:trPr>
        <w:tc>
          <w:tcPr>
            <w:tcW w:type="dxa" w:w="2500"/>
          </w:tcPr>
          <w:p>
            <w:pPr>
              <w:spacing w:after="0" w:line="264" w:lineRule="auto"/>
            </w:pPr>
            <w:r>
              <w:rPr>
                <w:rFonts w:ascii="Calibri" w:hAnsi="Calibri" w:eastAsia="Calibri"/>
                <w:b w:val="0"/>
                <w:i w:val="0"/>
                <w:color w:val="1E293B"/>
                <w:sz w:val="16"/>
              </w:rPr>
              <w:t>“We already have CSPM and vulnerability tools.”</w:t>
            </w:r>
          </w:p>
        </w:tc>
        <w:tc>
          <w:tcPr>
            <w:tcW w:type="dxa" w:w="4950"/>
          </w:tcPr>
          <w:p>
            <w:pPr>
              <w:spacing w:after="0" w:line="264" w:lineRule="auto"/>
            </w:pPr>
            <w:r>
              <w:rPr>
                <w:rFonts w:ascii="Calibri" w:hAnsi="Calibri" w:eastAsia="Calibri"/>
                <w:b w:val="0"/>
                <w:i w:val="0"/>
                <w:color w:val="1E293B"/>
                <w:sz w:val="16"/>
              </w:rPr>
              <w:t>Use agreed success criteria to compare context, prioritization and operating fit.</w:t>
            </w:r>
          </w:p>
        </w:tc>
        <w:tc>
          <w:tcPr>
            <w:tcW w:type="dxa" w:w="1910"/>
          </w:tcPr>
          <w:p>
            <w:pPr>
              <w:spacing w:after="0" w:line="264" w:lineRule="auto"/>
            </w:pPr>
            <w:r>
              <w:rPr>
                <w:rFonts w:ascii="Calibri" w:hAnsi="Calibri" w:eastAsia="Calibri"/>
                <w:b w:val="0"/>
                <w:i w:val="0"/>
                <w:color w:val="1E293B"/>
                <w:sz w:val="16"/>
              </w:rPr>
              <w:t>Competitive feature dumping.</w:t>
            </w:r>
          </w:p>
        </w:tc>
      </w:tr>
      <w:tr>
        <w:trPr>
          <w:cantSplit/>
        </w:trPr>
        <w:tc>
          <w:tcPr>
            <w:tcW w:type="dxa" w:w="2500"/>
          </w:tcPr>
          <w:p>
            <w:pPr>
              <w:spacing w:after="0" w:line="264" w:lineRule="auto"/>
            </w:pPr>
            <w:r>
              <w:rPr>
                <w:rFonts w:ascii="Calibri" w:hAnsi="Calibri" w:eastAsia="Calibri"/>
                <w:b w:val="0"/>
                <w:i w:val="0"/>
                <w:color w:val="1E293B"/>
                <w:sz w:val="16"/>
              </w:rPr>
              <w:t>“The findings are not unique.”</w:t>
            </w:r>
          </w:p>
        </w:tc>
        <w:tc>
          <w:tcPr>
            <w:tcW w:type="dxa" w:w="4950"/>
          </w:tcPr>
          <w:p>
            <w:pPr>
              <w:spacing w:after="0" w:line="264" w:lineRule="auto"/>
            </w:pPr>
            <w:r>
              <w:rPr>
                <w:rFonts w:ascii="Calibri" w:hAnsi="Calibri" w:eastAsia="Calibri"/>
                <w:b w:val="0"/>
                <w:i w:val="0"/>
                <w:color w:val="1E293B"/>
                <w:sz w:val="16"/>
              </w:rPr>
              <w:t>Separate novelty from value; validate prioritization, context, ownership and actionability.</w:t>
            </w:r>
          </w:p>
        </w:tc>
        <w:tc>
          <w:tcPr>
            <w:tcW w:type="dxa" w:w="1910"/>
          </w:tcPr>
          <w:p>
            <w:pPr>
              <w:spacing w:after="0" w:line="264" w:lineRule="auto"/>
            </w:pPr>
            <w:r>
              <w:rPr>
                <w:rFonts w:ascii="Calibri" w:hAnsi="Calibri" w:eastAsia="Calibri"/>
                <w:b w:val="0"/>
                <w:i w:val="0"/>
                <w:color w:val="1E293B"/>
                <w:sz w:val="16"/>
              </w:rPr>
              <w:t>Claiming every finding is unique.</w:t>
            </w:r>
          </w:p>
        </w:tc>
      </w:tr>
      <w:tr>
        <w:trPr>
          <w:cantSplit/>
        </w:trPr>
        <w:tc>
          <w:tcPr>
            <w:tcW w:type="dxa" w:w="2500"/>
          </w:tcPr>
          <w:p>
            <w:pPr>
              <w:spacing w:after="0" w:line="264" w:lineRule="auto"/>
            </w:pPr>
            <w:r>
              <w:rPr>
                <w:rFonts w:ascii="Calibri" w:hAnsi="Calibri" w:eastAsia="Calibri"/>
                <w:b w:val="0"/>
                <w:i w:val="0"/>
                <w:color w:val="1E293B"/>
                <w:sz w:val="16"/>
              </w:rPr>
              <w:t>“Can you scan everything for free?”</w:t>
            </w:r>
          </w:p>
        </w:tc>
        <w:tc>
          <w:tcPr>
            <w:tcW w:type="dxa" w:w="4950"/>
          </w:tcPr>
          <w:p>
            <w:pPr>
              <w:spacing w:after="0" w:line="264" w:lineRule="auto"/>
            </w:pPr>
            <w:r>
              <w:rPr>
                <w:rFonts w:ascii="Calibri" w:hAnsi="Calibri" w:eastAsia="Calibri"/>
                <w:b w:val="0"/>
                <w:i w:val="0"/>
                <w:color w:val="1E293B"/>
                <w:sz w:val="16"/>
              </w:rPr>
              <w:t>Return to qualified scope, customer decision, time box and commercial next step.</w:t>
            </w:r>
          </w:p>
        </w:tc>
        <w:tc>
          <w:tcPr>
            <w:tcW w:type="dxa" w:w="1910"/>
          </w:tcPr>
          <w:p>
            <w:pPr>
              <w:spacing w:after="0" w:line="264" w:lineRule="auto"/>
            </w:pPr>
            <w:r>
              <w:rPr>
                <w:rFonts w:ascii="Calibri" w:hAnsi="Calibri" w:eastAsia="Calibri"/>
                <w:b w:val="0"/>
                <w:i w:val="0"/>
                <w:color w:val="1E293B"/>
                <w:sz w:val="16"/>
              </w:rPr>
              <w:t>Accepting uncontrolled scope.</w:t>
            </w:r>
          </w:p>
        </w:tc>
      </w:tr>
      <w:tr>
        <w:trPr>
          <w:cantSplit/>
        </w:trPr>
        <w:tc>
          <w:tcPr>
            <w:tcW w:type="dxa" w:w="2500"/>
          </w:tcPr>
          <w:p>
            <w:pPr>
              <w:spacing w:after="0" w:line="264" w:lineRule="auto"/>
            </w:pPr>
            <w:r>
              <w:rPr>
                <w:rFonts w:ascii="Calibri" w:hAnsi="Calibri" w:eastAsia="Calibri"/>
                <w:b w:val="0"/>
                <w:i w:val="0"/>
                <w:color w:val="1E293B"/>
                <w:sz w:val="16"/>
              </w:rPr>
              <w:t>“Why did the POV not find our expected issue?”</w:t>
            </w:r>
          </w:p>
        </w:tc>
        <w:tc>
          <w:tcPr>
            <w:tcW w:type="dxa" w:w="4950"/>
          </w:tcPr>
          <w:p>
            <w:pPr>
              <w:spacing w:after="0" w:line="264" w:lineRule="auto"/>
            </w:pPr>
            <w:r>
              <w:rPr>
                <w:rFonts w:ascii="Calibri" w:hAnsi="Calibri" w:eastAsia="Calibri"/>
                <w:b w:val="0"/>
                <w:i w:val="0"/>
                <w:color w:val="1E293B"/>
                <w:sz w:val="16"/>
              </w:rPr>
              <w:t>Check scope, coverage, assumptions and evidence; state limitations and escalate accurately.</w:t>
            </w:r>
          </w:p>
        </w:tc>
        <w:tc>
          <w:tcPr>
            <w:tcW w:type="dxa" w:w="1910"/>
          </w:tcPr>
          <w:p>
            <w:pPr>
              <w:spacing w:after="0" w:line="264" w:lineRule="auto"/>
            </w:pPr>
            <w:r>
              <w:rPr>
                <w:rFonts w:ascii="Calibri" w:hAnsi="Calibri" w:eastAsia="Calibri"/>
                <w:b w:val="0"/>
                <w:i w:val="0"/>
                <w:color w:val="1E293B"/>
                <w:sz w:val="16"/>
              </w:rPr>
              <w:t>Guessing or overpromising.</w:t>
            </w:r>
          </w:p>
        </w:tc>
      </w:tr>
      <w:tr>
        <w:trPr>
          <w:cantSplit/>
        </w:trPr>
        <w:tc>
          <w:tcPr>
            <w:tcW w:type="dxa" w:w="2500"/>
          </w:tcPr>
          <w:p>
            <w:pPr>
              <w:spacing w:after="0" w:line="264" w:lineRule="auto"/>
            </w:pPr>
            <w:r>
              <w:rPr>
                <w:rFonts w:ascii="Calibri" w:hAnsi="Calibri" w:eastAsia="Calibri"/>
                <w:b w:val="0"/>
                <w:i w:val="0"/>
                <w:color w:val="1E293B"/>
                <w:sz w:val="16"/>
              </w:rPr>
              <w:t>“We need a compliance guarantee.”</w:t>
            </w:r>
          </w:p>
        </w:tc>
        <w:tc>
          <w:tcPr>
            <w:tcW w:type="dxa" w:w="4950"/>
          </w:tcPr>
          <w:p>
            <w:pPr>
              <w:spacing w:after="0" w:line="264" w:lineRule="auto"/>
            </w:pPr>
            <w:r>
              <w:rPr>
                <w:rFonts w:ascii="Calibri" w:hAnsi="Calibri" w:eastAsia="Calibri"/>
                <w:b w:val="0"/>
                <w:i w:val="0"/>
                <w:color w:val="1E293B"/>
                <w:sz w:val="16"/>
              </w:rPr>
              <w:t>Explain the bounded assessment scope and distinguish evidence support from certification authority.</w:t>
            </w:r>
          </w:p>
        </w:tc>
        <w:tc>
          <w:tcPr>
            <w:tcW w:type="dxa" w:w="1910"/>
          </w:tcPr>
          <w:p>
            <w:pPr>
              <w:spacing w:after="0" w:line="264" w:lineRule="auto"/>
            </w:pPr>
            <w:r>
              <w:rPr>
                <w:rFonts w:ascii="Calibri" w:hAnsi="Calibri" w:eastAsia="Calibri"/>
                <w:b w:val="0"/>
                <w:i w:val="0"/>
                <w:color w:val="1E293B"/>
                <w:sz w:val="16"/>
              </w:rPr>
              <w:t>Guaranteeing compliance.</w:t>
            </w:r>
          </w:p>
        </w:tc>
      </w:tr>
    </w:tbl>
    <w:p>
      <w:pPr>
        <w:spacing w:after="20"/>
        <w:widowControl/>
      </w:pPr>
    </w:p>
    <w:p>
      <w:pPr>
        <w:pStyle w:val="Heading2"/>
        <w:widowControl/>
      </w:pPr>
      <w:r>
        <w:t>24. Facilitation Model</w:t>
      </w:r>
    </w:p>
    <w:tbl>
      <w:tblPr>
        <w:tblStyle w:val="TableGrid"/>
        <w:tblW w:type="dxa" w:w="9360"/>
        <w:jc w:val="left"/>
        <w:tblLayout w:type="fixed"/>
        <w:tblLook w:firstColumn="1" w:firstRow="1" w:lastColumn="0" w:lastRow="0" w:noHBand="0" w:noVBand="1" w:val="04A0"/>
        <w:tblInd w:w="120" w:type="dxa"/>
      </w:tblPr>
      <w:tblGrid>
        <w:gridCol w:w="1900"/>
        <w:gridCol w:w="1700"/>
        <w:gridCol w:w="5760"/>
      </w:tblGrid>
      <w:tr>
        <w:trPr>
          <w:tblHeader w:val="true"/>
        </w:trPr>
        <w:tc>
          <w:tcPr>
            <w:tcW w:type="dxa" w:w="19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Role</w:t>
            </w:r>
          </w:p>
        </w:tc>
        <w:tc>
          <w:tcPr>
            <w:tcW w:type="dxa" w:w="17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Recommended Ratio</w:t>
            </w:r>
          </w:p>
        </w:tc>
        <w:tc>
          <w:tcPr>
            <w:tcW w:type="dxa" w:w="57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Responsibilities</w:t>
            </w:r>
          </w:p>
        </w:tc>
      </w:tr>
      <w:tr>
        <w:trPr>
          <w:cantSplit/>
        </w:trPr>
        <w:tc>
          <w:tcPr>
            <w:tcW w:type="dxa" w:w="1900"/>
          </w:tcPr>
          <w:p>
            <w:pPr>
              <w:spacing w:after="0" w:line="264" w:lineRule="auto"/>
            </w:pPr>
            <w:r>
              <w:rPr>
                <w:rFonts w:ascii="Calibri" w:hAnsi="Calibri" w:eastAsia="Calibri"/>
                <w:b w:val="0"/>
                <w:i w:val="0"/>
                <w:color w:val="1E293B"/>
                <w:sz w:val="17"/>
              </w:rPr>
              <w:t>Lead Facilitator</w:t>
            </w:r>
          </w:p>
        </w:tc>
        <w:tc>
          <w:tcPr>
            <w:tcW w:type="dxa" w:w="1700"/>
          </w:tcPr>
          <w:p>
            <w:pPr>
              <w:spacing w:after="0" w:line="264" w:lineRule="auto"/>
            </w:pPr>
            <w:r>
              <w:rPr>
                <w:rFonts w:ascii="Calibri" w:hAnsi="Calibri" w:eastAsia="Calibri"/>
                <w:b w:val="0"/>
                <w:i w:val="0"/>
                <w:color w:val="1E293B"/>
                <w:sz w:val="17"/>
              </w:rPr>
              <w:t>1 per cohort</w:t>
            </w:r>
          </w:p>
        </w:tc>
        <w:tc>
          <w:tcPr>
            <w:tcW w:type="dxa" w:w="5760"/>
          </w:tcPr>
          <w:p>
            <w:pPr>
              <w:spacing w:after="0" w:line="264" w:lineRule="auto"/>
            </w:pPr>
            <w:r>
              <w:rPr>
                <w:rFonts w:ascii="Calibri" w:hAnsi="Calibri" w:eastAsia="Calibri"/>
                <w:b w:val="0"/>
                <w:i w:val="0"/>
                <w:color w:val="1E293B"/>
                <w:sz w:val="17"/>
              </w:rPr>
              <w:t>Own learning flow, debriefs, calibration and capstone decision.</w:t>
            </w:r>
          </w:p>
        </w:tc>
      </w:tr>
      <w:tr>
        <w:trPr>
          <w:cantSplit/>
        </w:trPr>
        <w:tc>
          <w:tcPr>
            <w:tcW w:type="dxa" w:w="1900"/>
          </w:tcPr>
          <w:p>
            <w:pPr>
              <w:spacing w:after="0" w:line="264" w:lineRule="auto"/>
            </w:pPr>
            <w:r>
              <w:rPr>
                <w:rFonts w:ascii="Calibri" w:hAnsi="Calibri" w:eastAsia="Calibri"/>
                <w:b w:val="0"/>
                <w:i w:val="0"/>
                <w:color w:val="1E293B"/>
                <w:sz w:val="17"/>
              </w:rPr>
              <w:t>Co-Facilitator</w:t>
            </w:r>
          </w:p>
        </w:tc>
        <w:tc>
          <w:tcPr>
            <w:tcW w:type="dxa" w:w="1700"/>
          </w:tcPr>
          <w:p>
            <w:pPr>
              <w:spacing w:after="0" w:line="264" w:lineRule="auto"/>
            </w:pPr>
            <w:r>
              <w:rPr>
                <w:rFonts w:ascii="Calibri" w:hAnsi="Calibri" w:eastAsia="Calibri"/>
                <w:b w:val="0"/>
                <w:i w:val="0"/>
                <w:color w:val="1E293B"/>
                <w:sz w:val="17"/>
              </w:rPr>
              <w:t>1 per cohort</w:t>
            </w:r>
          </w:p>
        </w:tc>
        <w:tc>
          <w:tcPr>
            <w:tcW w:type="dxa" w:w="5760"/>
          </w:tcPr>
          <w:p>
            <w:pPr>
              <w:spacing w:after="0" w:line="264" w:lineRule="auto"/>
            </w:pPr>
            <w:r>
              <w:rPr>
                <w:rFonts w:ascii="Calibri" w:hAnsi="Calibri" w:eastAsia="Calibri"/>
                <w:b w:val="0"/>
                <w:i w:val="0"/>
                <w:color w:val="1E293B"/>
                <w:sz w:val="17"/>
              </w:rPr>
              <w:t>Play personas, coach teams and score observable behaviors.</w:t>
            </w:r>
          </w:p>
        </w:tc>
      </w:tr>
      <w:tr>
        <w:trPr>
          <w:cantSplit/>
        </w:trPr>
        <w:tc>
          <w:tcPr>
            <w:tcW w:type="dxa" w:w="1900"/>
          </w:tcPr>
          <w:p>
            <w:pPr>
              <w:spacing w:after="0" w:line="264" w:lineRule="auto"/>
            </w:pPr>
            <w:r>
              <w:rPr>
                <w:rFonts w:ascii="Calibri" w:hAnsi="Calibri" w:eastAsia="Calibri"/>
                <w:b w:val="0"/>
                <w:i w:val="0"/>
                <w:color w:val="1E293B"/>
                <w:sz w:val="17"/>
              </w:rPr>
              <w:t>Lab Owner</w:t>
            </w:r>
          </w:p>
        </w:tc>
        <w:tc>
          <w:tcPr>
            <w:tcW w:type="dxa" w:w="1700"/>
          </w:tcPr>
          <w:p>
            <w:pPr>
              <w:spacing w:after="0" w:line="264" w:lineRule="auto"/>
            </w:pPr>
            <w:r>
              <w:rPr>
                <w:rFonts w:ascii="Calibri" w:hAnsi="Calibri" w:eastAsia="Calibri"/>
                <w:b w:val="0"/>
                <w:i w:val="0"/>
                <w:color w:val="1E293B"/>
                <w:sz w:val="17"/>
              </w:rPr>
              <w:t>1 per cohort</w:t>
            </w:r>
          </w:p>
        </w:tc>
        <w:tc>
          <w:tcPr>
            <w:tcW w:type="dxa" w:w="5760"/>
          </w:tcPr>
          <w:p>
            <w:pPr>
              <w:spacing w:after="0" w:line="264" w:lineRule="auto"/>
            </w:pPr>
            <w:r>
              <w:rPr>
                <w:rFonts w:ascii="Calibri" w:hAnsi="Calibri" w:eastAsia="Calibri"/>
                <w:b w:val="0"/>
                <w:i w:val="0"/>
                <w:color w:val="1E293B"/>
                <w:sz w:val="17"/>
              </w:rPr>
              <w:t>Maintain tenant health, access, reset and technical escalation.</w:t>
            </w:r>
          </w:p>
        </w:tc>
      </w:tr>
      <w:tr>
        <w:trPr>
          <w:cantSplit/>
        </w:trPr>
        <w:tc>
          <w:tcPr>
            <w:tcW w:type="dxa" w:w="1900"/>
          </w:tcPr>
          <w:p>
            <w:pPr>
              <w:spacing w:after="0" w:line="264" w:lineRule="auto"/>
            </w:pPr>
            <w:r>
              <w:rPr>
                <w:rFonts w:ascii="Calibri" w:hAnsi="Calibri" w:eastAsia="Calibri"/>
                <w:b w:val="0"/>
                <w:i w:val="0"/>
                <w:color w:val="1E293B"/>
                <w:sz w:val="17"/>
              </w:rPr>
              <w:t>Assessor</w:t>
            </w:r>
          </w:p>
        </w:tc>
        <w:tc>
          <w:tcPr>
            <w:tcW w:type="dxa" w:w="1700"/>
          </w:tcPr>
          <w:p>
            <w:pPr>
              <w:spacing w:after="0" w:line="264" w:lineRule="auto"/>
            </w:pPr>
            <w:r>
              <w:rPr>
                <w:rFonts w:ascii="Calibri" w:hAnsi="Calibri" w:eastAsia="Calibri"/>
                <w:b w:val="0"/>
                <w:i w:val="0"/>
                <w:color w:val="1E293B"/>
                <w:sz w:val="17"/>
              </w:rPr>
              <w:t>1 per 2 teams</w:t>
            </w:r>
          </w:p>
        </w:tc>
        <w:tc>
          <w:tcPr>
            <w:tcW w:type="dxa" w:w="5760"/>
          </w:tcPr>
          <w:p>
            <w:pPr>
              <w:spacing w:after="0" w:line="264" w:lineRule="auto"/>
            </w:pPr>
            <w:r>
              <w:rPr>
                <w:rFonts w:ascii="Calibri" w:hAnsi="Calibri" w:eastAsia="Calibri"/>
                <w:b w:val="0"/>
                <w:i w:val="0"/>
                <w:color w:val="1E293B"/>
                <w:sz w:val="17"/>
              </w:rPr>
              <w:t>Observe role plays, apply rubric and document evidence. May be co-facilitator.</w:t>
            </w:r>
          </w:p>
        </w:tc>
      </w:tr>
      <w:tr>
        <w:trPr>
          <w:cantSplit/>
        </w:trPr>
        <w:tc>
          <w:tcPr>
            <w:tcW w:type="dxa" w:w="1900"/>
          </w:tcPr>
          <w:p>
            <w:pPr>
              <w:spacing w:after="0" w:line="264" w:lineRule="auto"/>
            </w:pPr>
            <w:r>
              <w:rPr>
                <w:rFonts w:ascii="Calibri" w:hAnsi="Calibri" w:eastAsia="Calibri"/>
                <w:b w:val="0"/>
                <w:i w:val="0"/>
                <w:color w:val="1E293B"/>
                <w:sz w:val="17"/>
              </w:rPr>
              <w:t>Field Mentor</w:t>
            </w:r>
          </w:p>
        </w:tc>
        <w:tc>
          <w:tcPr>
            <w:tcW w:type="dxa" w:w="1700"/>
          </w:tcPr>
          <w:p>
            <w:pPr>
              <w:spacing w:after="0" w:line="264" w:lineRule="auto"/>
            </w:pPr>
            <w:r>
              <w:rPr>
                <w:rFonts w:ascii="Calibri" w:hAnsi="Calibri" w:eastAsia="Calibri"/>
                <w:b w:val="0"/>
                <w:i w:val="0"/>
                <w:color w:val="1E293B"/>
                <w:sz w:val="17"/>
              </w:rPr>
              <w:t>1 per 2-3 graduates</w:t>
            </w:r>
          </w:p>
        </w:tc>
        <w:tc>
          <w:tcPr>
            <w:tcW w:type="dxa" w:w="5760"/>
          </w:tcPr>
          <w:p>
            <w:pPr>
              <w:spacing w:after="0" w:line="264" w:lineRule="auto"/>
            </w:pPr>
            <w:r>
              <w:rPr>
                <w:rFonts w:ascii="Calibri" w:hAnsi="Calibri" w:eastAsia="Calibri"/>
                <w:b w:val="0"/>
                <w:i w:val="0"/>
                <w:color w:val="1E293B"/>
                <w:sz w:val="17"/>
              </w:rPr>
              <w:t>Supervise live opportunity practicum and recommend accreditation.</w:t>
            </w:r>
          </w:p>
        </w:tc>
      </w:tr>
      <w:tr>
        <w:trPr>
          <w:cantSplit/>
        </w:trPr>
        <w:tc>
          <w:tcPr>
            <w:tcW w:type="dxa" w:w="1900"/>
          </w:tcPr>
          <w:p>
            <w:pPr>
              <w:spacing w:after="0" w:line="264" w:lineRule="auto"/>
            </w:pPr>
            <w:r>
              <w:rPr>
                <w:rFonts w:ascii="Calibri" w:hAnsi="Calibri" w:eastAsia="Calibri"/>
                <w:b w:val="0"/>
                <w:i w:val="0"/>
                <w:color w:val="1E293B"/>
                <w:sz w:val="17"/>
              </w:rPr>
              <w:t>Partner Leader</w:t>
            </w:r>
          </w:p>
        </w:tc>
        <w:tc>
          <w:tcPr>
            <w:tcW w:type="dxa" w:w="1700"/>
          </w:tcPr>
          <w:p>
            <w:pPr>
              <w:spacing w:after="0" w:line="264" w:lineRule="auto"/>
            </w:pPr>
            <w:r>
              <w:rPr>
                <w:rFonts w:ascii="Calibri" w:hAnsi="Calibri" w:eastAsia="Calibri"/>
                <w:b w:val="0"/>
                <w:i w:val="0"/>
                <w:color w:val="1E293B"/>
                <w:sz w:val="17"/>
              </w:rPr>
              <w:t>1 per partner</w:t>
            </w:r>
          </w:p>
        </w:tc>
        <w:tc>
          <w:tcPr>
            <w:tcW w:type="dxa" w:w="5760"/>
          </w:tcPr>
          <w:p>
            <w:pPr>
              <w:spacing w:after="0" w:line="264" w:lineRule="auto"/>
            </w:pPr>
            <w:r>
              <w:rPr>
                <w:rFonts w:ascii="Calibri" w:hAnsi="Calibri" w:eastAsia="Calibri"/>
                <w:b w:val="0"/>
                <w:i w:val="0"/>
                <w:color w:val="1E293B"/>
                <w:sz w:val="17"/>
              </w:rPr>
              <w:t>Protect participant time and provide a qualified opportunity.</w:t>
            </w:r>
          </w:p>
        </w:tc>
      </w:tr>
    </w:tbl>
    <w:p>
      <w:pPr>
        <w:spacing w:after="20"/>
        <w:widowControl/>
      </w:pPr>
    </w:p>
    <w:p>
      <w:pPr>
        <w:pStyle w:val="Heading3"/>
        <w:widowControl/>
      </w:pPr>
      <w:r>
        <w:t>Facilitator preparation</w:t>
      </w:r>
    </w:p>
    <w:p>
      <w:pPr>
        <w:numPr>
          <w:ilvl w:val="0"/>
          <w:numId w:val="10"/>
        </w:numPr>
        <w:spacing w:after="80" w:line="300" w:lineRule="auto"/>
        <w:ind w:left="540" w:hanging="271"/>
        <w:widowControl/>
      </w:pPr>
      <w:r>
        <w:rPr>
          <w:rFonts w:ascii="Calibri" w:hAnsi="Calibri" w:eastAsia="Calibri"/>
          <w:b w:val="0"/>
          <w:i w:val="0"/>
          <w:color w:val="1E293B"/>
          <w:sz w:val="22"/>
        </w:rPr>
        <w:t>Complete a 90-minute calibration using the answer key and sample scoring videos.</w:t>
      </w:r>
    </w:p>
    <w:p>
      <w:pPr>
        <w:numPr>
          <w:ilvl w:val="0"/>
          <w:numId w:val="10"/>
        </w:numPr>
        <w:spacing w:after="80" w:line="300" w:lineRule="auto"/>
        <w:ind w:left="540" w:hanging="271"/>
        <w:widowControl/>
      </w:pPr>
      <w:r>
        <w:rPr>
          <w:rFonts w:ascii="Calibri" w:hAnsi="Calibri" w:eastAsia="Calibri"/>
          <w:b w:val="0"/>
          <w:i w:val="0"/>
          <w:color w:val="1E293B"/>
          <w:sz w:val="22"/>
        </w:rPr>
        <w:t>Validate product terminology and seeded findings against the current release.</w:t>
      </w:r>
    </w:p>
    <w:p>
      <w:pPr>
        <w:numPr>
          <w:ilvl w:val="0"/>
          <w:numId w:val="10"/>
        </w:numPr>
        <w:spacing w:after="80" w:line="300" w:lineRule="auto"/>
        <w:ind w:left="540" w:hanging="271"/>
        <w:widowControl/>
      </w:pPr>
      <w:r>
        <w:rPr>
          <w:rFonts w:ascii="Calibri" w:hAnsi="Calibri" w:eastAsia="Calibri"/>
          <w:b w:val="0"/>
          <w:i w:val="0"/>
          <w:color w:val="1E293B"/>
          <w:sz w:val="22"/>
        </w:rPr>
        <w:t>Run a full tenant health check and rehearse the access recovery path.</w:t>
      </w:r>
    </w:p>
    <w:p>
      <w:pPr>
        <w:numPr>
          <w:ilvl w:val="0"/>
          <w:numId w:val="10"/>
        </w:numPr>
        <w:spacing w:after="80" w:line="300" w:lineRule="auto"/>
        <w:ind w:left="540" w:hanging="271"/>
        <w:widowControl/>
      </w:pPr>
      <w:r>
        <w:rPr>
          <w:rFonts w:ascii="Calibri" w:hAnsi="Calibri" w:eastAsia="Calibri"/>
          <w:b w:val="0"/>
          <w:i w:val="0"/>
          <w:color w:val="1E293B"/>
          <w:sz w:val="22"/>
        </w:rPr>
        <w:t>Assign persona roles and hidden prompts before the cohort.</w:t>
      </w:r>
    </w:p>
    <w:p>
      <w:pPr>
        <w:numPr>
          <w:ilvl w:val="0"/>
          <w:numId w:val="10"/>
        </w:numPr>
        <w:spacing w:after="80" w:line="300" w:lineRule="auto"/>
        <w:ind w:left="540" w:hanging="271"/>
        <w:widowControl/>
      </w:pPr>
      <w:r>
        <w:rPr>
          <w:rFonts w:ascii="Calibri" w:hAnsi="Calibri" w:eastAsia="Calibri"/>
          <w:b w:val="0"/>
          <w:i w:val="0"/>
          <w:color w:val="1E293B"/>
          <w:sz w:val="22"/>
        </w:rPr>
        <w:t>Agree how borderline scores and critical fails will be adjudicated.</w:t>
      </w:r>
    </w:p>
    <w:p>
      <w:pPr>
        <w:pStyle w:val="Heading1"/>
        <w:widowControl/>
      </w:pPr>
      <w:r>
        <w:t>IV. Readiness and Accreditation</w:t>
      </w:r>
    </w:p>
    <w:p>
      <w:pPr>
        <w:pStyle w:val="Heading2"/>
        <w:widowControl/>
      </w:pPr>
      <w:r>
        <w:t>25. POV Readiness Gate</w:t>
      </w:r>
    </w:p>
    <w:tbl>
      <w:tblPr>
        <w:tblStyle w:val="TableGrid"/>
        <w:tblW w:type="dxa" w:w="9360"/>
        <w:jc w:val="left"/>
        <w:tblLayout w:type="fixed"/>
        <w:tblLook w:firstColumn="1" w:firstRow="1" w:lastColumn="0" w:lastRow="0" w:noHBand="0" w:noVBand="1" w:val="04A0"/>
        <w:tblInd w:w="120" w:type="dxa"/>
      </w:tblPr>
      <w:tblGrid>
        <w:gridCol w:w="1800"/>
        <w:gridCol w:w="4920"/>
        <w:gridCol w:w="2640"/>
      </w:tblGrid>
      <w:tr>
        <w:trPr>
          <w:tblHeader w:val="true"/>
        </w:trPr>
        <w:tc>
          <w:tcPr>
            <w:tcW w:type="dxa" w:w="18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Gate Domain</w:t>
            </w:r>
          </w:p>
        </w:tc>
        <w:tc>
          <w:tcPr>
            <w:tcW w:type="dxa" w:w="492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Minimum Condition</w:t>
            </w:r>
          </w:p>
        </w:tc>
        <w:tc>
          <w:tcPr>
            <w:tcW w:type="dxa" w:w="264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Red Flag</w:t>
            </w:r>
          </w:p>
        </w:tc>
      </w:tr>
      <w:tr>
        <w:trPr>
          <w:cantSplit/>
        </w:trPr>
        <w:tc>
          <w:tcPr>
            <w:tcW w:type="dxa" w:w="1800"/>
          </w:tcPr>
          <w:p>
            <w:pPr>
              <w:spacing w:after="0" w:line="264" w:lineRule="auto"/>
            </w:pPr>
            <w:r>
              <w:rPr>
                <w:rFonts w:ascii="Calibri" w:hAnsi="Calibri" w:eastAsia="Calibri"/>
                <w:b w:val="0"/>
                <w:i w:val="0"/>
                <w:color w:val="1E293B"/>
                <w:sz w:val="17"/>
              </w:rPr>
              <w:t>Business pain</w:t>
            </w:r>
          </w:p>
        </w:tc>
        <w:tc>
          <w:tcPr>
            <w:tcW w:type="dxa" w:w="4920"/>
          </w:tcPr>
          <w:p>
            <w:pPr>
              <w:spacing w:after="0" w:line="264" w:lineRule="auto"/>
            </w:pPr>
            <w:r>
              <w:rPr>
                <w:rFonts w:ascii="Calibri" w:hAnsi="Calibri" w:eastAsia="Calibri"/>
                <w:b w:val="0"/>
                <w:i w:val="0"/>
                <w:color w:val="1E293B"/>
                <w:sz w:val="17"/>
              </w:rPr>
              <w:t>Specific, material problem connected to a customer initiative.</w:t>
            </w:r>
          </w:p>
        </w:tc>
        <w:tc>
          <w:tcPr>
            <w:tcW w:type="dxa" w:w="2640"/>
          </w:tcPr>
          <w:p>
            <w:pPr>
              <w:spacing w:after="0" w:line="264" w:lineRule="auto"/>
            </w:pPr>
            <w:r>
              <w:rPr>
                <w:rFonts w:ascii="Calibri" w:hAnsi="Calibri" w:eastAsia="Calibri"/>
                <w:b w:val="0"/>
                <w:i w:val="0"/>
                <w:color w:val="1E293B"/>
                <w:sz w:val="17"/>
              </w:rPr>
              <w:t>Generic desire to “see the tool.”</w:t>
            </w:r>
          </w:p>
        </w:tc>
      </w:tr>
      <w:tr>
        <w:trPr>
          <w:cantSplit/>
        </w:trPr>
        <w:tc>
          <w:tcPr>
            <w:tcW w:type="dxa" w:w="1800"/>
          </w:tcPr>
          <w:p>
            <w:pPr>
              <w:spacing w:after="0" w:line="264" w:lineRule="auto"/>
            </w:pPr>
            <w:r>
              <w:rPr>
                <w:rFonts w:ascii="Calibri" w:hAnsi="Calibri" w:eastAsia="Calibri"/>
                <w:b w:val="0"/>
                <w:i w:val="0"/>
                <w:color w:val="1E293B"/>
                <w:sz w:val="17"/>
              </w:rPr>
              <w:t>Use cases</w:t>
            </w:r>
          </w:p>
        </w:tc>
        <w:tc>
          <w:tcPr>
            <w:tcW w:type="dxa" w:w="4920"/>
          </w:tcPr>
          <w:p>
            <w:pPr>
              <w:spacing w:after="0" w:line="264" w:lineRule="auto"/>
            </w:pPr>
            <w:r>
              <w:rPr>
                <w:rFonts w:ascii="Calibri" w:hAnsi="Calibri" w:eastAsia="Calibri"/>
                <w:b w:val="0"/>
                <w:i w:val="0"/>
                <w:color w:val="1E293B"/>
                <w:sz w:val="17"/>
              </w:rPr>
              <w:t>Two to four prioritized use cases.</w:t>
            </w:r>
          </w:p>
        </w:tc>
        <w:tc>
          <w:tcPr>
            <w:tcW w:type="dxa" w:w="2640"/>
          </w:tcPr>
          <w:p>
            <w:pPr>
              <w:spacing w:after="0" w:line="264" w:lineRule="auto"/>
            </w:pPr>
            <w:r>
              <w:rPr>
                <w:rFonts w:ascii="Calibri" w:hAnsi="Calibri" w:eastAsia="Calibri"/>
                <w:b w:val="0"/>
                <w:i w:val="0"/>
                <w:color w:val="1E293B"/>
                <w:sz w:val="17"/>
              </w:rPr>
              <w:t>Unbounded list of features.</w:t>
            </w:r>
          </w:p>
        </w:tc>
      </w:tr>
      <w:tr>
        <w:trPr>
          <w:cantSplit/>
        </w:trPr>
        <w:tc>
          <w:tcPr>
            <w:tcW w:type="dxa" w:w="1800"/>
          </w:tcPr>
          <w:p>
            <w:pPr>
              <w:spacing w:after="0" w:line="264" w:lineRule="auto"/>
            </w:pPr>
            <w:r>
              <w:rPr>
                <w:rFonts w:ascii="Calibri" w:hAnsi="Calibri" w:eastAsia="Calibri"/>
                <w:b w:val="0"/>
                <w:i w:val="0"/>
                <w:color w:val="1E293B"/>
                <w:sz w:val="17"/>
              </w:rPr>
              <w:t>Success criteria</w:t>
            </w:r>
          </w:p>
        </w:tc>
        <w:tc>
          <w:tcPr>
            <w:tcW w:type="dxa" w:w="4920"/>
          </w:tcPr>
          <w:p>
            <w:pPr>
              <w:spacing w:after="0" w:line="264" w:lineRule="auto"/>
            </w:pPr>
            <w:r>
              <w:rPr>
                <w:rFonts w:ascii="Calibri" w:hAnsi="Calibri" w:eastAsia="Calibri"/>
                <w:b w:val="0"/>
                <w:i w:val="0"/>
                <w:color w:val="1E293B"/>
                <w:sz w:val="17"/>
              </w:rPr>
              <w:t>Measurable evidence and customer acceptance owner.</w:t>
            </w:r>
          </w:p>
        </w:tc>
        <w:tc>
          <w:tcPr>
            <w:tcW w:type="dxa" w:w="2640"/>
          </w:tcPr>
          <w:p>
            <w:pPr>
              <w:spacing w:after="0" w:line="264" w:lineRule="auto"/>
            </w:pPr>
            <w:r>
              <w:rPr>
                <w:rFonts w:ascii="Calibri" w:hAnsi="Calibri" w:eastAsia="Calibri"/>
                <w:b w:val="0"/>
                <w:i w:val="0"/>
                <w:color w:val="1E293B"/>
                <w:sz w:val="17"/>
              </w:rPr>
              <w:t>Vendor-only definition of success.</w:t>
            </w:r>
          </w:p>
        </w:tc>
      </w:tr>
      <w:tr>
        <w:trPr>
          <w:cantSplit/>
        </w:trPr>
        <w:tc>
          <w:tcPr>
            <w:tcW w:type="dxa" w:w="1800"/>
          </w:tcPr>
          <w:p>
            <w:pPr>
              <w:spacing w:after="0" w:line="264" w:lineRule="auto"/>
            </w:pPr>
            <w:r>
              <w:rPr>
                <w:rFonts w:ascii="Calibri" w:hAnsi="Calibri" w:eastAsia="Calibri"/>
                <w:b w:val="0"/>
                <w:i w:val="0"/>
                <w:color w:val="1E293B"/>
                <w:sz w:val="17"/>
              </w:rPr>
              <w:t>Cloud scope</w:t>
            </w:r>
          </w:p>
        </w:tc>
        <w:tc>
          <w:tcPr>
            <w:tcW w:type="dxa" w:w="4920"/>
          </w:tcPr>
          <w:p>
            <w:pPr>
              <w:spacing w:after="0" w:line="264" w:lineRule="auto"/>
            </w:pPr>
            <w:r>
              <w:rPr>
                <w:rFonts w:ascii="Calibri" w:hAnsi="Calibri" w:eastAsia="Calibri"/>
                <w:b w:val="0"/>
                <w:i w:val="0"/>
                <w:color w:val="1E293B"/>
                <w:sz w:val="17"/>
              </w:rPr>
              <w:t>Accounts/subscriptions/projects, services, regions and exclusions documented.</w:t>
            </w:r>
          </w:p>
        </w:tc>
        <w:tc>
          <w:tcPr>
            <w:tcW w:type="dxa" w:w="2640"/>
          </w:tcPr>
          <w:p>
            <w:pPr>
              <w:spacing w:after="0" w:line="264" w:lineRule="auto"/>
            </w:pPr>
            <w:r>
              <w:rPr>
                <w:rFonts w:ascii="Calibri" w:hAnsi="Calibri" w:eastAsia="Calibri"/>
                <w:b w:val="0"/>
                <w:i w:val="0"/>
                <w:color w:val="1E293B"/>
                <w:sz w:val="17"/>
              </w:rPr>
              <w:t>“Connect everything” with no owner.</w:t>
            </w:r>
          </w:p>
        </w:tc>
      </w:tr>
      <w:tr>
        <w:trPr>
          <w:cantSplit/>
        </w:trPr>
        <w:tc>
          <w:tcPr>
            <w:tcW w:type="dxa" w:w="1800"/>
          </w:tcPr>
          <w:p>
            <w:pPr>
              <w:spacing w:after="0" w:line="264" w:lineRule="auto"/>
            </w:pPr>
            <w:r>
              <w:rPr>
                <w:rFonts w:ascii="Calibri" w:hAnsi="Calibri" w:eastAsia="Calibri"/>
                <w:b w:val="0"/>
                <w:i w:val="0"/>
                <w:color w:val="1E293B"/>
                <w:sz w:val="17"/>
              </w:rPr>
              <w:t>Access readiness</w:t>
            </w:r>
          </w:p>
        </w:tc>
        <w:tc>
          <w:tcPr>
            <w:tcW w:type="dxa" w:w="4920"/>
          </w:tcPr>
          <w:p>
            <w:pPr>
              <w:spacing w:after="0" w:line="264" w:lineRule="auto"/>
            </w:pPr>
            <w:r>
              <w:rPr>
                <w:rFonts w:ascii="Calibri" w:hAnsi="Calibri" w:eastAsia="Calibri"/>
                <w:b w:val="0"/>
                <w:i w:val="0"/>
                <w:color w:val="1E293B"/>
                <w:sz w:val="17"/>
              </w:rPr>
              <w:t>Named approver, method, window and technical owner.</w:t>
            </w:r>
          </w:p>
        </w:tc>
        <w:tc>
          <w:tcPr>
            <w:tcW w:type="dxa" w:w="2640"/>
          </w:tcPr>
          <w:p>
            <w:pPr>
              <w:spacing w:after="0" w:line="264" w:lineRule="auto"/>
            </w:pPr>
            <w:r>
              <w:rPr>
                <w:rFonts w:ascii="Calibri" w:hAnsi="Calibri" w:eastAsia="Calibri"/>
                <w:b w:val="0"/>
                <w:i w:val="0"/>
                <w:color w:val="1E293B"/>
                <w:sz w:val="17"/>
              </w:rPr>
              <w:t>No owner or approval path.</w:t>
            </w:r>
          </w:p>
        </w:tc>
      </w:tr>
      <w:tr>
        <w:trPr>
          <w:cantSplit/>
        </w:trPr>
        <w:tc>
          <w:tcPr>
            <w:tcW w:type="dxa" w:w="1800"/>
          </w:tcPr>
          <w:p>
            <w:pPr>
              <w:spacing w:after="0" w:line="264" w:lineRule="auto"/>
            </w:pPr>
            <w:r>
              <w:rPr>
                <w:rFonts w:ascii="Calibri" w:hAnsi="Calibri" w:eastAsia="Calibri"/>
                <w:b w:val="0"/>
                <w:i w:val="0"/>
                <w:color w:val="1E293B"/>
                <w:sz w:val="17"/>
              </w:rPr>
              <w:t>Stakeholders</w:t>
            </w:r>
          </w:p>
        </w:tc>
        <w:tc>
          <w:tcPr>
            <w:tcW w:type="dxa" w:w="4920"/>
          </w:tcPr>
          <w:p>
            <w:pPr>
              <w:spacing w:after="0" w:line="264" w:lineRule="auto"/>
            </w:pPr>
            <w:r>
              <w:rPr>
                <w:rFonts w:ascii="Calibri" w:hAnsi="Calibri" w:eastAsia="Calibri"/>
                <w:b w:val="0"/>
                <w:i w:val="0"/>
                <w:color w:val="1E293B"/>
                <w:sz w:val="17"/>
              </w:rPr>
              <w:t>Technical champion plus credible executive decision path.</w:t>
            </w:r>
          </w:p>
        </w:tc>
        <w:tc>
          <w:tcPr>
            <w:tcW w:type="dxa" w:w="2640"/>
          </w:tcPr>
          <w:p>
            <w:pPr>
              <w:spacing w:after="0" w:line="264" w:lineRule="auto"/>
            </w:pPr>
            <w:r>
              <w:rPr>
                <w:rFonts w:ascii="Calibri" w:hAnsi="Calibri" w:eastAsia="Calibri"/>
                <w:b w:val="0"/>
                <w:i w:val="0"/>
                <w:color w:val="1E293B"/>
                <w:sz w:val="17"/>
              </w:rPr>
              <w:t>Only an individual evaluator.</w:t>
            </w:r>
          </w:p>
        </w:tc>
      </w:tr>
      <w:tr>
        <w:trPr>
          <w:cantSplit/>
        </w:trPr>
        <w:tc>
          <w:tcPr>
            <w:tcW w:type="dxa" w:w="1800"/>
          </w:tcPr>
          <w:p>
            <w:pPr>
              <w:spacing w:after="0" w:line="264" w:lineRule="auto"/>
            </w:pPr>
            <w:r>
              <w:rPr>
                <w:rFonts w:ascii="Calibri" w:hAnsi="Calibri" w:eastAsia="Calibri"/>
                <w:b w:val="0"/>
                <w:i w:val="0"/>
                <w:color w:val="1E293B"/>
                <w:sz w:val="17"/>
              </w:rPr>
              <w:t>Timeline</w:t>
            </w:r>
          </w:p>
        </w:tc>
        <w:tc>
          <w:tcPr>
            <w:tcW w:type="dxa" w:w="4920"/>
          </w:tcPr>
          <w:p>
            <w:pPr>
              <w:spacing w:after="0" w:line="264" w:lineRule="auto"/>
            </w:pPr>
            <w:r>
              <w:rPr>
                <w:rFonts w:ascii="Calibri" w:hAnsi="Calibri" w:eastAsia="Calibri"/>
                <w:b w:val="0"/>
                <w:i w:val="0"/>
                <w:color w:val="1E293B"/>
                <w:sz w:val="17"/>
              </w:rPr>
              <w:t>Start, checkpoints, findings review, playback and decision date.</w:t>
            </w:r>
          </w:p>
        </w:tc>
        <w:tc>
          <w:tcPr>
            <w:tcW w:type="dxa" w:w="2640"/>
          </w:tcPr>
          <w:p>
            <w:pPr>
              <w:spacing w:after="0" w:line="264" w:lineRule="auto"/>
            </w:pPr>
            <w:r>
              <w:rPr>
                <w:rFonts w:ascii="Calibri" w:hAnsi="Calibri" w:eastAsia="Calibri"/>
                <w:b w:val="0"/>
                <w:i w:val="0"/>
                <w:color w:val="1E293B"/>
                <w:sz w:val="17"/>
              </w:rPr>
              <w:t>Open-ended trial.</w:t>
            </w:r>
          </w:p>
        </w:tc>
      </w:tr>
      <w:tr>
        <w:trPr>
          <w:cantSplit/>
        </w:trPr>
        <w:tc>
          <w:tcPr>
            <w:tcW w:type="dxa" w:w="1800"/>
          </w:tcPr>
          <w:p>
            <w:pPr>
              <w:spacing w:after="0" w:line="264" w:lineRule="auto"/>
            </w:pPr>
            <w:r>
              <w:rPr>
                <w:rFonts w:ascii="Calibri" w:hAnsi="Calibri" w:eastAsia="Calibri"/>
                <w:b w:val="0"/>
                <w:i w:val="0"/>
                <w:color w:val="1E293B"/>
                <w:sz w:val="17"/>
              </w:rPr>
              <w:t>Commercial next step</w:t>
            </w:r>
          </w:p>
        </w:tc>
        <w:tc>
          <w:tcPr>
            <w:tcW w:type="dxa" w:w="4920"/>
          </w:tcPr>
          <w:p>
            <w:pPr>
              <w:spacing w:after="0" w:line="264" w:lineRule="auto"/>
            </w:pPr>
            <w:r>
              <w:rPr>
                <w:rFonts w:ascii="Calibri" w:hAnsi="Calibri" w:eastAsia="Calibri"/>
                <w:b w:val="0"/>
                <w:i w:val="0"/>
                <w:color w:val="1E293B"/>
                <w:sz w:val="17"/>
              </w:rPr>
              <w:t>Defined decision if success criteria are met.</w:t>
            </w:r>
          </w:p>
        </w:tc>
        <w:tc>
          <w:tcPr>
            <w:tcW w:type="dxa" w:w="2640"/>
          </w:tcPr>
          <w:p>
            <w:pPr>
              <w:spacing w:after="0" w:line="264" w:lineRule="auto"/>
            </w:pPr>
            <w:r>
              <w:rPr>
                <w:rFonts w:ascii="Calibri" w:hAnsi="Calibri" w:eastAsia="Calibri"/>
                <w:b w:val="0"/>
                <w:i w:val="0"/>
                <w:color w:val="1E293B"/>
                <w:sz w:val="17"/>
              </w:rPr>
              <w:t>No buying process or date.</w:t>
            </w:r>
          </w:p>
        </w:tc>
      </w:tr>
    </w:tbl>
    <w:p>
      <w:pPr>
        <w:spacing w:after="20"/>
        <w:widowControl/>
      </w:pPr>
    </w:p>
    <w:p>
      <w:pPr>
        <w:pStyle w:val="Heading3"/>
        <w:widowControl/>
      </w:pPr>
      <w:r>
        <w:t>Decision rules</w:t>
      </w:r>
    </w:p>
    <w:p>
      <w:pPr>
        <w:numPr>
          <w:ilvl w:val="0"/>
          <w:numId w:val="10"/>
        </w:numPr>
        <w:spacing w:after="80" w:line="300" w:lineRule="auto"/>
        <w:ind w:left="540" w:hanging="271"/>
        <w:widowControl/>
      </w:pPr>
      <w:r>
        <w:rPr>
          <w:rFonts w:ascii="Calibri" w:hAnsi="Calibri" w:eastAsia="Calibri"/>
          <w:b w:val="0"/>
          <w:i w:val="0"/>
          <w:color w:val="1E293B"/>
          <w:sz w:val="22"/>
        </w:rPr>
        <w:t>Go: all critical gates are met; execution can start.</w:t>
      </w:r>
    </w:p>
    <w:p>
      <w:pPr>
        <w:numPr>
          <w:ilvl w:val="0"/>
          <w:numId w:val="10"/>
        </w:numPr>
        <w:spacing w:after="80" w:line="300" w:lineRule="auto"/>
        <w:ind w:left="540" w:hanging="271"/>
        <w:widowControl/>
      </w:pPr>
      <w:r>
        <w:rPr>
          <w:rFonts w:ascii="Calibri" w:hAnsi="Calibri" w:eastAsia="Calibri"/>
          <w:b w:val="0"/>
          <w:i w:val="0"/>
          <w:color w:val="1E293B"/>
          <w:sz w:val="22"/>
        </w:rPr>
        <w:t>Conditional Go: limited gaps have named owners and closure dates before the affected milestone.</w:t>
      </w:r>
    </w:p>
    <w:p>
      <w:pPr>
        <w:numPr>
          <w:ilvl w:val="0"/>
          <w:numId w:val="10"/>
        </w:numPr>
        <w:spacing w:after="80" w:line="300" w:lineRule="auto"/>
        <w:ind w:left="540" w:hanging="271"/>
        <w:widowControl/>
      </w:pPr>
      <w:r>
        <w:rPr>
          <w:rFonts w:ascii="Calibri" w:hAnsi="Calibri" w:eastAsia="Calibri"/>
          <w:b w:val="0"/>
          <w:i w:val="0"/>
          <w:color w:val="1E293B"/>
          <w:sz w:val="22"/>
        </w:rPr>
        <w:t>No-Go: sponsor, success criteria, access ownership or next decision is materially absent.</w:t>
      </w:r>
    </w:p>
    <w:p>
      <w:pPr>
        <w:numPr>
          <w:ilvl w:val="0"/>
          <w:numId w:val="10"/>
        </w:numPr>
        <w:spacing w:after="80" w:line="300" w:lineRule="auto"/>
        <w:ind w:left="540" w:hanging="271"/>
        <w:widowControl/>
      </w:pPr>
      <w:r>
        <w:rPr>
          <w:rFonts w:ascii="Calibri" w:hAnsi="Calibri" w:eastAsia="Calibri"/>
          <w:b w:val="0"/>
          <w:i w:val="0"/>
          <w:color w:val="1E293B"/>
          <w:sz w:val="22"/>
        </w:rPr>
        <w:t>Redirect: use a tailored demo or Cloud Security Workshop to close discovery gaps before reconsidering a POV.</w:t>
      </w:r>
    </w:p>
    <w:p>
      <w:pPr>
        <w:pStyle w:val="Heading2"/>
        <w:widowControl/>
      </w:pPr>
      <w:r>
        <w:t>26. Capstone Assessment Rubric</w:t>
      </w:r>
    </w:p>
    <w:tbl>
      <w:tblPr>
        <w:tblStyle w:val="TableGrid"/>
        <w:tblW w:type="dxa" w:w="9360"/>
        <w:jc w:val="left"/>
        <w:tblLayout w:type="fixed"/>
        <w:tblLook w:firstColumn="1" w:firstRow="1" w:lastColumn="0" w:lastRow="0" w:noHBand="0" w:noVBand="1" w:val="04A0"/>
        <w:tblInd w:w="120" w:type="dxa"/>
      </w:tblPr>
      <w:tblGrid>
        <w:gridCol w:w="3000"/>
        <w:gridCol w:w="1100"/>
        <w:gridCol w:w="5260"/>
      </w:tblGrid>
      <w:tr>
        <w:trPr>
          <w:tblHeader w:val="true"/>
        </w:trPr>
        <w:tc>
          <w:tcPr>
            <w:tcW w:type="dxa" w:w="30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Category</w:t>
            </w:r>
          </w:p>
        </w:tc>
        <w:tc>
          <w:tcPr>
            <w:tcW w:type="dxa" w:w="11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Weight</w:t>
            </w:r>
          </w:p>
        </w:tc>
        <w:tc>
          <w:tcPr>
            <w:tcW w:type="dxa" w:w="52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Pass-Level Behavior</w:t>
            </w:r>
          </w:p>
        </w:tc>
      </w:tr>
      <w:tr>
        <w:trPr>
          <w:cantSplit/>
        </w:trPr>
        <w:tc>
          <w:tcPr>
            <w:tcW w:type="dxa" w:w="3000"/>
          </w:tcPr>
          <w:p>
            <w:pPr>
              <w:spacing w:after="0" w:line="264" w:lineRule="auto"/>
            </w:pPr>
            <w:r>
              <w:rPr>
                <w:rFonts w:ascii="Calibri" w:hAnsi="Calibri" w:eastAsia="Calibri"/>
                <w:b w:val="0"/>
                <w:i w:val="0"/>
                <w:color w:val="1E293B"/>
                <w:sz w:val="17"/>
              </w:rPr>
              <w:t>Discovery &amp; qualification</w:t>
            </w:r>
          </w:p>
        </w:tc>
        <w:tc>
          <w:tcPr>
            <w:tcW w:type="dxa" w:w="1100"/>
          </w:tcPr>
          <w:p>
            <w:pPr>
              <w:spacing w:after="0" w:line="264" w:lineRule="auto"/>
            </w:pPr>
            <w:r>
              <w:rPr>
                <w:rFonts w:ascii="Calibri" w:hAnsi="Calibri" w:eastAsia="Calibri"/>
                <w:b w:val="0"/>
                <w:i w:val="0"/>
                <w:color w:val="1E293B"/>
                <w:sz w:val="17"/>
              </w:rPr>
              <w:t>20</w:t>
            </w:r>
          </w:p>
        </w:tc>
        <w:tc>
          <w:tcPr>
            <w:tcW w:type="dxa" w:w="5260"/>
          </w:tcPr>
          <w:p>
            <w:pPr>
              <w:spacing w:after="0" w:line="264" w:lineRule="auto"/>
            </w:pPr>
            <w:r>
              <w:rPr>
                <w:rFonts w:ascii="Calibri" w:hAnsi="Calibri" w:eastAsia="Calibri"/>
                <w:b w:val="0"/>
                <w:i w:val="0"/>
                <w:color w:val="1E293B"/>
                <w:sz w:val="17"/>
              </w:rPr>
              <w:t>Finds material pain, stakeholders, decision process and constraints.</w:t>
            </w:r>
          </w:p>
        </w:tc>
      </w:tr>
      <w:tr>
        <w:trPr>
          <w:cantSplit/>
        </w:trPr>
        <w:tc>
          <w:tcPr>
            <w:tcW w:type="dxa" w:w="3000"/>
          </w:tcPr>
          <w:p>
            <w:pPr>
              <w:spacing w:after="0" w:line="264" w:lineRule="auto"/>
            </w:pPr>
            <w:r>
              <w:rPr>
                <w:rFonts w:ascii="Calibri" w:hAnsi="Calibri" w:eastAsia="Calibri"/>
                <w:b w:val="0"/>
                <w:i w:val="0"/>
                <w:color w:val="1E293B"/>
                <w:sz w:val="17"/>
              </w:rPr>
              <w:t>Success plan &amp; value design</w:t>
            </w:r>
          </w:p>
        </w:tc>
        <w:tc>
          <w:tcPr>
            <w:tcW w:type="dxa" w:w="1100"/>
          </w:tcPr>
          <w:p>
            <w:pPr>
              <w:spacing w:after="0" w:line="264" w:lineRule="auto"/>
            </w:pPr>
            <w:r>
              <w:rPr>
                <w:rFonts w:ascii="Calibri" w:hAnsi="Calibri" w:eastAsia="Calibri"/>
                <w:b w:val="0"/>
                <w:i w:val="0"/>
                <w:color w:val="1E293B"/>
                <w:sz w:val="17"/>
              </w:rPr>
              <w:t>15</w:t>
            </w:r>
          </w:p>
        </w:tc>
        <w:tc>
          <w:tcPr>
            <w:tcW w:type="dxa" w:w="5260"/>
          </w:tcPr>
          <w:p>
            <w:pPr>
              <w:spacing w:after="0" w:line="264" w:lineRule="auto"/>
            </w:pPr>
            <w:r>
              <w:rPr>
                <w:rFonts w:ascii="Calibri" w:hAnsi="Calibri" w:eastAsia="Calibri"/>
                <w:b w:val="0"/>
                <w:i w:val="0"/>
                <w:color w:val="1E293B"/>
                <w:sz w:val="17"/>
              </w:rPr>
              <w:t>Creates measurable hypotheses, bounded scope and explicit exit criteria.</w:t>
            </w:r>
          </w:p>
        </w:tc>
      </w:tr>
      <w:tr>
        <w:trPr>
          <w:cantSplit/>
        </w:trPr>
        <w:tc>
          <w:tcPr>
            <w:tcW w:type="dxa" w:w="3000"/>
          </w:tcPr>
          <w:p>
            <w:pPr>
              <w:spacing w:after="0" w:line="264" w:lineRule="auto"/>
            </w:pPr>
            <w:r>
              <w:rPr>
                <w:rFonts w:ascii="Calibri" w:hAnsi="Calibri" w:eastAsia="Calibri"/>
                <w:b w:val="0"/>
                <w:i w:val="0"/>
                <w:color w:val="1E293B"/>
                <w:sz w:val="17"/>
              </w:rPr>
              <w:t>Tailored demo narrative</w:t>
            </w:r>
          </w:p>
        </w:tc>
        <w:tc>
          <w:tcPr>
            <w:tcW w:type="dxa" w:w="1100"/>
          </w:tcPr>
          <w:p>
            <w:pPr>
              <w:spacing w:after="0" w:line="264" w:lineRule="auto"/>
            </w:pPr>
            <w:r>
              <w:rPr>
                <w:rFonts w:ascii="Calibri" w:hAnsi="Calibri" w:eastAsia="Calibri"/>
                <w:b w:val="0"/>
                <w:i w:val="0"/>
                <w:color w:val="1E293B"/>
                <w:sz w:val="17"/>
              </w:rPr>
              <w:t>10</w:t>
            </w:r>
          </w:p>
        </w:tc>
        <w:tc>
          <w:tcPr>
            <w:tcW w:type="dxa" w:w="5260"/>
          </w:tcPr>
          <w:p>
            <w:pPr>
              <w:spacing w:after="0" w:line="264" w:lineRule="auto"/>
            </w:pPr>
            <w:r>
              <w:rPr>
                <w:rFonts w:ascii="Calibri" w:hAnsi="Calibri" w:eastAsia="Calibri"/>
                <w:b w:val="0"/>
                <w:i w:val="0"/>
                <w:color w:val="1E293B"/>
                <w:sz w:val="17"/>
              </w:rPr>
              <w:t>Uses the Golden story selectively and aligns it to personas.</w:t>
            </w:r>
          </w:p>
        </w:tc>
      </w:tr>
      <w:tr>
        <w:trPr>
          <w:cantSplit/>
        </w:trPr>
        <w:tc>
          <w:tcPr>
            <w:tcW w:type="dxa" w:w="3000"/>
          </w:tcPr>
          <w:p>
            <w:pPr>
              <w:spacing w:after="0" w:line="264" w:lineRule="auto"/>
            </w:pPr>
            <w:r>
              <w:rPr>
                <w:rFonts w:ascii="Calibri" w:hAnsi="Calibri" w:eastAsia="Calibri"/>
                <w:b w:val="0"/>
                <w:i w:val="0"/>
                <w:color w:val="1E293B"/>
                <w:sz w:val="17"/>
              </w:rPr>
              <w:t>Technical readiness &amp; safety</w:t>
            </w:r>
          </w:p>
        </w:tc>
        <w:tc>
          <w:tcPr>
            <w:tcW w:type="dxa" w:w="1100"/>
          </w:tcPr>
          <w:p>
            <w:pPr>
              <w:spacing w:after="0" w:line="264" w:lineRule="auto"/>
            </w:pPr>
            <w:r>
              <w:rPr>
                <w:rFonts w:ascii="Calibri" w:hAnsi="Calibri" w:eastAsia="Calibri"/>
                <w:b w:val="0"/>
                <w:i w:val="0"/>
                <w:color w:val="1E293B"/>
                <w:sz w:val="17"/>
              </w:rPr>
              <w:t>15</w:t>
            </w:r>
          </w:p>
        </w:tc>
        <w:tc>
          <w:tcPr>
            <w:tcW w:type="dxa" w:w="5260"/>
          </w:tcPr>
          <w:p>
            <w:pPr>
              <w:spacing w:after="0" w:line="264" w:lineRule="auto"/>
            </w:pPr>
            <w:r>
              <w:rPr>
                <w:rFonts w:ascii="Calibri" w:hAnsi="Calibri" w:eastAsia="Calibri"/>
                <w:b w:val="0"/>
                <w:i w:val="0"/>
                <w:color w:val="1E293B"/>
                <w:sz w:val="17"/>
              </w:rPr>
              <w:t>Plans access, connection, roles, data handling and escalation responsibly.</w:t>
            </w:r>
          </w:p>
        </w:tc>
      </w:tr>
      <w:tr>
        <w:trPr>
          <w:cantSplit/>
        </w:trPr>
        <w:tc>
          <w:tcPr>
            <w:tcW w:type="dxa" w:w="3000"/>
          </w:tcPr>
          <w:p>
            <w:pPr>
              <w:spacing w:after="0" w:line="264" w:lineRule="auto"/>
            </w:pPr>
            <w:r>
              <w:rPr>
                <w:rFonts w:ascii="Calibri" w:hAnsi="Calibri" w:eastAsia="Calibri"/>
                <w:b w:val="0"/>
                <w:i w:val="0"/>
                <w:color w:val="1E293B"/>
                <w:sz w:val="17"/>
              </w:rPr>
              <w:t>Execution &amp; finding interpretation</w:t>
            </w:r>
          </w:p>
        </w:tc>
        <w:tc>
          <w:tcPr>
            <w:tcW w:type="dxa" w:w="1100"/>
          </w:tcPr>
          <w:p>
            <w:pPr>
              <w:spacing w:after="0" w:line="264" w:lineRule="auto"/>
            </w:pPr>
            <w:r>
              <w:rPr>
                <w:rFonts w:ascii="Calibri" w:hAnsi="Calibri" w:eastAsia="Calibri"/>
                <w:b w:val="0"/>
                <w:i w:val="0"/>
                <w:color w:val="1E293B"/>
                <w:sz w:val="17"/>
              </w:rPr>
              <w:t>15</w:t>
            </w:r>
          </w:p>
        </w:tc>
        <w:tc>
          <w:tcPr>
            <w:tcW w:type="dxa" w:w="5260"/>
          </w:tcPr>
          <w:p>
            <w:pPr>
              <w:spacing w:after="0" w:line="264" w:lineRule="auto"/>
            </w:pPr>
            <w:r>
              <w:rPr>
                <w:rFonts w:ascii="Calibri" w:hAnsi="Calibri" w:eastAsia="Calibri"/>
                <w:b w:val="0"/>
                <w:i w:val="0"/>
                <w:color w:val="1E293B"/>
                <w:sz w:val="17"/>
              </w:rPr>
              <w:t>Prioritizes contextual evidence and proposes owner-specific actions.</w:t>
            </w:r>
          </w:p>
        </w:tc>
      </w:tr>
      <w:tr>
        <w:trPr>
          <w:cantSplit/>
        </w:trPr>
        <w:tc>
          <w:tcPr>
            <w:tcW w:type="dxa" w:w="3000"/>
          </w:tcPr>
          <w:p>
            <w:pPr>
              <w:spacing w:after="0" w:line="264" w:lineRule="auto"/>
            </w:pPr>
            <w:r>
              <w:rPr>
                <w:rFonts w:ascii="Calibri" w:hAnsi="Calibri" w:eastAsia="Calibri"/>
                <w:b w:val="0"/>
                <w:i w:val="0"/>
                <w:color w:val="1E293B"/>
                <w:sz w:val="17"/>
              </w:rPr>
              <w:t>Playback &amp; objections</w:t>
            </w:r>
          </w:p>
        </w:tc>
        <w:tc>
          <w:tcPr>
            <w:tcW w:type="dxa" w:w="1100"/>
          </w:tcPr>
          <w:p>
            <w:pPr>
              <w:spacing w:after="0" w:line="264" w:lineRule="auto"/>
            </w:pPr>
            <w:r>
              <w:rPr>
                <w:rFonts w:ascii="Calibri" w:hAnsi="Calibri" w:eastAsia="Calibri"/>
                <w:b w:val="0"/>
                <w:i w:val="0"/>
                <w:color w:val="1E293B"/>
                <w:sz w:val="17"/>
              </w:rPr>
              <w:t>20</w:t>
            </w:r>
          </w:p>
        </w:tc>
        <w:tc>
          <w:tcPr>
            <w:tcW w:type="dxa" w:w="5260"/>
          </w:tcPr>
          <w:p>
            <w:pPr>
              <w:spacing w:after="0" w:line="264" w:lineRule="auto"/>
            </w:pPr>
            <w:r>
              <w:rPr>
                <w:rFonts w:ascii="Calibri" w:hAnsi="Calibri" w:eastAsia="Calibri"/>
                <w:b w:val="0"/>
                <w:i w:val="0"/>
                <w:color w:val="1E293B"/>
                <w:sz w:val="17"/>
              </w:rPr>
              <w:t>Communicates limitations, value and a clear next decision under challenge.</w:t>
            </w:r>
          </w:p>
        </w:tc>
      </w:tr>
      <w:tr>
        <w:trPr>
          <w:cantSplit/>
        </w:trPr>
        <w:tc>
          <w:tcPr>
            <w:tcW w:type="dxa" w:w="3000"/>
          </w:tcPr>
          <w:p>
            <w:pPr>
              <w:spacing w:after="0" w:line="264" w:lineRule="auto"/>
            </w:pPr>
            <w:r>
              <w:rPr>
                <w:rFonts w:ascii="Calibri" w:hAnsi="Calibri" w:eastAsia="Calibri"/>
                <w:b w:val="0"/>
                <w:i w:val="0"/>
                <w:color w:val="1E293B"/>
                <w:sz w:val="17"/>
              </w:rPr>
              <w:t>Leadership discipline</w:t>
            </w:r>
          </w:p>
        </w:tc>
        <w:tc>
          <w:tcPr>
            <w:tcW w:type="dxa" w:w="1100"/>
          </w:tcPr>
          <w:p>
            <w:pPr>
              <w:spacing w:after="0" w:line="264" w:lineRule="auto"/>
            </w:pPr>
            <w:r>
              <w:rPr>
                <w:rFonts w:ascii="Calibri" w:hAnsi="Calibri" w:eastAsia="Calibri"/>
                <w:b w:val="0"/>
                <w:i w:val="0"/>
                <w:color w:val="1E293B"/>
                <w:sz w:val="17"/>
              </w:rPr>
              <w:t>5</w:t>
            </w:r>
          </w:p>
        </w:tc>
        <w:tc>
          <w:tcPr>
            <w:tcW w:type="dxa" w:w="5260"/>
          </w:tcPr>
          <w:p>
            <w:pPr>
              <w:spacing w:after="0" w:line="264" w:lineRule="auto"/>
            </w:pPr>
            <w:r>
              <w:rPr>
                <w:rFonts w:ascii="Calibri" w:hAnsi="Calibri" w:eastAsia="Calibri"/>
                <w:b w:val="0"/>
                <w:i w:val="0"/>
                <w:color w:val="1E293B"/>
                <w:sz w:val="17"/>
              </w:rPr>
              <w:t>Collaborates, manages time and protects trust.</w:t>
            </w:r>
          </w:p>
        </w:tc>
      </w:tr>
    </w:tbl>
    <w:p>
      <w:pPr>
        <w:spacing w:after="20"/>
        <w:widowControl/>
      </w:pPr>
    </w:p>
    <w:p>
      <w:pPr>
        <w:spacing w:after="120" w:line="300" w:lineRule="auto"/>
        <w:widowControl/>
      </w:pPr>
      <w:r>
        <w:rPr>
          <w:rFonts w:ascii="Calibri" w:hAnsi="Calibri" w:eastAsia="Calibri"/>
          <w:b w:val="0"/>
          <w:i w:val="0"/>
          <w:color w:val="1E293B"/>
          <w:sz w:val="22"/>
        </w:rPr>
        <w:t>Recommended pass rule: 80/100 or higher with no critical fail. Final thresholds require APJ and Global Enablement approval.</w:t>
      </w:r>
    </w:p>
    <w:p>
      <w:pPr>
        <w:pStyle w:val="Heading3"/>
        <w:widowControl/>
      </w:pPr>
      <w:r>
        <w:t>Critical fails</w:t>
      </w:r>
    </w:p>
    <w:p>
      <w:pPr>
        <w:numPr>
          <w:ilvl w:val="0"/>
          <w:numId w:val="10"/>
        </w:numPr>
        <w:spacing w:after="80" w:line="300" w:lineRule="auto"/>
        <w:ind w:left="540" w:hanging="271"/>
        <w:widowControl/>
      </w:pPr>
      <w:r>
        <w:rPr>
          <w:rFonts w:ascii="Calibri" w:hAnsi="Calibri" w:eastAsia="Calibri"/>
          <w:b w:val="0"/>
          <w:i w:val="0"/>
          <w:color w:val="1E293B"/>
          <w:sz w:val="22"/>
        </w:rPr>
        <w:t>Recommending a POV without a decision hypothesis or success criteria.</w:t>
      </w:r>
    </w:p>
    <w:p>
      <w:pPr>
        <w:numPr>
          <w:ilvl w:val="0"/>
          <w:numId w:val="10"/>
        </w:numPr>
        <w:spacing w:after="80" w:line="300" w:lineRule="auto"/>
        <w:ind w:left="540" w:hanging="271"/>
        <w:widowControl/>
      </w:pPr>
      <w:r>
        <w:rPr>
          <w:rFonts w:ascii="Calibri" w:hAnsi="Calibri" w:eastAsia="Calibri"/>
          <w:b w:val="0"/>
          <w:i w:val="0"/>
          <w:color w:val="1E293B"/>
          <w:sz w:val="22"/>
        </w:rPr>
        <w:t>Ignoring access, data-handling or customer approval concerns.</w:t>
      </w:r>
    </w:p>
    <w:p>
      <w:pPr>
        <w:numPr>
          <w:ilvl w:val="0"/>
          <w:numId w:val="10"/>
        </w:numPr>
        <w:spacing w:after="80" w:line="300" w:lineRule="auto"/>
        <w:ind w:left="540" w:hanging="271"/>
        <w:widowControl/>
      </w:pPr>
      <w:r>
        <w:rPr>
          <w:rFonts w:ascii="Calibri" w:hAnsi="Calibri" w:eastAsia="Calibri"/>
          <w:b w:val="0"/>
          <w:i w:val="0"/>
          <w:color w:val="1E293B"/>
          <w:sz w:val="22"/>
        </w:rPr>
        <w:t>Overstating findings, coverage, compliance or guaranteed outcomes.</w:t>
      </w:r>
    </w:p>
    <w:p>
      <w:pPr>
        <w:numPr>
          <w:ilvl w:val="0"/>
          <w:numId w:val="10"/>
        </w:numPr>
        <w:spacing w:after="80" w:line="300" w:lineRule="auto"/>
        <w:ind w:left="540" w:hanging="271"/>
        <w:widowControl/>
      </w:pPr>
      <w:r>
        <w:rPr>
          <w:rFonts w:ascii="Calibri" w:hAnsi="Calibri" w:eastAsia="Calibri"/>
          <w:b w:val="0"/>
          <w:i w:val="0"/>
          <w:color w:val="1E293B"/>
          <w:sz w:val="22"/>
        </w:rPr>
        <w:t>Unable to state known scope limitations during playback.</w:t>
      </w:r>
    </w:p>
    <w:p>
      <w:pPr>
        <w:numPr>
          <w:ilvl w:val="0"/>
          <w:numId w:val="10"/>
        </w:numPr>
        <w:spacing w:after="80" w:line="300" w:lineRule="auto"/>
        <w:ind w:left="540" w:hanging="271"/>
        <w:widowControl/>
      </w:pPr>
      <w:r>
        <w:rPr>
          <w:rFonts w:ascii="Calibri" w:hAnsi="Calibri" w:eastAsia="Calibri"/>
          <w:b w:val="0"/>
          <w:i w:val="0"/>
          <w:color w:val="1E293B"/>
          <w:sz w:val="22"/>
        </w:rPr>
        <w:t>No credible executive decision or commercial next step.</w:t>
      </w:r>
    </w:p>
    <w:p>
      <w:pPr>
        <w:pStyle w:val="Heading2"/>
        <w:widowControl/>
      </w:pPr>
      <w:r>
        <w:t>27. Accreditation Levels</w:t>
      </w:r>
    </w:p>
    <w:tbl>
      <w:tblPr>
        <w:tblStyle w:val="TableGrid"/>
        <w:tblW w:type="dxa" w:w="9360"/>
        <w:jc w:val="left"/>
        <w:tblLayout w:type="fixed"/>
        <w:tblLook w:firstColumn="1" w:firstRow="1" w:lastColumn="0" w:lastRow="0" w:noHBand="0" w:noVBand="1" w:val="04A0"/>
        <w:tblInd w:w="120" w:type="dxa"/>
      </w:tblPr>
      <w:tblGrid>
        <w:gridCol w:w="1700"/>
        <w:gridCol w:w="3300"/>
        <w:gridCol w:w="2960"/>
        <w:gridCol w:w="1400"/>
      </w:tblGrid>
      <w:tr>
        <w:trPr>
          <w:tblHeader w:val="true"/>
        </w:trPr>
        <w:tc>
          <w:tcPr>
            <w:tcW w:type="dxa" w:w="17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Level</w:t>
            </w:r>
          </w:p>
        </w:tc>
        <w:tc>
          <w:tcPr>
            <w:tcW w:type="dxa" w:w="33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Evidence Required</w:t>
            </w:r>
          </w:p>
        </w:tc>
        <w:tc>
          <w:tcPr>
            <w:tcW w:type="dxa" w:w="29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Permitted Operating Model</w:t>
            </w:r>
          </w:p>
        </w:tc>
        <w:tc>
          <w:tcPr>
            <w:tcW w:type="dxa" w:w="14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Validity</w:t>
            </w:r>
          </w:p>
        </w:tc>
      </w:tr>
      <w:tr>
        <w:trPr>
          <w:cantSplit/>
        </w:trPr>
        <w:tc>
          <w:tcPr>
            <w:tcW w:type="dxa" w:w="1700"/>
          </w:tcPr>
          <w:p>
            <w:pPr>
              <w:spacing w:after="0" w:line="264" w:lineRule="auto"/>
            </w:pPr>
            <w:r>
              <w:rPr>
                <w:rFonts w:ascii="Calibri" w:hAnsi="Calibri" w:eastAsia="Calibri"/>
                <w:b w:val="0"/>
                <w:i w:val="0"/>
                <w:color w:val="1E293B"/>
                <w:sz w:val="17"/>
              </w:rPr>
              <w:t>Dojo Ready</w:t>
            </w:r>
          </w:p>
        </w:tc>
        <w:tc>
          <w:tcPr>
            <w:tcW w:type="dxa" w:w="3300"/>
          </w:tcPr>
          <w:p>
            <w:pPr>
              <w:spacing w:after="0" w:line="264" w:lineRule="auto"/>
            </w:pPr>
            <w:r>
              <w:rPr>
                <w:rFonts w:ascii="Calibri" w:hAnsi="Calibri" w:eastAsia="Calibri"/>
                <w:b w:val="0"/>
                <w:i w:val="0"/>
                <w:color w:val="1E293B"/>
                <w:sz w:val="17"/>
              </w:rPr>
              <w:t>Pre-work and simulated capstone pass.</w:t>
            </w:r>
          </w:p>
        </w:tc>
        <w:tc>
          <w:tcPr>
            <w:tcW w:type="dxa" w:w="2960"/>
          </w:tcPr>
          <w:p>
            <w:pPr>
              <w:spacing w:after="0" w:line="264" w:lineRule="auto"/>
            </w:pPr>
            <w:r>
              <w:rPr>
                <w:rFonts w:ascii="Calibri" w:hAnsi="Calibri" w:eastAsia="Calibri"/>
                <w:b w:val="0"/>
                <w:i w:val="0"/>
                <w:color w:val="1E293B"/>
                <w:sz w:val="17"/>
              </w:rPr>
              <w:t>Support or co-deliver under a Wiz field lead.</w:t>
            </w:r>
          </w:p>
        </w:tc>
        <w:tc>
          <w:tcPr>
            <w:tcW w:type="dxa" w:w="1400"/>
          </w:tcPr>
          <w:p>
            <w:pPr>
              <w:spacing w:after="0" w:line="264" w:lineRule="auto"/>
            </w:pPr>
            <w:r>
              <w:rPr>
                <w:rFonts w:ascii="Calibri" w:hAnsi="Calibri" w:eastAsia="Calibri"/>
                <w:b w:val="0"/>
                <w:i w:val="0"/>
                <w:color w:val="1E293B"/>
                <w:sz w:val="17"/>
              </w:rPr>
              <w:t>12 months recommended</w:t>
            </w:r>
          </w:p>
        </w:tc>
      </w:tr>
      <w:tr>
        <w:trPr>
          <w:cantSplit/>
        </w:trPr>
        <w:tc>
          <w:tcPr>
            <w:tcW w:type="dxa" w:w="1700"/>
          </w:tcPr>
          <w:p>
            <w:pPr>
              <w:spacing w:after="0" w:line="264" w:lineRule="auto"/>
            </w:pPr>
            <w:r>
              <w:rPr>
                <w:rFonts w:ascii="Calibri" w:hAnsi="Calibri" w:eastAsia="Calibri"/>
                <w:b w:val="0"/>
                <w:i w:val="0"/>
                <w:color w:val="1E293B"/>
                <w:sz w:val="17"/>
              </w:rPr>
              <w:t>POV Co-Lead</w:t>
            </w:r>
          </w:p>
        </w:tc>
        <w:tc>
          <w:tcPr>
            <w:tcW w:type="dxa" w:w="3300"/>
          </w:tcPr>
          <w:p>
            <w:pPr>
              <w:spacing w:after="0" w:line="264" w:lineRule="auto"/>
            </w:pPr>
            <w:r>
              <w:rPr>
                <w:rFonts w:ascii="Calibri" w:hAnsi="Calibri" w:eastAsia="Calibri"/>
                <w:b w:val="0"/>
                <w:i w:val="0"/>
                <w:color w:val="1E293B"/>
                <w:sz w:val="17"/>
              </w:rPr>
              <w:t>One live qualified POV with mentor observation and complete artifacts.</w:t>
            </w:r>
          </w:p>
        </w:tc>
        <w:tc>
          <w:tcPr>
            <w:tcW w:type="dxa" w:w="2960"/>
          </w:tcPr>
          <w:p>
            <w:pPr>
              <w:spacing w:after="0" w:line="264" w:lineRule="auto"/>
            </w:pPr>
            <w:r>
              <w:rPr>
                <w:rFonts w:ascii="Calibri" w:hAnsi="Calibri" w:eastAsia="Calibri"/>
                <w:b w:val="0"/>
                <w:i w:val="0"/>
                <w:color w:val="1E293B"/>
                <w:sz w:val="17"/>
              </w:rPr>
              <w:t>Co-lead defined workstreams with Wiz oversight.</w:t>
            </w:r>
          </w:p>
        </w:tc>
        <w:tc>
          <w:tcPr>
            <w:tcW w:type="dxa" w:w="1400"/>
          </w:tcPr>
          <w:p>
            <w:pPr>
              <w:spacing w:after="0" w:line="264" w:lineRule="auto"/>
            </w:pPr>
            <w:r>
              <w:rPr>
                <w:rFonts w:ascii="Calibri" w:hAnsi="Calibri" w:eastAsia="Calibri"/>
                <w:b w:val="0"/>
                <w:i w:val="0"/>
                <w:color w:val="1E293B"/>
                <w:sz w:val="17"/>
              </w:rPr>
              <w:t>12 months recommended</w:t>
            </w:r>
          </w:p>
        </w:tc>
      </w:tr>
      <w:tr>
        <w:trPr>
          <w:cantSplit/>
        </w:trPr>
        <w:tc>
          <w:tcPr>
            <w:tcW w:type="dxa" w:w="1700"/>
          </w:tcPr>
          <w:p>
            <w:pPr>
              <w:spacing w:after="0" w:line="264" w:lineRule="auto"/>
            </w:pPr>
            <w:r>
              <w:rPr>
                <w:rFonts w:ascii="Calibri" w:hAnsi="Calibri" w:eastAsia="Calibri"/>
                <w:b w:val="0"/>
                <w:i w:val="0"/>
                <w:color w:val="1E293B"/>
                <w:sz w:val="17"/>
              </w:rPr>
              <w:t>Partner POV Lead</w:t>
            </w:r>
          </w:p>
        </w:tc>
        <w:tc>
          <w:tcPr>
            <w:tcW w:type="dxa" w:w="3300"/>
          </w:tcPr>
          <w:p>
            <w:pPr>
              <w:spacing w:after="0" w:line="264" w:lineRule="auto"/>
            </w:pPr>
            <w:r>
              <w:rPr>
                <w:rFonts w:ascii="Calibri" w:hAnsi="Calibri" w:eastAsia="Calibri"/>
                <w:b w:val="0"/>
                <w:i w:val="0"/>
                <w:color w:val="1E293B"/>
                <w:sz w:val="17"/>
              </w:rPr>
              <w:t>One observed and one partner-led POV; successful playback; mentor and board approval.</w:t>
            </w:r>
          </w:p>
        </w:tc>
        <w:tc>
          <w:tcPr>
            <w:tcW w:type="dxa" w:w="2960"/>
          </w:tcPr>
          <w:p>
            <w:pPr>
              <w:spacing w:after="0" w:line="264" w:lineRule="auto"/>
            </w:pPr>
            <w:r>
              <w:rPr>
                <w:rFonts w:ascii="Calibri" w:hAnsi="Calibri" w:eastAsia="Calibri"/>
                <w:b w:val="0"/>
                <w:i w:val="0"/>
                <w:color w:val="1E293B"/>
                <w:sz w:val="17"/>
              </w:rPr>
              <w:t>Lead approved opportunities with agreed escalation model.</w:t>
            </w:r>
          </w:p>
        </w:tc>
        <w:tc>
          <w:tcPr>
            <w:tcW w:type="dxa" w:w="1400"/>
          </w:tcPr>
          <w:p>
            <w:pPr>
              <w:spacing w:after="0" w:line="264" w:lineRule="auto"/>
            </w:pPr>
            <w:r>
              <w:rPr>
                <w:rFonts w:ascii="Calibri" w:hAnsi="Calibri" w:eastAsia="Calibri"/>
                <w:b w:val="0"/>
                <w:i w:val="0"/>
                <w:color w:val="1E293B"/>
                <w:sz w:val="17"/>
              </w:rPr>
              <w:t>12 months recommended</w:t>
            </w:r>
          </w:p>
        </w:tc>
      </w:tr>
      <w:tr>
        <w:trPr>
          <w:cantSplit/>
        </w:trPr>
        <w:tc>
          <w:tcPr>
            <w:tcW w:type="dxa" w:w="1700"/>
          </w:tcPr>
          <w:p>
            <w:pPr>
              <w:spacing w:after="0" w:line="264" w:lineRule="auto"/>
            </w:pPr>
            <w:r>
              <w:rPr>
                <w:rFonts w:ascii="Calibri" w:hAnsi="Calibri" w:eastAsia="Calibri"/>
                <w:b w:val="0"/>
                <w:i w:val="0"/>
                <w:color w:val="1E293B"/>
                <w:sz w:val="17"/>
              </w:rPr>
              <w:t>Dojo Coach</w:t>
            </w:r>
          </w:p>
        </w:tc>
        <w:tc>
          <w:tcPr>
            <w:tcW w:type="dxa" w:w="3300"/>
          </w:tcPr>
          <w:p>
            <w:pPr>
              <w:spacing w:after="0" w:line="264" w:lineRule="auto"/>
            </w:pPr>
            <w:r>
              <w:rPr>
                <w:rFonts w:ascii="Calibri" w:hAnsi="Calibri" w:eastAsia="Calibri"/>
                <w:b w:val="0"/>
                <w:i w:val="0"/>
                <w:color w:val="1E293B"/>
                <w:sz w:val="17"/>
              </w:rPr>
              <w:t>Repeated field success, facilitation calibration and assessor shadowing.</w:t>
            </w:r>
          </w:p>
        </w:tc>
        <w:tc>
          <w:tcPr>
            <w:tcW w:type="dxa" w:w="2960"/>
          </w:tcPr>
          <w:p>
            <w:pPr>
              <w:spacing w:after="0" w:line="264" w:lineRule="auto"/>
            </w:pPr>
            <w:r>
              <w:rPr>
                <w:rFonts w:ascii="Calibri" w:hAnsi="Calibri" w:eastAsia="Calibri"/>
                <w:b w:val="0"/>
                <w:i w:val="0"/>
                <w:color w:val="1E293B"/>
                <w:sz w:val="17"/>
              </w:rPr>
              <w:t>Coach partner peers; facilitate with APJ approval.</w:t>
            </w:r>
          </w:p>
        </w:tc>
        <w:tc>
          <w:tcPr>
            <w:tcW w:type="dxa" w:w="1400"/>
          </w:tcPr>
          <w:p>
            <w:pPr>
              <w:spacing w:after="0" w:line="264" w:lineRule="auto"/>
            </w:pPr>
            <w:r>
              <w:rPr>
                <w:rFonts w:ascii="Calibri" w:hAnsi="Calibri" w:eastAsia="Calibri"/>
                <w:b w:val="0"/>
                <w:i w:val="0"/>
                <w:color w:val="1E293B"/>
                <w:sz w:val="17"/>
              </w:rPr>
              <w:t>Annual calibration</w:t>
            </w:r>
          </w:p>
        </w:tc>
      </w:tr>
    </w:tbl>
    <w:p>
      <w:pPr>
        <w:spacing w:after="20"/>
        <w:widowControl/>
      </w:pPr>
    </w:p>
    <w:p>
      <w:pPr>
        <w:pStyle w:val="Heading3"/>
        <w:widowControl/>
      </w:pPr>
      <w:r>
        <w:t>Field practicum evidence pack</w:t>
      </w:r>
    </w:p>
    <w:p>
      <w:pPr>
        <w:numPr>
          <w:ilvl w:val="0"/>
          <w:numId w:val="10"/>
        </w:numPr>
        <w:spacing w:after="80" w:line="300" w:lineRule="auto"/>
        <w:ind w:left="540" w:hanging="271"/>
        <w:widowControl/>
      </w:pPr>
      <w:r>
        <w:rPr>
          <w:rFonts w:ascii="Calibri" w:hAnsi="Calibri" w:eastAsia="Calibri"/>
          <w:b w:val="0"/>
          <w:i w:val="0"/>
          <w:color w:val="1E293B"/>
          <w:sz w:val="22"/>
        </w:rPr>
        <w:t>Customer-approved POV Success Plan and Readiness Scorecard.</w:t>
      </w:r>
    </w:p>
    <w:p>
      <w:pPr>
        <w:numPr>
          <w:ilvl w:val="0"/>
          <w:numId w:val="10"/>
        </w:numPr>
        <w:spacing w:after="80" w:line="300" w:lineRule="auto"/>
        <w:ind w:left="540" w:hanging="271"/>
        <w:widowControl/>
      </w:pPr>
      <w:r>
        <w:rPr>
          <w:rFonts w:ascii="Calibri" w:hAnsi="Calibri" w:eastAsia="Calibri"/>
          <w:b w:val="0"/>
          <w:i w:val="0"/>
          <w:color w:val="1E293B"/>
          <w:sz w:val="22"/>
        </w:rPr>
        <w:t>First 24-Hour status and documented scope limitations.</w:t>
      </w:r>
    </w:p>
    <w:p>
      <w:pPr>
        <w:numPr>
          <w:ilvl w:val="0"/>
          <w:numId w:val="10"/>
        </w:numPr>
        <w:spacing w:after="80" w:line="300" w:lineRule="auto"/>
        <w:ind w:left="540" w:hanging="271"/>
        <w:widowControl/>
      </w:pPr>
      <w:r>
        <w:rPr>
          <w:rFonts w:ascii="Calibri" w:hAnsi="Calibri" w:eastAsia="Calibri"/>
          <w:b w:val="0"/>
          <w:i w:val="0"/>
          <w:color w:val="1E293B"/>
          <w:sz w:val="22"/>
        </w:rPr>
        <w:t>Finding Review notes and sample evidence with sensitive data removed.</w:t>
      </w:r>
    </w:p>
    <w:p>
      <w:pPr>
        <w:numPr>
          <w:ilvl w:val="0"/>
          <w:numId w:val="10"/>
        </w:numPr>
        <w:spacing w:after="80" w:line="300" w:lineRule="auto"/>
        <w:ind w:left="540" w:hanging="271"/>
        <w:widowControl/>
      </w:pPr>
      <w:r>
        <w:rPr>
          <w:rFonts w:ascii="Calibri" w:hAnsi="Calibri" w:eastAsia="Calibri"/>
          <w:b w:val="0"/>
          <w:i w:val="0"/>
          <w:color w:val="1E293B"/>
          <w:sz w:val="22"/>
        </w:rPr>
        <w:t>Executive Playback and recorded customer decision or agreed next step.</w:t>
      </w:r>
    </w:p>
    <w:p>
      <w:pPr>
        <w:numPr>
          <w:ilvl w:val="0"/>
          <w:numId w:val="10"/>
        </w:numPr>
        <w:spacing w:after="80" w:line="300" w:lineRule="auto"/>
        <w:ind w:left="540" w:hanging="271"/>
        <w:widowControl/>
      </w:pPr>
      <w:r>
        <w:rPr>
          <w:rFonts w:ascii="Calibri" w:hAnsi="Calibri" w:eastAsia="Calibri"/>
          <w:b w:val="0"/>
          <w:i w:val="0"/>
          <w:color w:val="1E293B"/>
          <w:sz w:val="22"/>
        </w:rPr>
        <w:t>Field mentor observation using the standard rubric.</w:t>
      </w:r>
    </w:p>
    <w:p>
      <w:pPr>
        <w:numPr>
          <w:ilvl w:val="0"/>
          <w:numId w:val="10"/>
        </w:numPr>
        <w:spacing w:after="80" w:line="300" w:lineRule="auto"/>
        <w:ind w:left="540" w:hanging="271"/>
        <w:widowControl/>
      </w:pPr>
      <w:r>
        <w:rPr>
          <w:rFonts w:ascii="Calibri" w:hAnsi="Calibri" w:eastAsia="Calibri"/>
          <w:b w:val="0"/>
          <w:i w:val="0"/>
          <w:color w:val="1E293B"/>
          <w:sz w:val="22"/>
        </w:rPr>
        <w:t>Short retrospective: what changed from the plan and what the participant learned.</w:t>
      </w:r>
    </w:p>
    <w:p>
      <w:pPr>
        <w:pStyle w:val="Heading2"/>
        <w:widowControl/>
      </w:pPr>
      <w:r>
        <w:t>28. Partner Leader Clinic</w:t>
      </w:r>
    </w:p>
    <w:p>
      <w:pPr>
        <w:spacing w:after="120" w:line="300" w:lineRule="auto"/>
        <w:widowControl/>
      </w:pPr>
      <w:r>
        <w:rPr>
          <w:rFonts w:ascii="Calibri" w:hAnsi="Calibri" w:eastAsia="Calibri"/>
          <w:b w:val="0"/>
          <w:i w:val="0"/>
          <w:color w:val="1E293B"/>
          <w:sz w:val="22"/>
        </w:rPr>
        <w:t>A mandatory 75-minute clinic for partner sales leaders and practice owners addresses the commercial behaviors that technical training alone cannot fix.</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Topic</w:t>
            </w:r>
          </w:p>
        </w:tc>
        <w:tc>
          <w:tcPr>
            <w:tcW w:type="dxa" w:w="67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Outcome</w:t>
            </w:r>
          </w:p>
        </w:tc>
      </w:tr>
      <w:tr>
        <w:trPr>
          <w:cantSplit/>
        </w:trPr>
        <w:tc>
          <w:tcPr>
            <w:tcW w:type="dxa" w:w="2600"/>
          </w:tcPr>
          <w:p>
            <w:pPr>
              <w:spacing w:after="0" w:line="264" w:lineRule="auto"/>
            </w:pPr>
            <w:r>
              <w:rPr>
                <w:rFonts w:ascii="Calibri" w:hAnsi="Calibri" w:eastAsia="Calibri"/>
                <w:b w:val="0"/>
                <w:i w:val="0"/>
                <w:color w:val="1E293B"/>
                <w:sz w:val="18"/>
              </w:rPr>
              <w:t>POV economics</w:t>
            </w:r>
          </w:p>
        </w:tc>
        <w:tc>
          <w:tcPr>
            <w:tcW w:type="dxa" w:w="6760"/>
          </w:tcPr>
          <w:p>
            <w:pPr>
              <w:spacing w:after="0" w:line="264" w:lineRule="auto"/>
            </w:pPr>
            <w:r>
              <w:rPr>
                <w:rFonts w:ascii="Calibri" w:hAnsi="Calibri" w:eastAsia="Calibri"/>
                <w:b w:val="0"/>
                <w:i w:val="0"/>
                <w:color w:val="1E293B"/>
                <w:sz w:val="18"/>
              </w:rPr>
              <w:t>Understand the cost of poorly qualified POVs and the value of a fast No-Go.</w:t>
            </w:r>
          </w:p>
        </w:tc>
      </w:tr>
      <w:tr>
        <w:trPr>
          <w:cantSplit/>
        </w:trPr>
        <w:tc>
          <w:tcPr>
            <w:tcW w:type="dxa" w:w="2600"/>
          </w:tcPr>
          <w:p>
            <w:pPr>
              <w:spacing w:after="0" w:line="264" w:lineRule="auto"/>
            </w:pPr>
            <w:r>
              <w:rPr>
                <w:rFonts w:ascii="Calibri" w:hAnsi="Calibri" w:eastAsia="Calibri"/>
                <w:b w:val="0"/>
                <w:i w:val="0"/>
                <w:color w:val="1E293B"/>
                <w:sz w:val="18"/>
              </w:rPr>
              <w:t>Entry and exit gates</w:t>
            </w:r>
          </w:p>
        </w:tc>
        <w:tc>
          <w:tcPr>
            <w:tcW w:type="dxa" w:w="6760"/>
          </w:tcPr>
          <w:p>
            <w:pPr>
              <w:spacing w:after="0" w:line="264" w:lineRule="auto"/>
            </w:pPr>
            <w:r>
              <w:rPr>
                <w:rFonts w:ascii="Calibri" w:hAnsi="Calibri" w:eastAsia="Calibri"/>
                <w:b w:val="0"/>
                <w:i w:val="0"/>
                <w:color w:val="1E293B"/>
                <w:sz w:val="18"/>
              </w:rPr>
              <w:t>Commit to Discovery, sponsorship, access and decision requirements.</w:t>
            </w:r>
          </w:p>
        </w:tc>
      </w:tr>
      <w:tr>
        <w:trPr>
          <w:cantSplit/>
        </w:trPr>
        <w:tc>
          <w:tcPr>
            <w:tcW w:type="dxa" w:w="2600"/>
          </w:tcPr>
          <w:p>
            <w:pPr>
              <w:spacing w:after="0" w:line="264" w:lineRule="auto"/>
            </w:pPr>
            <w:r>
              <w:rPr>
                <w:rFonts w:ascii="Calibri" w:hAnsi="Calibri" w:eastAsia="Calibri"/>
                <w:b w:val="0"/>
                <w:i w:val="0"/>
                <w:color w:val="1E293B"/>
                <w:sz w:val="18"/>
              </w:rPr>
              <w:t>Resourcing</w:t>
            </w:r>
          </w:p>
        </w:tc>
        <w:tc>
          <w:tcPr>
            <w:tcW w:type="dxa" w:w="6760"/>
          </w:tcPr>
          <w:p>
            <w:pPr>
              <w:spacing w:after="0" w:line="264" w:lineRule="auto"/>
            </w:pPr>
            <w:r>
              <w:rPr>
                <w:rFonts w:ascii="Calibri" w:hAnsi="Calibri" w:eastAsia="Calibri"/>
                <w:b w:val="0"/>
                <w:i w:val="0"/>
                <w:color w:val="1E293B"/>
                <w:sz w:val="18"/>
              </w:rPr>
              <w:t>Protect engineer time for pre-work, workshop and field practicum.</w:t>
            </w:r>
          </w:p>
        </w:tc>
      </w:tr>
      <w:tr>
        <w:trPr>
          <w:cantSplit/>
        </w:trPr>
        <w:tc>
          <w:tcPr>
            <w:tcW w:type="dxa" w:w="2600"/>
          </w:tcPr>
          <w:p>
            <w:pPr>
              <w:spacing w:after="0" w:line="264" w:lineRule="auto"/>
            </w:pPr>
            <w:r>
              <w:rPr>
                <w:rFonts w:ascii="Calibri" w:hAnsi="Calibri" w:eastAsia="Calibri"/>
                <w:b w:val="0"/>
                <w:i w:val="0"/>
                <w:color w:val="1E293B"/>
                <w:sz w:val="18"/>
              </w:rPr>
              <w:t>Live opportunity supply</w:t>
            </w:r>
          </w:p>
        </w:tc>
        <w:tc>
          <w:tcPr>
            <w:tcW w:type="dxa" w:w="6760"/>
          </w:tcPr>
          <w:p>
            <w:pPr>
              <w:spacing w:after="0" w:line="264" w:lineRule="auto"/>
            </w:pPr>
            <w:r>
              <w:rPr>
                <w:rFonts w:ascii="Calibri" w:hAnsi="Calibri" w:eastAsia="Calibri"/>
                <w:b w:val="0"/>
                <w:i w:val="0"/>
                <w:color w:val="1E293B"/>
                <w:sz w:val="18"/>
              </w:rPr>
              <w:t>Nominate appropriate opportunities rather than using the Dojo as generic training.</w:t>
            </w:r>
          </w:p>
        </w:tc>
      </w:tr>
      <w:tr>
        <w:trPr>
          <w:cantSplit/>
        </w:trPr>
        <w:tc>
          <w:tcPr>
            <w:tcW w:type="dxa" w:w="2600"/>
          </w:tcPr>
          <w:p>
            <w:pPr>
              <w:spacing w:after="0" w:line="264" w:lineRule="auto"/>
            </w:pPr>
            <w:r>
              <w:rPr>
                <w:rFonts w:ascii="Calibri" w:hAnsi="Calibri" w:eastAsia="Calibri"/>
                <w:b w:val="0"/>
                <w:i w:val="0"/>
                <w:color w:val="1E293B"/>
                <w:sz w:val="18"/>
              </w:rPr>
              <w:t>Post-POV motion</w:t>
            </w:r>
          </w:p>
        </w:tc>
        <w:tc>
          <w:tcPr>
            <w:tcW w:type="dxa" w:w="6760"/>
          </w:tcPr>
          <w:p>
            <w:pPr>
              <w:spacing w:after="0" w:line="264" w:lineRule="auto"/>
            </w:pPr>
            <w:r>
              <w:rPr>
                <w:rFonts w:ascii="Calibri" w:hAnsi="Calibri" w:eastAsia="Calibri"/>
                <w:b w:val="0"/>
                <w:i w:val="0"/>
                <w:color w:val="1E293B"/>
                <w:sz w:val="18"/>
              </w:rPr>
              <w:t>Align sales, services and deployment responsibilities after success.</w:t>
            </w:r>
          </w:p>
        </w:tc>
      </w:tr>
    </w:tbl>
    <w:p>
      <w:pPr>
        <w:spacing w:after="20"/>
        <w:widowControl/>
      </w:pPr>
    </w:p>
    <w:p>
      <w:pPr>
        <w:pStyle w:val="Heading1"/>
        <w:widowControl/>
      </w:pPr>
      <w:r>
        <w:t>V. APJ Operating Model</w:t>
      </w:r>
    </w:p>
    <w:p>
      <w:pPr>
        <w:pStyle w:val="Heading2"/>
        <w:widowControl/>
      </w:pPr>
      <w:r>
        <w:t>29. Global Core and Regional Overlay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Globally Consistent Core</w:t>
            </w:r>
          </w:p>
        </w:tc>
        <w:tc>
          <w:tcPr>
            <w:tcW w:type="dxa" w:w="468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Regional Overlay</w:t>
            </w:r>
          </w:p>
        </w:tc>
      </w:tr>
      <w:tr>
        <w:trPr>
          <w:cantSplit/>
        </w:trPr>
        <w:tc>
          <w:tcPr>
            <w:tcW w:type="dxa" w:w="4680"/>
          </w:tcPr>
          <w:p>
            <w:pPr>
              <w:spacing w:after="0" w:line="264" w:lineRule="auto"/>
            </w:pPr>
            <w:r>
              <w:rPr>
                <w:rFonts w:ascii="Calibri" w:hAnsi="Calibri" w:eastAsia="Calibri"/>
                <w:b w:val="0"/>
                <w:i w:val="0"/>
                <w:color w:val="1E293B"/>
                <w:sz w:val="18"/>
              </w:rPr>
              <w:t>Program charter, accreditation levels and critical fails.</w:t>
            </w:r>
          </w:p>
        </w:tc>
        <w:tc>
          <w:tcPr>
            <w:tcW w:type="dxa" w:w="4680"/>
          </w:tcPr>
          <w:p>
            <w:pPr>
              <w:spacing w:after="0" w:line="264" w:lineRule="auto"/>
            </w:pPr>
            <w:r>
              <w:rPr>
                <w:rFonts w:ascii="Calibri" w:hAnsi="Calibri" w:eastAsia="Calibri"/>
                <w:b w:val="0"/>
                <w:i w:val="0"/>
                <w:color w:val="1E293B"/>
                <w:sz w:val="18"/>
              </w:rPr>
              <w:t>Delivery language and translated participant materials.</w:t>
            </w:r>
          </w:p>
        </w:tc>
      </w:tr>
      <w:tr>
        <w:trPr>
          <w:cantSplit/>
        </w:trPr>
        <w:tc>
          <w:tcPr>
            <w:tcW w:type="dxa" w:w="4680"/>
          </w:tcPr>
          <w:p>
            <w:pPr>
              <w:spacing w:after="0" w:line="264" w:lineRule="auto"/>
            </w:pPr>
            <w:r>
              <w:rPr>
                <w:rFonts w:ascii="Calibri" w:hAnsi="Calibri" w:eastAsia="Calibri"/>
                <w:b w:val="0"/>
                <w:i w:val="0"/>
                <w:color w:val="1E293B"/>
                <w:sz w:val="18"/>
              </w:rPr>
              <w:t>Golden Customer facts and core persona objectives.</w:t>
            </w:r>
          </w:p>
        </w:tc>
        <w:tc>
          <w:tcPr>
            <w:tcW w:type="dxa" w:w="4680"/>
          </w:tcPr>
          <w:p>
            <w:pPr>
              <w:spacing w:after="0" w:line="264" w:lineRule="auto"/>
            </w:pPr>
            <w:r>
              <w:rPr>
                <w:rFonts w:ascii="Calibri" w:hAnsi="Calibri" w:eastAsia="Calibri"/>
                <w:b w:val="0"/>
                <w:i w:val="0"/>
                <w:color w:val="1E293B"/>
                <w:sz w:val="18"/>
              </w:rPr>
              <w:t>Persona names, local objections and meeting norms.</w:t>
            </w:r>
          </w:p>
        </w:tc>
      </w:tr>
      <w:tr>
        <w:trPr>
          <w:cantSplit/>
        </w:trPr>
        <w:tc>
          <w:tcPr>
            <w:tcW w:type="dxa" w:w="4680"/>
          </w:tcPr>
          <w:p>
            <w:pPr>
              <w:spacing w:after="0" w:line="264" w:lineRule="auto"/>
            </w:pPr>
            <w:r>
              <w:rPr>
                <w:rFonts w:ascii="Calibri" w:hAnsi="Calibri" w:eastAsia="Calibri"/>
                <w:b w:val="0"/>
                <w:i w:val="0"/>
                <w:color w:val="1E293B"/>
                <w:sz w:val="18"/>
              </w:rPr>
              <w:t>Golden Tenant structure and seeded core scenarios.</w:t>
            </w:r>
          </w:p>
        </w:tc>
        <w:tc>
          <w:tcPr>
            <w:tcW w:type="dxa" w:w="4680"/>
          </w:tcPr>
          <w:p>
            <w:pPr>
              <w:spacing w:after="0" w:line="264" w:lineRule="auto"/>
            </w:pPr>
            <w:r>
              <w:rPr>
                <w:rFonts w:ascii="Calibri" w:hAnsi="Calibri" w:eastAsia="Calibri"/>
                <w:b w:val="0"/>
                <w:i w:val="0"/>
                <w:color w:val="1E293B"/>
                <w:sz w:val="18"/>
              </w:rPr>
              <w:t>Cloud emphasis and approved optional scenario packs.</w:t>
            </w:r>
          </w:p>
        </w:tc>
      </w:tr>
      <w:tr>
        <w:trPr>
          <w:cantSplit/>
        </w:trPr>
        <w:tc>
          <w:tcPr>
            <w:tcW w:type="dxa" w:w="4680"/>
          </w:tcPr>
          <w:p>
            <w:pPr>
              <w:spacing w:after="0" w:line="264" w:lineRule="auto"/>
            </w:pPr>
            <w:r>
              <w:rPr>
                <w:rFonts w:ascii="Calibri" w:hAnsi="Calibri" w:eastAsia="Calibri"/>
                <w:b w:val="0"/>
                <w:i w:val="0"/>
                <w:color w:val="1E293B"/>
                <w:sz w:val="18"/>
              </w:rPr>
              <w:t>POV lifecycle, templates and assessment rubric.</w:t>
            </w:r>
          </w:p>
        </w:tc>
        <w:tc>
          <w:tcPr>
            <w:tcW w:type="dxa" w:w="4680"/>
          </w:tcPr>
          <w:p>
            <w:pPr>
              <w:spacing w:after="0" w:line="264" w:lineRule="auto"/>
            </w:pPr>
            <w:r>
              <w:rPr>
                <w:rFonts w:ascii="Calibri" w:hAnsi="Calibri" w:eastAsia="Calibri"/>
                <w:b w:val="0"/>
                <w:i w:val="0"/>
                <w:color w:val="1E293B"/>
                <w:sz w:val="18"/>
              </w:rPr>
              <w:t>Locally relevant examples, buying motions and partner models.</w:t>
            </w:r>
          </w:p>
        </w:tc>
      </w:tr>
      <w:tr>
        <w:trPr>
          <w:cantSplit/>
        </w:trPr>
        <w:tc>
          <w:tcPr>
            <w:tcW w:type="dxa" w:w="4680"/>
          </w:tcPr>
          <w:p>
            <w:pPr>
              <w:spacing w:after="0" w:line="264" w:lineRule="auto"/>
            </w:pPr>
            <w:r>
              <w:rPr>
                <w:rFonts w:ascii="Calibri" w:hAnsi="Calibri" w:eastAsia="Calibri"/>
                <w:b w:val="0"/>
                <w:i w:val="0"/>
                <w:color w:val="1E293B"/>
                <w:sz w:val="18"/>
              </w:rPr>
              <w:t>Security, data handling and evidence requirements.</w:t>
            </w:r>
          </w:p>
        </w:tc>
        <w:tc>
          <w:tcPr>
            <w:tcW w:type="dxa" w:w="4680"/>
          </w:tcPr>
          <w:p>
            <w:pPr>
              <w:spacing w:after="0" w:line="264" w:lineRule="auto"/>
            </w:pPr>
            <w:r>
              <w:rPr>
                <w:rFonts w:ascii="Calibri" w:hAnsi="Calibri" w:eastAsia="Calibri"/>
                <w:b w:val="0"/>
                <w:i w:val="0"/>
                <w:color w:val="1E293B"/>
                <w:sz w:val="18"/>
              </w:rPr>
              <w:t>Regional legal, regulatory and data-residency guidance.</w:t>
            </w:r>
          </w:p>
        </w:tc>
      </w:tr>
      <w:tr>
        <w:trPr>
          <w:cantSplit/>
        </w:trPr>
        <w:tc>
          <w:tcPr>
            <w:tcW w:type="dxa" w:w="4680"/>
          </w:tcPr>
          <w:p>
            <w:pPr>
              <w:spacing w:after="0" w:line="264" w:lineRule="auto"/>
            </w:pPr>
            <w:r>
              <w:rPr>
                <w:rFonts w:ascii="Calibri" w:hAnsi="Calibri" w:eastAsia="Calibri"/>
                <w:b w:val="0"/>
                <w:i w:val="0"/>
                <w:color w:val="1E293B"/>
                <w:sz w:val="18"/>
              </w:rPr>
              <w:t>KPI definitions and reporting cadence.</w:t>
            </w:r>
          </w:p>
        </w:tc>
        <w:tc>
          <w:tcPr>
            <w:tcW w:type="dxa" w:w="4680"/>
          </w:tcPr>
          <w:p>
            <w:pPr>
              <w:spacing w:after="0" w:line="264" w:lineRule="auto"/>
            </w:pPr>
            <w:r>
              <w:rPr>
                <w:rFonts w:ascii="Calibri" w:hAnsi="Calibri" w:eastAsia="Calibri"/>
                <w:b w:val="0"/>
                <w:i w:val="0"/>
                <w:color w:val="1E293B"/>
                <w:sz w:val="18"/>
              </w:rPr>
              <w:t>Local targets based on market maturity and baseline.</w:t>
            </w:r>
          </w:p>
        </w:tc>
      </w:tr>
    </w:tbl>
    <w:p>
      <w:pPr>
        <w:spacing w:after="20"/>
        <w:widowControl/>
      </w:pPr>
    </w:p>
    <w:p>
      <w:pPr>
        <w:pStyle w:val="Heading3"/>
        <w:widowControl/>
      </w:pPr>
      <w:r>
        <w:t>Recommended APJ delivery clusters</w:t>
      </w:r>
    </w:p>
    <w:p>
      <w:pPr>
        <w:numPr>
          <w:ilvl w:val="0"/>
          <w:numId w:val="10"/>
        </w:numPr>
        <w:spacing w:after="80" w:line="300" w:lineRule="auto"/>
        <w:ind w:left="540" w:hanging="271"/>
        <w:widowControl/>
      </w:pPr>
      <w:r>
        <w:rPr>
          <w:rFonts w:ascii="Calibri" w:hAnsi="Calibri" w:eastAsia="Calibri"/>
          <w:b w:val="0"/>
          <w:i w:val="0"/>
          <w:color w:val="1E293B"/>
          <w:sz w:val="22"/>
        </w:rPr>
        <w:t>English core: ANZ, India and Southeast Asia cohorts where English delivery is effective.</w:t>
      </w:r>
    </w:p>
    <w:p>
      <w:pPr>
        <w:numPr>
          <w:ilvl w:val="0"/>
          <w:numId w:val="10"/>
        </w:numPr>
        <w:spacing w:after="80" w:line="300" w:lineRule="auto"/>
        <w:ind w:left="540" w:hanging="271"/>
        <w:widowControl/>
      </w:pPr>
      <w:r>
        <w:rPr>
          <w:rFonts w:ascii="Calibri" w:hAnsi="Calibri" w:eastAsia="Calibri"/>
          <w:b w:val="0"/>
          <w:i w:val="0"/>
          <w:color w:val="1E293B"/>
          <w:sz w:val="22"/>
        </w:rPr>
        <w:t>Japan: localized participant assets, Japanese role play and locally calibrated facilitators.</w:t>
      </w:r>
    </w:p>
    <w:p>
      <w:pPr>
        <w:numPr>
          <w:ilvl w:val="0"/>
          <w:numId w:val="10"/>
        </w:numPr>
        <w:spacing w:after="80" w:line="300" w:lineRule="auto"/>
        <w:ind w:left="540" w:hanging="271"/>
        <w:widowControl/>
      </w:pPr>
      <w:r>
        <w:rPr>
          <w:rFonts w:ascii="Calibri" w:hAnsi="Calibri" w:eastAsia="Calibri"/>
          <w:b w:val="0"/>
          <w:i w:val="0"/>
          <w:color w:val="1E293B"/>
          <w:sz w:val="22"/>
        </w:rPr>
        <w:t>Korea: localized participant assets, Korean role play and Korea partner-motion examples.</w:t>
      </w:r>
    </w:p>
    <w:p>
      <w:pPr>
        <w:numPr>
          <w:ilvl w:val="0"/>
          <w:numId w:val="10"/>
        </w:numPr>
        <w:spacing w:after="80" w:line="300" w:lineRule="auto"/>
        <w:ind w:left="540" w:hanging="271"/>
        <w:widowControl/>
      </w:pPr>
      <w:r>
        <w:rPr>
          <w:rFonts w:ascii="Calibri" w:hAnsi="Calibri" w:eastAsia="Calibri"/>
          <w:b w:val="0"/>
          <w:i w:val="0"/>
          <w:color w:val="1E293B"/>
          <w:sz w:val="22"/>
        </w:rPr>
        <w:t>Other markets: use English core plus a regional co-facilitator until demand supports a localized cohort.</w:t>
      </w:r>
    </w:p>
    <w:p>
      <w:pPr>
        <w:pStyle w:val="Heading3"/>
        <w:widowControl/>
      </w:pPr>
      <w:r>
        <w:t>Localization control</w:t>
      </w:r>
    </w:p>
    <w:p>
      <w:pPr>
        <w:spacing w:after="120" w:line="300" w:lineRule="auto"/>
        <w:widowControl/>
      </w:pPr>
      <w:r>
        <w:rPr>
          <w:rFonts w:ascii="Calibri" w:hAnsi="Calibri" w:eastAsia="Calibri"/>
          <w:b w:val="0"/>
          <w:i w:val="0"/>
          <w:color w:val="1E293B"/>
          <w:sz w:val="22"/>
        </w:rPr>
        <w:t>Regional teams may adapt examples and objections, but may not change critical fails, evidence requirements, security controls or accreditation levels without APJ governance approval. Regulatory content must be reviewed by the appropriate internal specialists before use.</w:t>
      </w:r>
    </w:p>
    <w:p>
      <w:pPr>
        <w:pStyle w:val="Heading2"/>
        <w:widowControl/>
      </w:pPr>
      <w:r>
        <w:t>30. Governance and RACI</w:t>
      </w:r>
    </w:p>
    <w:tbl>
      <w:tblPr>
        <w:tblStyle w:val="TableGrid"/>
        <w:tblW w:type="dxa" w:w="9360"/>
        <w:jc w:val="left"/>
        <w:tblLayout w:type="fixed"/>
        <w:tblLook w:firstColumn="1" w:firstRow="1" w:lastColumn="0" w:lastRow="0" w:noHBand="0" w:noVBand="1" w:val="04A0"/>
        <w:tblInd w:w="120" w:type="dxa"/>
      </w:tblPr>
      <w:tblGrid>
        <w:gridCol w:w="2500"/>
        <w:gridCol w:w="1700"/>
        <w:gridCol w:w="1950"/>
        <w:gridCol w:w="1960"/>
        <w:gridCol w:w="1250"/>
      </w:tblGrid>
      <w:tr>
        <w:trPr>
          <w:tblHeader w:val="true"/>
        </w:trPr>
        <w:tc>
          <w:tcPr>
            <w:tcW w:type="dxa" w:w="25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5"/>
              </w:rPr>
              <w:t>Workstream</w:t>
            </w:r>
          </w:p>
        </w:tc>
        <w:tc>
          <w:tcPr>
            <w:tcW w:type="dxa" w:w="17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5"/>
              </w:rPr>
              <w:t>A</w:t>
            </w:r>
          </w:p>
        </w:tc>
        <w:tc>
          <w:tcPr>
            <w:tcW w:type="dxa" w:w="19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5"/>
              </w:rPr>
              <w:t>R</w:t>
            </w:r>
          </w:p>
        </w:tc>
        <w:tc>
          <w:tcPr>
            <w:tcW w:type="dxa" w:w="19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5"/>
              </w:rPr>
              <w:t>C</w:t>
            </w:r>
          </w:p>
        </w:tc>
        <w:tc>
          <w:tcPr>
            <w:tcW w:type="dxa" w:w="12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5"/>
              </w:rPr>
              <w:t>I</w:t>
            </w:r>
          </w:p>
        </w:tc>
      </w:tr>
      <w:tr>
        <w:trPr>
          <w:cantSplit/>
        </w:trPr>
        <w:tc>
          <w:tcPr>
            <w:tcW w:type="dxa" w:w="2500"/>
          </w:tcPr>
          <w:p>
            <w:pPr>
              <w:spacing w:after="0" w:line="264" w:lineRule="auto"/>
            </w:pPr>
            <w:r>
              <w:rPr>
                <w:rFonts w:ascii="Calibri" w:hAnsi="Calibri" w:eastAsia="Calibri"/>
                <w:b w:val="0"/>
                <w:i w:val="0"/>
                <w:color w:val="1E293B"/>
                <w:sz w:val="15"/>
              </w:rPr>
              <w:t>Program strategy and funding</w:t>
            </w:r>
          </w:p>
        </w:tc>
        <w:tc>
          <w:tcPr>
            <w:tcW w:type="dxa" w:w="1700"/>
          </w:tcPr>
          <w:p>
            <w:pPr>
              <w:spacing w:after="0" w:line="264" w:lineRule="auto"/>
            </w:pPr>
            <w:r>
              <w:rPr>
                <w:rFonts w:ascii="Calibri" w:hAnsi="Calibri" w:eastAsia="Calibri"/>
                <w:b w:val="0"/>
                <w:i w:val="0"/>
                <w:color w:val="1E293B"/>
                <w:sz w:val="15"/>
              </w:rPr>
              <w:t>APJ Partner Leadership</w:t>
            </w:r>
          </w:p>
        </w:tc>
        <w:tc>
          <w:tcPr>
            <w:tcW w:type="dxa" w:w="1950"/>
          </w:tcPr>
          <w:p>
            <w:pPr>
              <w:spacing w:after="0" w:line="264" w:lineRule="auto"/>
            </w:pPr>
            <w:r>
              <w:rPr>
                <w:rFonts w:ascii="Calibri" w:hAnsi="Calibri" w:eastAsia="Calibri"/>
                <w:b w:val="0"/>
                <w:i w:val="0"/>
                <w:color w:val="1E293B"/>
                <w:sz w:val="15"/>
              </w:rPr>
              <w:t>APJ PSA Program Owner</w:t>
            </w:r>
          </w:p>
        </w:tc>
        <w:tc>
          <w:tcPr>
            <w:tcW w:type="dxa" w:w="1960"/>
          </w:tcPr>
          <w:p>
            <w:pPr>
              <w:spacing w:after="0" w:line="264" w:lineRule="auto"/>
            </w:pPr>
            <w:r>
              <w:rPr>
                <w:rFonts w:ascii="Calibri" w:hAnsi="Calibri" w:eastAsia="Calibri"/>
                <w:b w:val="0"/>
                <w:i w:val="0"/>
                <w:color w:val="1E293B"/>
                <w:sz w:val="15"/>
              </w:rPr>
              <w:t>Global Enablement, Regional Leaders</w:t>
            </w:r>
          </w:p>
        </w:tc>
        <w:tc>
          <w:tcPr>
            <w:tcW w:type="dxa" w:w="1250"/>
          </w:tcPr>
          <w:p>
            <w:pPr>
              <w:spacing w:after="0" w:line="264" w:lineRule="auto"/>
            </w:pPr>
            <w:r>
              <w:rPr>
                <w:rFonts w:ascii="Calibri" w:hAnsi="Calibri" w:eastAsia="Calibri"/>
                <w:b w:val="0"/>
                <w:i w:val="0"/>
                <w:color w:val="1E293B"/>
                <w:sz w:val="15"/>
              </w:rPr>
              <w:t>Field teams</w:t>
            </w:r>
          </w:p>
        </w:tc>
      </w:tr>
      <w:tr>
        <w:trPr>
          <w:cantSplit/>
        </w:trPr>
        <w:tc>
          <w:tcPr>
            <w:tcW w:type="dxa" w:w="2500"/>
          </w:tcPr>
          <w:p>
            <w:pPr>
              <w:spacing w:after="0" w:line="264" w:lineRule="auto"/>
            </w:pPr>
            <w:r>
              <w:rPr>
                <w:rFonts w:ascii="Calibri" w:hAnsi="Calibri" w:eastAsia="Calibri"/>
                <w:b w:val="0"/>
                <w:i w:val="0"/>
                <w:color w:val="1E293B"/>
                <w:sz w:val="15"/>
              </w:rPr>
              <w:t>Curriculum and rubric</w:t>
            </w:r>
          </w:p>
        </w:tc>
        <w:tc>
          <w:tcPr>
            <w:tcW w:type="dxa" w:w="1700"/>
          </w:tcPr>
          <w:p>
            <w:pPr>
              <w:spacing w:after="0" w:line="264" w:lineRule="auto"/>
            </w:pPr>
            <w:r>
              <w:rPr>
                <w:rFonts w:ascii="Calibri" w:hAnsi="Calibri" w:eastAsia="Calibri"/>
                <w:b w:val="0"/>
                <w:i w:val="0"/>
                <w:color w:val="1E293B"/>
                <w:sz w:val="15"/>
              </w:rPr>
              <w:t>APJ PSA Program Owner</w:t>
            </w:r>
          </w:p>
        </w:tc>
        <w:tc>
          <w:tcPr>
            <w:tcW w:type="dxa" w:w="1950"/>
          </w:tcPr>
          <w:p>
            <w:pPr>
              <w:spacing w:after="0" w:line="264" w:lineRule="auto"/>
            </w:pPr>
            <w:r>
              <w:rPr>
                <w:rFonts w:ascii="Calibri" w:hAnsi="Calibri" w:eastAsia="Calibri"/>
                <w:b w:val="0"/>
                <w:i w:val="0"/>
                <w:color w:val="1E293B"/>
                <w:sz w:val="15"/>
              </w:rPr>
              <w:t>Curriculum Lead</w:t>
            </w:r>
          </w:p>
        </w:tc>
        <w:tc>
          <w:tcPr>
            <w:tcW w:type="dxa" w:w="1960"/>
          </w:tcPr>
          <w:p>
            <w:pPr>
              <w:spacing w:after="0" w:line="264" w:lineRule="auto"/>
            </w:pPr>
            <w:r>
              <w:rPr>
                <w:rFonts w:ascii="Calibri" w:hAnsi="Calibri" w:eastAsia="Calibri"/>
                <w:b w:val="0"/>
                <w:i w:val="0"/>
                <w:color w:val="1E293B"/>
                <w:sz w:val="15"/>
              </w:rPr>
              <w:t>Global Enablement, Product SMEs</w:t>
            </w:r>
          </w:p>
        </w:tc>
        <w:tc>
          <w:tcPr>
            <w:tcW w:type="dxa" w:w="1250"/>
          </w:tcPr>
          <w:p>
            <w:pPr>
              <w:spacing w:after="0" w:line="264" w:lineRule="auto"/>
            </w:pPr>
            <w:r>
              <w:rPr>
                <w:rFonts w:ascii="Calibri" w:hAnsi="Calibri" w:eastAsia="Calibri"/>
                <w:b w:val="0"/>
                <w:i w:val="0"/>
                <w:color w:val="1E293B"/>
                <w:sz w:val="15"/>
              </w:rPr>
              <w:t>Facilitators</w:t>
            </w:r>
          </w:p>
        </w:tc>
      </w:tr>
      <w:tr>
        <w:trPr>
          <w:cantSplit/>
        </w:trPr>
        <w:tc>
          <w:tcPr>
            <w:tcW w:type="dxa" w:w="2500"/>
          </w:tcPr>
          <w:p>
            <w:pPr>
              <w:spacing w:after="0" w:line="264" w:lineRule="auto"/>
            </w:pPr>
            <w:r>
              <w:rPr>
                <w:rFonts w:ascii="Calibri" w:hAnsi="Calibri" w:eastAsia="Calibri"/>
                <w:b w:val="0"/>
                <w:i w:val="0"/>
                <w:color w:val="1E293B"/>
                <w:sz w:val="15"/>
              </w:rPr>
              <w:t>Golden Tenant and lab security</w:t>
            </w:r>
          </w:p>
        </w:tc>
        <w:tc>
          <w:tcPr>
            <w:tcW w:type="dxa" w:w="1700"/>
          </w:tcPr>
          <w:p>
            <w:pPr>
              <w:spacing w:after="0" w:line="264" w:lineRule="auto"/>
            </w:pPr>
            <w:r>
              <w:rPr>
                <w:rFonts w:ascii="Calibri" w:hAnsi="Calibri" w:eastAsia="Calibri"/>
                <w:b w:val="0"/>
                <w:i w:val="0"/>
                <w:color w:val="1E293B"/>
                <w:sz w:val="15"/>
              </w:rPr>
              <w:t>APJ PSA Program Owner</w:t>
            </w:r>
          </w:p>
        </w:tc>
        <w:tc>
          <w:tcPr>
            <w:tcW w:type="dxa" w:w="1950"/>
          </w:tcPr>
          <w:p>
            <w:pPr>
              <w:spacing w:after="0" w:line="264" w:lineRule="auto"/>
            </w:pPr>
            <w:r>
              <w:rPr>
                <w:rFonts w:ascii="Calibri" w:hAnsi="Calibri" w:eastAsia="Calibri"/>
                <w:b w:val="0"/>
                <w:i w:val="0"/>
                <w:color w:val="1E293B"/>
                <w:sz w:val="15"/>
              </w:rPr>
              <w:t>APJ Lab Owner</w:t>
            </w:r>
          </w:p>
        </w:tc>
        <w:tc>
          <w:tcPr>
            <w:tcW w:type="dxa" w:w="1960"/>
          </w:tcPr>
          <w:p>
            <w:pPr>
              <w:spacing w:after="0" w:line="264" w:lineRule="auto"/>
            </w:pPr>
            <w:r>
              <w:rPr>
                <w:rFonts w:ascii="Calibri" w:hAnsi="Calibri" w:eastAsia="Calibri"/>
                <w:b w:val="0"/>
                <w:i w:val="0"/>
                <w:color w:val="1E293B"/>
                <w:sz w:val="15"/>
              </w:rPr>
              <w:t>Product, Security, Legal</w:t>
            </w:r>
          </w:p>
        </w:tc>
        <w:tc>
          <w:tcPr>
            <w:tcW w:type="dxa" w:w="1250"/>
          </w:tcPr>
          <w:p>
            <w:pPr>
              <w:spacing w:after="0" w:line="264" w:lineRule="auto"/>
            </w:pPr>
            <w:r>
              <w:rPr>
                <w:rFonts w:ascii="Calibri" w:hAnsi="Calibri" w:eastAsia="Calibri"/>
                <w:b w:val="0"/>
                <w:i w:val="0"/>
                <w:color w:val="1E293B"/>
                <w:sz w:val="15"/>
              </w:rPr>
              <w:t>Regional facilitators</w:t>
            </w:r>
          </w:p>
        </w:tc>
      </w:tr>
      <w:tr>
        <w:trPr>
          <w:cantSplit/>
        </w:trPr>
        <w:tc>
          <w:tcPr>
            <w:tcW w:type="dxa" w:w="2500"/>
          </w:tcPr>
          <w:p>
            <w:pPr>
              <w:spacing w:after="0" w:line="264" w:lineRule="auto"/>
            </w:pPr>
            <w:r>
              <w:rPr>
                <w:rFonts w:ascii="Calibri" w:hAnsi="Calibri" w:eastAsia="Calibri"/>
                <w:b w:val="0"/>
                <w:i w:val="0"/>
                <w:color w:val="1E293B"/>
                <w:sz w:val="15"/>
              </w:rPr>
              <w:t>Partner nomination</w:t>
            </w:r>
          </w:p>
        </w:tc>
        <w:tc>
          <w:tcPr>
            <w:tcW w:type="dxa" w:w="1700"/>
          </w:tcPr>
          <w:p>
            <w:pPr>
              <w:spacing w:after="0" w:line="264" w:lineRule="auto"/>
            </w:pPr>
            <w:r>
              <w:rPr>
                <w:rFonts w:ascii="Calibri" w:hAnsi="Calibri" w:eastAsia="Calibri"/>
                <w:b w:val="0"/>
                <w:i w:val="0"/>
                <w:color w:val="1E293B"/>
                <w:sz w:val="15"/>
              </w:rPr>
              <w:t>Regional Partner Leader</w:t>
            </w:r>
          </w:p>
        </w:tc>
        <w:tc>
          <w:tcPr>
            <w:tcW w:type="dxa" w:w="1950"/>
          </w:tcPr>
          <w:p>
            <w:pPr>
              <w:spacing w:after="0" w:line="264" w:lineRule="auto"/>
            </w:pPr>
            <w:r>
              <w:rPr>
                <w:rFonts w:ascii="Calibri" w:hAnsi="Calibri" w:eastAsia="Calibri"/>
                <w:b w:val="0"/>
                <w:i w:val="0"/>
                <w:color w:val="1E293B"/>
                <w:sz w:val="15"/>
              </w:rPr>
              <w:t>Regional PSA / Partner Manager</w:t>
            </w:r>
          </w:p>
        </w:tc>
        <w:tc>
          <w:tcPr>
            <w:tcW w:type="dxa" w:w="1960"/>
          </w:tcPr>
          <w:p>
            <w:pPr>
              <w:spacing w:after="0" w:line="264" w:lineRule="auto"/>
            </w:pPr>
            <w:r>
              <w:rPr>
                <w:rFonts w:ascii="Calibri" w:hAnsi="Calibri" w:eastAsia="Calibri"/>
                <w:b w:val="0"/>
                <w:i w:val="0"/>
                <w:color w:val="1E293B"/>
                <w:sz w:val="15"/>
              </w:rPr>
              <w:t>AE/SE, Partner Practice Lead</w:t>
            </w:r>
          </w:p>
        </w:tc>
        <w:tc>
          <w:tcPr>
            <w:tcW w:type="dxa" w:w="1250"/>
          </w:tcPr>
          <w:p>
            <w:pPr>
              <w:spacing w:after="0" w:line="264" w:lineRule="auto"/>
            </w:pPr>
            <w:r>
              <w:rPr>
                <w:rFonts w:ascii="Calibri" w:hAnsi="Calibri" w:eastAsia="Calibri"/>
                <w:b w:val="0"/>
                <w:i w:val="0"/>
                <w:color w:val="1E293B"/>
                <w:sz w:val="15"/>
              </w:rPr>
              <w:t>Program Owner</w:t>
            </w:r>
          </w:p>
        </w:tc>
      </w:tr>
      <w:tr>
        <w:trPr>
          <w:cantSplit/>
        </w:trPr>
        <w:tc>
          <w:tcPr>
            <w:tcW w:type="dxa" w:w="2500"/>
          </w:tcPr>
          <w:p>
            <w:pPr>
              <w:spacing w:after="0" w:line="264" w:lineRule="auto"/>
            </w:pPr>
            <w:r>
              <w:rPr>
                <w:rFonts w:ascii="Calibri" w:hAnsi="Calibri" w:eastAsia="Calibri"/>
                <w:b w:val="0"/>
                <w:i w:val="0"/>
                <w:color w:val="1E293B"/>
                <w:sz w:val="15"/>
              </w:rPr>
              <w:t>Workshop delivery</w:t>
            </w:r>
          </w:p>
        </w:tc>
        <w:tc>
          <w:tcPr>
            <w:tcW w:type="dxa" w:w="1700"/>
          </w:tcPr>
          <w:p>
            <w:pPr>
              <w:spacing w:after="0" w:line="264" w:lineRule="auto"/>
            </w:pPr>
            <w:r>
              <w:rPr>
                <w:rFonts w:ascii="Calibri" w:hAnsi="Calibri" w:eastAsia="Calibri"/>
                <w:b w:val="0"/>
                <w:i w:val="0"/>
                <w:color w:val="1E293B"/>
                <w:sz w:val="15"/>
              </w:rPr>
              <w:t>Regional PSA Lead</w:t>
            </w:r>
          </w:p>
        </w:tc>
        <w:tc>
          <w:tcPr>
            <w:tcW w:type="dxa" w:w="1950"/>
          </w:tcPr>
          <w:p>
            <w:pPr>
              <w:spacing w:after="0" w:line="264" w:lineRule="auto"/>
            </w:pPr>
            <w:r>
              <w:rPr>
                <w:rFonts w:ascii="Calibri" w:hAnsi="Calibri" w:eastAsia="Calibri"/>
                <w:b w:val="0"/>
                <w:i w:val="0"/>
                <w:color w:val="1E293B"/>
                <w:sz w:val="15"/>
              </w:rPr>
              <w:t>Certified Facilitators</w:t>
            </w:r>
          </w:p>
        </w:tc>
        <w:tc>
          <w:tcPr>
            <w:tcW w:type="dxa" w:w="1960"/>
          </w:tcPr>
          <w:p>
            <w:pPr>
              <w:spacing w:after="0" w:line="264" w:lineRule="auto"/>
            </w:pPr>
            <w:r>
              <w:rPr>
                <w:rFonts w:ascii="Calibri" w:hAnsi="Calibri" w:eastAsia="Calibri"/>
                <w:b w:val="0"/>
                <w:i w:val="0"/>
                <w:color w:val="1E293B"/>
                <w:sz w:val="15"/>
              </w:rPr>
              <w:t>Lab Owner, Field Mentors</w:t>
            </w:r>
          </w:p>
        </w:tc>
        <w:tc>
          <w:tcPr>
            <w:tcW w:type="dxa" w:w="1250"/>
          </w:tcPr>
          <w:p>
            <w:pPr>
              <w:spacing w:after="0" w:line="264" w:lineRule="auto"/>
            </w:pPr>
            <w:r>
              <w:rPr>
                <w:rFonts w:ascii="Calibri" w:hAnsi="Calibri" w:eastAsia="Calibri"/>
                <w:b w:val="0"/>
                <w:i w:val="0"/>
                <w:color w:val="1E293B"/>
                <w:sz w:val="15"/>
              </w:rPr>
              <w:t>Partner leaders</w:t>
            </w:r>
          </w:p>
        </w:tc>
      </w:tr>
      <w:tr>
        <w:trPr>
          <w:cantSplit/>
        </w:trPr>
        <w:tc>
          <w:tcPr>
            <w:tcW w:type="dxa" w:w="2500"/>
          </w:tcPr>
          <w:p>
            <w:pPr>
              <w:spacing w:after="0" w:line="264" w:lineRule="auto"/>
            </w:pPr>
            <w:r>
              <w:rPr>
                <w:rFonts w:ascii="Calibri" w:hAnsi="Calibri" w:eastAsia="Calibri"/>
                <w:b w:val="0"/>
                <w:i w:val="0"/>
                <w:color w:val="1E293B"/>
                <w:sz w:val="15"/>
              </w:rPr>
              <w:t>Field accreditation</w:t>
            </w:r>
          </w:p>
        </w:tc>
        <w:tc>
          <w:tcPr>
            <w:tcW w:type="dxa" w:w="1700"/>
          </w:tcPr>
          <w:p>
            <w:pPr>
              <w:spacing w:after="0" w:line="264" w:lineRule="auto"/>
            </w:pPr>
            <w:r>
              <w:rPr>
                <w:rFonts w:ascii="Calibri" w:hAnsi="Calibri" w:eastAsia="Calibri"/>
                <w:b w:val="0"/>
                <w:i w:val="0"/>
                <w:color w:val="1E293B"/>
                <w:sz w:val="15"/>
              </w:rPr>
              <w:t>APJ Certification Board</w:t>
            </w:r>
          </w:p>
        </w:tc>
        <w:tc>
          <w:tcPr>
            <w:tcW w:type="dxa" w:w="1950"/>
          </w:tcPr>
          <w:p>
            <w:pPr>
              <w:spacing w:after="0" w:line="264" w:lineRule="auto"/>
            </w:pPr>
            <w:r>
              <w:rPr>
                <w:rFonts w:ascii="Calibri" w:hAnsi="Calibri" w:eastAsia="Calibri"/>
                <w:b w:val="0"/>
                <w:i w:val="0"/>
                <w:color w:val="1E293B"/>
                <w:sz w:val="15"/>
              </w:rPr>
              <w:t>Field Mentor</w:t>
            </w:r>
          </w:p>
        </w:tc>
        <w:tc>
          <w:tcPr>
            <w:tcW w:type="dxa" w:w="1960"/>
          </w:tcPr>
          <w:p>
            <w:pPr>
              <w:spacing w:after="0" w:line="264" w:lineRule="auto"/>
            </w:pPr>
            <w:r>
              <w:rPr>
                <w:rFonts w:ascii="Calibri" w:hAnsi="Calibri" w:eastAsia="Calibri"/>
                <w:b w:val="0"/>
                <w:i w:val="0"/>
                <w:color w:val="1E293B"/>
                <w:sz w:val="15"/>
              </w:rPr>
              <w:t>Regional PSA/SE</w:t>
            </w:r>
          </w:p>
        </w:tc>
        <w:tc>
          <w:tcPr>
            <w:tcW w:type="dxa" w:w="1250"/>
          </w:tcPr>
          <w:p>
            <w:pPr>
              <w:spacing w:after="0" w:line="264" w:lineRule="auto"/>
            </w:pPr>
            <w:r>
              <w:rPr>
                <w:rFonts w:ascii="Calibri" w:hAnsi="Calibri" w:eastAsia="Calibri"/>
                <w:b w:val="0"/>
                <w:i w:val="0"/>
                <w:color w:val="1E293B"/>
                <w:sz w:val="15"/>
              </w:rPr>
              <w:t>Participant manager</w:t>
            </w:r>
          </w:p>
        </w:tc>
      </w:tr>
      <w:tr>
        <w:trPr>
          <w:cantSplit/>
        </w:trPr>
        <w:tc>
          <w:tcPr>
            <w:tcW w:type="dxa" w:w="2500"/>
          </w:tcPr>
          <w:p>
            <w:pPr>
              <w:spacing w:after="0" w:line="264" w:lineRule="auto"/>
            </w:pPr>
            <w:r>
              <w:rPr>
                <w:rFonts w:ascii="Calibri" w:hAnsi="Calibri" w:eastAsia="Calibri"/>
                <w:b w:val="0"/>
                <w:i w:val="0"/>
                <w:color w:val="1E293B"/>
                <w:sz w:val="15"/>
              </w:rPr>
              <w:t>Measurement and reporting</w:t>
            </w:r>
          </w:p>
        </w:tc>
        <w:tc>
          <w:tcPr>
            <w:tcW w:type="dxa" w:w="1700"/>
          </w:tcPr>
          <w:p>
            <w:pPr>
              <w:spacing w:after="0" w:line="264" w:lineRule="auto"/>
            </w:pPr>
            <w:r>
              <w:rPr>
                <w:rFonts w:ascii="Calibri" w:hAnsi="Calibri" w:eastAsia="Calibri"/>
                <w:b w:val="0"/>
                <w:i w:val="0"/>
                <w:color w:val="1E293B"/>
                <w:sz w:val="15"/>
              </w:rPr>
              <w:t>APJ Partner Leadership</w:t>
            </w:r>
          </w:p>
        </w:tc>
        <w:tc>
          <w:tcPr>
            <w:tcW w:type="dxa" w:w="1950"/>
          </w:tcPr>
          <w:p>
            <w:pPr>
              <w:spacing w:after="0" w:line="264" w:lineRule="auto"/>
            </w:pPr>
            <w:r>
              <w:rPr>
                <w:rFonts w:ascii="Calibri" w:hAnsi="Calibri" w:eastAsia="Calibri"/>
                <w:b w:val="0"/>
                <w:i w:val="0"/>
                <w:color w:val="1E293B"/>
                <w:sz w:val="15"/>
              </w:rPr>
              <w:t>Program Operations</w:t>
            </w:r>
          </w:p>
        </w:tc>
        <w:tc>
          <w:tcPr>
            <w:tcW w:type="dxa" w:w="1960"/>
          </w:tcPr>
          <w:p>
            <w:pPr>
              <w:spacing w:after="0" w:line="264" w:lineRule="auto"/>
            </w:pPr>
            <w:r>
              <w:rPr>
                <w:rFonts w:ascii="Calibri" w:hAnsi="Calibri" w:eastAsia="Calibri"/>
                <w:b w:val="0"/>
                <w:i w:val="0"/>
                <w:color w:val="1E293B"/>
                <w:sz w:val="15"/>
              </w:rPr>
              <w:t>Regional leaders</w:t>
            </w:r>
          </w:p>
        </w:tc>
        <w:tc>
          <w:tcPr>
            <w:tcW w:type="dxa" w:w="1250"/>
          </w:tcPr>
          <w:p>
            <w:pPr>
              <w:spacing w:after="0" w:line="264" w:lineRule="auto"/>
            </w:pPr>
            <w:r>
              <w:rPr>
                <w:rFonts w:ascii="Calibri" w:hAnsi="Calibri" w:eastAsia="Calibri"/>
                <w:b w:val="0"/>
                <w:i w:val="0"/>
                <w:color w:val="1E293B"/>
                <w:sz w:val="15"/>
              </w:rPr>
              <w:t>Stakeholders</w:t>
            </w:r>
          </w:p>
        </w:tc>
      </w:tr>
    </w:tbl>
    <w:p>
      <w:pPr>
        <w:spacing w:after="20"/>
        <w:widowControl/>
      </w:pPr>
    </w:p>
    <w:p>
      <w:pPr>
        <w:spacing w:after="120" w:line="300" w:lineRule="auto"/>
        <w:widowControl/>
      </w:pPr>
      <w:r>
        <w:rPr>
          <w:rFonts w:ascii="Calibri" w:hAnsi="Calibri" w:eastAsia="Calibri"/>
          <w:b w:val="0"/>
          <w:i w:val="0"/>
          <w:color w:val="64748B"/>
          <w:sz w:val="18"/>
        </w:rPr>
        <w:t>A = Accountable, R = Responsible, C = Consulted, I = Informed.</w:t>
      </w:r>
    </w:p>
    <w:p>
      <w:pPr>
        <w:pStyle w:val="Heading2"/>
        <w:widowControl/>
      </w:pPr>
      <w:r>
        <w:t>31. Program Metrics</w:t>
      </w:r>
    </w:p>
    <w:p>
      <w:pPr>
        <w:pStyle w:val="Heading3"/>
        <w:widowControl/>
      </w:pPr>
      <w:r>
        <w:t>North Star</w:t>
      </w:r>
    </w:p>
    <w:p>
      <w:pPr>
        <w:keepLines/>
        <w:spacing w:before="80" w:after="200"/>
        <w:widowControl/>
      </w:pPr>
      <w:r>
        <w:rPr>
          <w:rFonts w:ascii="Calibri" w:hAnsi="Calibri" w:eastAsia="Calibri"/>
          <w:b/>
          <w:i w:val="0"/>
          <w:color w:val="000000"/>
          <w:sz w:val="21"/>
        </w:rPr>
        <w:t xml:space="preserve">QUALIFIED PARTNER-LED DECISION RATE: </w:t>
      </w:r>
      <w:r>
        <w:rPr>
          <w:rFonts w:ascii="Calibri" w:hAnsi="Calibri" w:eastAsia="Calibri"/>
          <w:b w:val="0"/>
          <w:i w:val="0"/>
          <w:color w:val="1E293B"/>
          <w:sz w:val="21"/>
        </w:rPr>
        <w:t>Qualified partner-led POVs that begin with agreed success criteria and reach an executive playback with a clear decision, divided by all partner-led POVs started in the measurement period.</w:t>
      </w:r>
    </w:p>
    <w:tbl>
      <w:tblPr>
        <w:tblStyle w:val="TableGrid"/>
        <w:tblW w:type="dxa" w:w="9360"/>
        <w:jc w:val="left"/>
        <w:tblLayout w:type="fixed"/>
        <w:tblLook w:firstColumn="1" w:firstRow="1" w:lastColumn="0" w:lastRow="0" w:noHBand="0" w:noVBand="1" w:val="04A0"/>
        <w:tblInd w:w="120" w:type="dxa"/>
      </w:tblPr>
      <w:tblGrid>
        <w:gridCol w:w="1850"/>
        <w:gridCol w:w="4850"/>
        <w:gridCol w:w="2660"/>
      </w:tblGrid>
      <w:tr>
        <w:trPr>
          <w:tblHeader w:val="true"/>
        </w:trPr>
        <w:tc>
          <w:tcPr>
            <w:tcW w:type="dxa" w:w="18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Metric Layer</w:t>
            </w:r>
          </w:p>
        </w:tc>
        <w:tc>
          <w:tcPr>
            <w:tcW w:type="dxa" w:w="48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Measures</w:t>
            </w:r>
          </w:p>
        </w:tc>
        <w:tc>
          <w:tcPr>
            <w:tcW w:type="dxa" w:w="26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Initial Guidance</w:t>
            </w:r>
          </w:p>
        </w:tc>
      </w:tr>
      <w:tr>
        <w:trPr>
          <w:cantSplit/>
        </w:trPr>
        <w:tc>
          <w:tcPr>
            <w:tcW w:type="dxa" w:w="1850"/>
          </w:tcPr>
          <w:p>
            <w:pPr>
              <w:spacing w:after="0" w:line="264" w:lineRule="auto"/>
            </w:pPr>
            <w:r>
              <w:rPr>
                <w:rFonts w:ascii="Calibri" w:hAnsi="Calibri" w:eastAsia="Calibri"/>
                <w:b w:val="0"/>
                <w:i w:val="0"/>
                <w:color w:val="1E293B"/>
                <w:sz w:val="17"/>
              </w:rPr>
              <w:t>Readiness</w:t>
            </w:r>
          </w:p>
        </w:tc>
        <w:tc>
          <w:tcPr>
            <w:tcW w:type="dxa" w:w="4850"/>
          </w:tcPr>
          <w:p>
            <w:pPr>
              <w:spacing w:after="0" w:line="264" w:lineRule="auto"/>
            </w:pPr>
            <w:r>
              <w:rPr>
                <w:rFonts w:ascii="Calibri" w:hAnsi="Calibri" w:eastAsia="Calibri"/>
                <w:b w:val="0"/>
                <w:i w:val="0"/>
                <w:color w:val="1E293B"/>
                <w:sz w:val="17"/>
              </w:rPr>
              <w:t>Pre-work completion, assessment score, capstone pass and time to accreditation.</w:t>
            </w:r>
          </w:p>
        </w:tc>
        <w:tc>
          <w:tcPr>
            <w:tcW w:type="dxa" w:w="2660"/>
          </w:tcPr>
          <w:p>
            <w:pPr>
              <w:spacing w:after="0" w:line="264" w:lineRule="auto"/>
            </w:pPr>
            <w:r>
              <w:rPr>
                <w:rFonts w:ascii="Calibri" w:hAnsi="Calibri" w:eastAsia="Calibri"/>
                <w:b w:val="0"/>
                <w:i w:val="0"/>
                <w:color w:val="1E293B"/>
                <w:sz w:val="17"/>
              </w:rPr>
              <w:t>Track by partner, region and cohort.</w:t>
            </w:r>
          </w:p>
        </w:tc>
      </w:tr>
      <w:tr>
        <w:trPr>
          <w:cantSplit/>
        </w:trPr>
        <w:tc>
          <w:tcPr>
            <w:tcW w:type="dxa" w:w="1850"/>
          </w:tcPr>
          <w:p>
            <w:pPr>
              <w:spacing w:after="0" w:line="264" w:lineRule="auto"/>
            </w:pPr>
            <w:r>
              <w:rPr>
                <w:rFonts w:ascii="Calibri" w:hAnsi="Calibri" w:eastAsia="Calibri"/>
                <w:b w:val="0"/>
                <w:i w:val="0"/>
                <w:color w:val="1E293B"/>
                <w:sz w:val="17"/>
              </w:rPr>
              <w:t>Execution quality</w:t>
            </w:r>
          </w:p>
        </w:tc>
        <w:tc>
          <w:tcPr>
            <w:tcW w:type="dxa" w:w="4850"/>
          </w:tcPr>
          <w:p>
            <w:pPr>
              <w:spacing w:after="0" w:line="264" w:lineRule="auto"/>
            </w:pPr>
            <w:r>
              <w:rPr>
                <w:rFonts w:ascii="Calibri" w:hAnsi="Calibri" w:eastAsia="Calibri"/>
                <w:b w:val="0"/>
                <w:i w:val="0"/>
                <w:color w:val="1E293B"/>
                <w:sz w:val="17"/>
              </w:rPr>
              <w:t>Success Plan coverage, environment failure rate, first-value timing, playback completion and avoidable escalation.</w:t>
            </w:r>
          </w:p>
        </w:tc>
        <w:tc>
          <w:tcPr>
            <w:tcW w:type="dxa" w:w="2660"/>
          </w:tcPr>
          <w:p>
            <w:pPr>
              <w:spacing w:after="0" w:line="264" w:lineRule="auto"/>
            </w:pPr>
            <w:r>
              <w:rPr>
                <w:rFonts w:ascii="Calibri" w:hAnsi="Calibri" w:eastAsia="Calibri"/>
                <w:b w:val="0"/>
                <w:i w:val="0"/>
                <w:color w:val="1E293B"/>
                <w:sz w:val="17"/>
              </w:rPr>
              <w:t>Use operational targets after pilot baseline.</w:t>
            </w:r>
          </w:p>
        </w:tc>
      </w:tr>
      <w:tr>
        <w:trPr>
          <w:cantSplit/>
        </w:trPr>
        <w:tc>
          <w:tcPr>
            <w:tcW w:type="dxa" w:w="1850"/>
          </w:tcPr>
          <w:p>
            <w:pPr>
              <w:spacing w:after="0" w:line="264" w:lineRule="auto"/>
            </w:pPr>
            <w:r>
              <w:rPr>
                <w:rFonts w:ascii="Calibri" w:hAnsi="Calibri" w:eastAsia="Calibri"/>
                <w:b w:val="0"/>
                <w:i w:val="0"/>
                <w:color w:val="1E293B"/>
                <w:sz w:val="17"/>
              </w:rPr>
              <w:t>Partner ownership</w:t>
            </w:r>
          </w:p>
        </w:tc>
        <w:tc>
          <w:tcPr>
            <w:tcW w:type="dxa" w:w="4850"/>
          </w:tcPr>
          <w:p>
            <w:pPr>
              <w:spacing w:after="0" w:line="264" w:lineRule="auto"/>
            </w:pPr>
            <w:r>
              <w:rPr>
                <w:rFonts w:ascii="Calibri" w:hAnsi="Calibri" w:eastAsia="Calibri"/>
                <w:b w:val="0"/>
                <w:i w:val="0"/>
                <w:color w:val="1E293B"/>
                <w:sz w:val="17"/>
              </w:rPr>
              <w:t>Share of activities led by partner; field mentor intervention; partner-led POV count.</w:t>
            </w:r>
          </w:p>
        </w:tc>
        <w:tc>
          <w:tcPr>
            <w:tcW w:type="dxa" w:w="2660"/>
          </w:tcPr>
          <w:p>
            <w:pPr>
              <w:spacing w:after="0" w:line="264" w:lineRule="auto"/>
            </w:pPr>
            <w:r>
              <w:rPr>
                <w:rFonts w:ascii="Calibri" w:hAnsi="Calibri" w:eastAsia="Calibri"/>
                <w:b w:val="0"/>
                <w:i w:val="0"/>
                <w:color w:val="1E293B"/>
                <w:sz w:val="17"/>
              </w:rPr>
              <w:t>Measure progression, not only volume.</w:t>
            </w:r>
          </w:p>
        </w:tc>
      </w:tr>
      <w:tr>
        <w:trPr>
          <w:cantSplit/>
        </w:trPr>
        <w:tc>
          <w:tcPr>
            <w:tcW w:type="dxa" w:w="1850"/>
          </w:tcPr>
          <w:p>
            <w:pPr>
              <w:spacing w:after="0" w:line="264" w:lineRule="auto"/>
            </w:pPr>
            <w:r>
              <w:rPr>
                <w:rFonts w:ascii="Calibri" w:hAnsi="Calibri" w:eastAsia="Calibri"/>
                <w:b w:val="0"/>
                <w:i w:val="0"/>
                <w:color w:val="1E293B"/>
                <w:sz w:val="17"/>
              </w:rPr>
              <w:t>Business impact</w:t>
            </w:r>
          </w:p>
        </w:tc>
        <w:tc>
          <w:tcPr>
            <w:tcW w:type="dxa" w:w="4850"/>
          </w:tcPr>
          <w:p>
            <w:pPr>
              <w:spacing w:after="0" w:line="264" w:lineRule="auto"/>
            </w:pPr>
            <w:r>
              <w:rPr>
                <w:rFonts w:ascii="Calibri" w:hAnsi="Calibri" w:eastAsia="Calibri"/>
                <w:b w:val="0"/>
                <w:i w:val="0"/>
                <w:color w:val="1E293B"/>
                <w:sz w:val="17"/>
              </w:rPr>
              <w:t>POV-to-decision, POV-to-close, cycle duration, services attachment and Wiz SE hours.</w:t>
            </w:r>
          </w:p>
        </w:tc>
        <w:tc>
          <w:tcPr>
            <w:tcW w:type="dxa" w:w="2660"/>
          </w:tcPr>
          <w:p>
            <w:pPr>
              <w:spacing w:after="0" w:line="264" w:lineRule="auto"/>
            </w:pPr>
            <w:r>
              <w:rPr>
                <w:rFonts w:ascii="Calibri" w:hAnsi="Calibri" w:eastAsia="Calibri"/>
                <w:b w:val="0"/>
                <w:i w:val="0"/>
                <w:color w:val="1E293B"/>
                <w:sz w:val="17"/>
              </w:rPr>
              <w:t>Compare against pre-program baseline.</w:t>
            </w:r>
          </w:p>
        </w:tc>
      </w:tr>
      <w:tr>
        <w:trPr>
          <w:cantSplit/>
        </w:trPr>
        <w:tc>
          <w:tcPr>
            <w:tcW w:type="dxa" w:w="1850"/>
          </w:tcPr>
          <w:p>
            <w:pPr>
              <w:spacing w:after="0" w:line="264" w:lineRule="auto"/>
            </w:pPr>
            <w:r>
              <w:rPr>
                <w:rFonts w:ascii="Calibri" w:hAnsi="Calibri" w:eastAsia="Calibri"/>
                <w:b w:val="0"/>
                <w:i w:val="0"/>
                <w:color w:val="1E293B"/>
                <w:sz w:val="17"/>
              </w:rPr>
              <w:t>Qualification quality</w:t>
            </w:r>
          </w:p>
        </w:tc>
        <w:tc>
          <w:tcPr>
            <w:tcW w:type="dxa" w:w="4850"/>
          </w:tcPr>
          <w:p>
            <w:pPr>
              <w:spacing w:after="0" w:line="264" w:lineRule="auto"/>
            </w:pPr>
            <w:r>
              <w:rPr>
                <w:rFonts w:ascii="Calibri" w:hAnsi="Calibri" w:eastAsia="Calibri"/>
                <w:b w:val="0"/>
                <w:i w:val="0"/>
                <w:color w:val="1E293B"/>
                <w:sz w:val="17"/>
              </w:rPr>
              <w:t>No-Go/redirect decisions and reasons; POVs stopped for missing gates.</w:t>
            </w:r>
          </w:p>
        </w:tc>
        <w:tc>
          <w:tcPr>
            <w:tcW w:type="dxa" w:w="2660"/>
          </w:tcPr>
          <w:p>
            <w:pPr>
              <w:spacing w:after="0" w:line="264" w:lineRule="auto"/>
            </w:pPr>
            <w:r>
              <w:rPr>
                <w:rFonts w:ascii="Calibri" w:hAnsi="Calibri" w:eastAsia="Calibri"/>
                <w:b w:val="0"/>
                <w:i w:val="0"/>
                <w:color w:val="1E293B"/>
                <w:sz w:val="17"/>
              </w:rPr>
              <w:t>Recognize appropriate No-Go behavior.</w:t>
            </w:r>
          </w:p>
        </w:tc>
      </w:tr>
      <w:tr>
        <w:trPr>
          <w:cantSplit/>
        </w:trPr>
        <w:tc>
          <w:tcPr>
            <w:tcW w:type="dxa" w:w="1850"/>
          </w:tcPr>
          <w:p>
            <w:pPr>
              <w:spacing w:after="0" w:line="264" w:lineRule="auto"/>
            </w:pPr>
            <w:r>
              <w:rPr>
                <w:rFonts w:ascii="Calibri" w:hAnsi="Calibri" w:eastAsia="Calibri"/>
                <w:b w:val="0"/>
                <w:i w:val="0"/>
                <w:color w:val="1E293B"/>
                <w:sz w:val="17"/>
              </w:rPr>
              <w:t>Experience</w:t>
            </w:r>
          </w:p>
        </w:tc>
        <w:tc>
          <w:tcPr>
            <w:tcW w:type="dxa" w:w="4850"/>
          </w:tcPr>
          <w:p>
            <w:pPr>
              <w:spacing w:after="0" w:line="264" w:lineRule="auto"/>
            </w:pPr>
            <w:r>
              <w:rPr>
                <w:rFonts w:ascii="Calibri" w:hAnsi="Calibri" w:eastAsia="Calibri"/>
                <w:b w:val="0"/>
                <w:i w:val="0"/>
                <w:color w:val="1E293B"/>
                <w:sz w:val="17"/>
              </w:rPr>
              <w:t>Participant confidence, facilitator quality and partner leader satisfaction.</w:t>
            </w:r>
          </w:p>
        </w:tc>
        <w:tc>
          <w:tcPr>
            <w:tcW w:type="dxa" w:w="2660"/>
          </w:tcPr>
          <w:p>
            <w:pPr>
              <w:spacing w:after="0" w:line="264" w:lineRule="auto"/>
            </w:pPr>
            <w:r>
              <w:rPr>
                <w:rFonts w:ascii="Calibri" w:hAnsi="Calibri" w:eastAsia="Calibri"/>
                <w:b w:val="0"/>
                <w:i w:val="0"/>
                <w:color w:val="1E293B"/>
                <w:sz w:val="17"/>
              </w:rPr>
              <w:t>Use as diagnostic, not primary success.</w:t>
            </w:r>
          </w:p>
        </w:tc>
      </w:tr>
    </w:tbl>
    <w:p>
      <w:pPr>
        <w:spacing w:after="20"/>
        <w:widowControl/>
      </w:pPr>
    </w:p>
    <w:p>
      <w:pPr>
        <w:pStyle w:val="Heading3"/>
        <w:widowControl/>
      </w:pPr>
      <w:r>
        <w:t>Proposed pilot operational targets</w:t>
      </w:r>
    </w:p>
    <w:p>
      <w:pPr>
        <w:numPr>
          <w:ilvl w:val="0"/>
          <w:numId w:val="10"/>
        </w:numPr>
        <w:spacing w:after="80" w:line="300" w:lineRule="auto"/>
        <w:ind w:left="540" w:hanging="271"/>
        <w:widowControl/>
      </w:pPr>
      <w:r>
        <w:rPr>
          <w:rFonts w:ascii="Calibri" w:hAnsi="Calibri" w:eastAsia="Calibri"/>
          <w:b w:val="0"/>
          <w:i w:val="0"/>
          <w:color w:val="1E293B"/>
          <w:sz w:val="22"/>
        </w:rPr>
        <w:t>At least 85% of nominated participants complete pre-work before the live session.</w:t>
      </w:r>
    </w:p>
    <w:p>
      <w:pPr>
        <w:numPr>
          <w:ilvl w:val="0"/>
          <w:numId w:val="10"/>
        </w:numPr>
        <w:spacing w:after="80" w:line="300" w:lineRule="auto"/>
        <w:ind w:left="540" w:hanging="271"/>
        <w:widowControl/>
      </w:pPr>
      <w:r>
        <w:rPr>
          <w:rFonts w:ascii="Calibri" w:hAnsi="Calibri" w:eastAsia="Calibri"/>
          <w:b w:val="0"/>
          <w:i w:val="0"/>
          <w:color w:val="1E293B"/>
          <w:sz w:val="22"/>
        </w:rPr>
        <w:t>At least 80% pass the simulation capstone; failures receive targeted remediation rather than automatic re-test.</w:t>
      </w:r>
    </w:p>
    <w:p>
      <w:pPr>
        <w:numPr>
          <w:ilvl w:val="0"/>
          <w:numId w:val="10"/>
        </w:numPr>
        <w:spacing w:after="80" w:line="300" w:lineRule="auto"/>
        <w:ind w:left="540" w:hanging="271"/>
        <w:widowControl/>
      </w:pPr>
      <w:r>
        <w:rPr>
          <w:rFonts w:ascii="Calibri" w:hAnsi="Calibri" w:eastAsia="Calibri"/>
          <w:b w:val="0"/>
          <w:i w:val="0"/>
          <w:color w:val="1E293B"/>
          <w:sz w:val="22"/>
        </w:rPr>
        <w:t>At least 70% of Dojo Ready graduates begin an approved live practicum within 60 days.</w:t>
      </w:r>
    </w:p>
    <w:p>
      <w:pPr>
        <w:numPr>
          <w:ilvl w:val="0"/>
          <w:numId w:val="10"/>
        </w:numPr>
        <w:spacing w:after="80" w:line="300" w:lineRule="auto"/>
        <w:ind w:left="540" w:hanging="271"/>
        <w:widowControl/>
      </w:pPr>
      <w:r>
        <w:rPr>
          <w:rFonts w:ascii="Calibri" w:hAnsi="Calibri" w:eastAsia="Calibri"/>
          <w:b w:val="0"/>
          <w:i w:val="0"/>
          <w:color w:val="1E293B"/>
          <w:sz w:val="22"/>
        </w:rPr>
        <w:t>100% of field-validation POVs have an approved Success Plan and Readiness Scorecard.</w:t>
      </w:r>
    </w:p>
    <w:p>
      <w:pPr>
        <w:numPr>
          <w:ilvl w:val="0"/>
          <w:numId w:val="10"/>
        </w:numPr>
        <w:spacing w:after="80" w:line="300" w:lineRule="auto"/>
        <w:ind w:left="540" w:hanging="271"/>
        <w:widowControl/>
      </w:pPr>
      <w:r>
        <w:rPr>
          <w:rFonts w:ascii="Calibri" w:hAnsi="Calibri" w:eastAsia="Calibri"/>
          <w:b w:val="0"/>
          <w:i w:val="0"/>
          <w:color w:val="1E293B"/>
          <w:sz w:val="22"/>
        </w:rPr>
        <w:t>At least 90% of qualified field-validation POVs complete an executive playback.</w:t>
      </w:r>
    </w:p>
    <w:p>
      <w:pPr>
        <w:numPr>
          <w:ilvl w:val="0"/>
          <w:numId w:val="10"/>
        </w:numPr>
        <w:spacing w:after="80" w:line="300" w:lineRule="auto"/>
        <w:ind w:left="540" w:hanging="271"/>
        <w:widowControl/>
      </w:pPr>
      <w:r>
        <w:rPr>
          <w:rFonts w:ascii="Calibri" w:hAnsi="Calibri" w:eastAsia="Calibri"/>
          <w:b w:val="0"/>
          <w:i w:val="0"/>
          <w:color w:val="1E293B"/>
          <w:sz w:val="22"/>
        </w:rPr>
        <w:t>Business conversion and cycle-time targets are set only after two pilot cohorts establish a baseline.</w:t>
      </w:r>
    </w:p>
    <w:p>
      <w:pPr>
        <w:pStyle w:val="Heading2"/>
        <w:widowControl/>
      </w:pPr>
      <w:r>
        <w:t>32. 16-Week Launch Plan</w:t>
      </w:r>
    </w:p>
    <w:tbl>
      <w:tblPr>
        <w:tblStyle w:val="TableGrid"/>
        <w:tblW w:type="dxa" w:w="9360"/>
        <w:jc w:val="left"/>
        <w:tblLayout w:type="fixed"/>
        <w:tblLook w:firstColumn="1" w:firstRow="1" w:lastColumn="0" w:lastRow="0" w:noHBand="0" w:noVBand="1" w:val="04A0"/>
        <w:tblInd w:w="120" w:type="dxa"/>
      </w:tblPr>
      <w:tblGrid>
        <w:gridCol w:w="1700"/>
        <w:gridCol w:w="950"/>
        <w:gridCol w:w="4680"/>
        <w:gridCol w:w="2030"/>
      </w:tblGrid>
      <w:tr>
        <w:trPr>
          <w:tblHeader w:val="true"/>
        </w:trPr>
        <w:tc>
          <w:tcPr>
            <w:tcW w:type="dxa" w:w="17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Phase</w:t>
            </w:r>
          </w:p>
        </w:tc>
        <w:tc>
          <w:tcPr>
            <w:tcW w:type="dxa" w:w="9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Weeks</w:t>
            </w:r>
          </w:p>
        </w:tc>
        <w:tc>
          <w:tcPr>
            <w:tcW w:type="dxa" w:w="468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Key Activities</w:t>
            </w:r>
          </w:p>
        </w:tc>
        <w:tc>
          <w:tcPr>
            <w:tcW w:type="dxa" w:w="203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7"/>
              </w:rPr>
              <w:t>Exit Criteria</w:t>
            </w:r>
          </w:p>
        </w:tc>
      </w:tr>
      <w:tr>
        <w:trPr>
          <w:cantSplit/>
        </w:trPr>
        <w:tc>
          <w:tcPr>
            <w:tcW w:type="dxa" w:w="1700"/>
          </w:tcPr>
          <w:p>
            <w:pPr>
              <w:spacing w:after="0" w:line="264" w:lineRule="auto"/>
            </w:pPr>
            <w:r>
              <w:rPr>
                <w:rFonts w:ascii="Calibri" w:hAnsi="Calibri" w:eastAsia="Calibri"/>
                <w:b w:val="0"/>
                <w:i w:val="0"/>
                <w:color w:val="1E293B"/>
                <w:sz w:val="17"/>
              </w:rPr>
              <w:t>0. Align</w:t>
            </w:r>
          </w:p>
        </w:tc>
        <w:tc>
          <w:tcPr>
            <w:tcW w:type="dxa" w:w="950"/>
          </w:tcPr>
          <w:p>
            <w:pPr>
              <w:spacing w:after="0" w:line="264" w:lineRule="auto"/>
            </w:pPr>
            <w:r>
              <w:rPr>
                <w:rFonts w:ascii="Calibri" w:hAnsi="Calibri" w:eastAsia="Calibri"/>
                <w:b w:val="0"/>
                <w:i w:val="0"/>
                <w:color w:val="1E293B"/>
                <w:sz w:val="17"/>
              </w:rPr>
              <w:t>1-2</w:t>
            </w:r>
          </w:p>
        </w:tc>
        <w:tc>
          <w:tcPr>
            <w:tcW w:type="dxa" w:w="4680"/>
          </w:tcPr>
          <w:p>
            <w:pPr>
              <w:spacing w:after="0" w:line="264" w:lineRule="auto"/>
            </w:pPr>
            <w:r>
              <w:rPr>
                <w:rFonts w:ascii="Calibri" w:hAnsi="Calibri" w:eastAsia="Calibri"/>
                <w:b w:val="0"/>
                <w:i w:val="0"/>
                <w:color w:val="1E293B"/>
                <w:sz w:val="17"/>
              </w:rPr>
              <w:t>Confirm sponsor, scope, owners, accreditation authority and tenant constraints.</w:t>
            </w:r>
          </w:p>
        </w:tc>
        <w:tc>
          <w:tcPr>
            <w:tcW w:type="dxa" w:w="2030"/>
          </w:tcPr>
          <w:p>
            <w:pPr>
              <w:spacing w:after="0" w:line="264" w:lineRule="auto"/>
            </w:pPr>
            <w:r>
              <w:rPr>
                <w:rFonts w:ascii="Calibri" w:hAnsi="Calibri" w:eastAsia="Calibri"/>
                <w:b w:val="0"/>
                <w:i w:val="0"/>
                <w:color w:val="1E293B"/>
                <w:sz w:val="17"/>
              </w:rPr>
              <w:t>Approved charter and decision log</w:t>
            </w:r>
          </w:p>
        </w:tc>
      </w:tr>
      <w:tr>
        <w:trPr>
          <w:cantSplit/>
        </w:trPr>
        <w:tc>
          <w:tcPr>
            <w:tcW w:type="dxa" w:w="1700"/>
          </w:tcPr>
          <w:p>
            <w:pPr>
              <w:spacing w:after="0" w:line="264" w:lineRule="auto"/>
            </w:pPr>
            <w:r>
              <w:rPr>
                <w:rFonts w:ascii="Calibri" w:hAnsi="Calibri" w:eastAsia="Calibri"/>
                <w:b w:val="0"/>
                <w:i w:val="0"/>
                <w:color w:val="1E293B"/>
                <w:sz w:val="17"/>
              </w:rPr>
              <w:t>1. Build</w:t>
            </w:r>
          </w:p>
        </w:tc>
        <w:tc>
          <w:tcPr>
            <w:tcW w:type="dxa" w:w="950"/>
          </w:tcPr>
          <w:p>
            <w:pPr>
              <w:spacing w:after="0" w:line="264" w:lineRule="auto"/>
            </w:pPr>
            <w:r>
              <w:rPr>
                <w:rFonts w:ascii="Calibri" w:hAnsi="Calibri" w:eastAsia="Calibri"/>
                <w:b w:val="0"/>
                <w:i w:val="0"/>
                <w:color w:val="1E293B"/>
                <w:sz w:val="17"/>
              </w:rPr>
              <w:t>3-6</w:t>
            </w:r>
          </w:p>
        </w:tc>
        <w:tc>
          <w:tcPr>
            <w:tcW w:type="dxa" w:w="4680"/>
          </w:tcPr>
          <w:p>
            <w:pPr>
              <w:spacing w:after="0" w:line="264" w:lineRule="auto"/>
            </w:pPr>
            <w:r>
              <w:rPr>
                <w:rFonts w:ascii="Calibri" w:hAnsi="Calibri" w:eastAsia="Calibri"/>
                <w:b w:val="0"/>
                <w:i w:val="0"/>
                <w:color w:val="1E293B"/>
                <w:sz w:val="17"/>
              </w:rPr>
              <w:t>Create Golden Customer, tenant, seeded scenarios, facilitator guide, artifacts and rubric.</w:t>
            </w:r>
          </w:p>
        </w:tc>
        <w:tc>
          <w:tcPr>
            <w:tcW w:type="dxa" w:w="2030"/>
          </w:tcPr>
          <w:p>
            <w:pPr>
              <w:spacing w:after="0" w:line="264" w:lineRule="auto"/>
            </w:pPr>
            <w:r>
              <w:rPr>
                <w:rFonts w:ascii="Calibri" w:hAnsi="Calibri" w:eastAsia="Calibri"/>
                <w:b w:val="0"/>
                <w:i w:val="0"/>
                <w:color w:val="1E293B"/>
                <w:sz w:val="17"/>
              </w:rPr>
              <w:t>Dry-run ready</w:t>
            </w:r>
          </w:p>
        </w:tc>
      </w:tr>
      <w:tr>
        <w:trPr>
          <w:cantSplit/>
        </w:trPr>
        <w:tc>
          <w:tcPr>
            <w:tcW w:type="dxa" w:w="1700"/>
          </w:tcPr>
          <w:p>
            <w:pPr>
              <w:spacing w:after="0" w:line="264" w:lineRule="auto"/>
            </w:pPr>
            <w:r>
              <w:rPr>
                <w:rFonts w:ascii="Calibri" w:hAnsi="Calibri" w:eastAsia="Calibri"/>
                <w:b w:val="0"/>
                <w:i w:val="0"/>
                <w:color w:val="1E293B"/>
                <w:sz w:val="17"/>
              </w:rPr>
              <w:t>2. Internal dry run</w:t>
            </w:r>
          </w:p>
        </w:tc>
        <w:tc>
          <w:tcPr>
            <w:tcW w:type="dxa" w:w="950"/>
          </w:tcPr>
          <w:p>
            <w:pPr>
              <w:spacing w:after="0" w:line="264" w:lineRule="auto"/>
            </w:pPr>
            <w:r>
              <w:rPr>
                <w:rFonts w:ascii="Calibri" w:hAnsi="Calibri" w:eastAsia="Calibri"/>
                <w:b w:val="0"/>
                <w:i w:val="0"/>
                <w:color w:val="1E293B"/>
                <w:sz w:val="17"/>
              </w:rPr>
              <w:t>7</w:t>
            </w:r>
          </w:p>
        </w:tc>
        <w:tc>
          <w:tcPr>
            <w:tcW w:type="dxa" w:w="4680"/>
          </w:tcPr>
          <w:p>
            <w:pPr>
              <w:spacing w:after="0" w:line="264" w:lineRule="auto"/>
            </w:pPr>
            <w:r>
              <w:rPr>
                <w:rFonts w:ascii="Calibri" w:hAnsi="Calibri" w:eastAsia="Calibri"/>
                <w:b w:val="0"/>
                <w:i w:val="0"/>
                <w:color w:val="1E293B"/>
                <w:sz w:val="17"/>
              </w:rPr>
              <w:t>Run with APJ PSA/SE participants; test timing, scoring and tenant reset.</w:t>
            </w:r>
          </w:p>
        </w:tc>
        <w:tc>
          <w:tcPr>
            <w:tcW w:type="dxa" w:w="2030"/>
          </w:tcPr>
          <w:p>
            <w:pPr>
              <w:spacing w:after="0" w:line="264" w:lineRule="auto"/>
            </w:pPr>
            <w:r>
              <w:rPr>
                <w:rFonts w:ascii="Calibri" w:hAnsi="Calibri" w:eastAsia="Calibri"/>
                <w:b w:val="0"/>
                <w:i w:val="0"/>
                <w:color w:val="1E293B"/>
                <w:sz w:val="17"/>
              </w:rPr>
              <w:t>Critical defects closed</w:t>
            </w:r>
          </w:p>
        </w:tc>
      </w:tr>
      <w:tr>
        <w:trPr>
          <w:cantSplit/>
        </w:trPr>
        <w:tc>
          <w:tcPr>
            <w:tcW w:type="dxa" w:w="1700"/>
          </w:tcPr>
          <w:p>
            <w:pPr>
              <w:spacing w:after="0" w:line="264" w:lineRule="auto"/>
            </w:pPr>
            <w:r>
              <w:rPr>
                <w:rFonts w:ascii="Calibri" w:hAnsi="Calibri" w:eastAsia="Calibri"/>
                <w:b w:val="0"/>
                <w:i w:val="0"/>
                <w:color w:val="1E293B"/>
                <w:sz w:val="17"/>
              </w:rPr>
              <w:t>3. Lighthouse pilot</w:t>
            </w:r>
          </w:p>
        </w:tc>
        <w:tc>
          <w:tcPr>
            <w:tcW w:type="dxa" w:w="950"/>
          </w:tcPr>
          <w:p>
            <w:pPr>
              <w:spacing w:after="0" w:line="264" w:lineRule="auto"/>
            </w:pPr>
            <w:r>
              <w:rPr>
                <w:rFonts w:ascii="Calibri" w:hAnsi="Calibri" w:eastAsia="Calibri"/>
                <w:b w:val="0"/>
                <w:i w:val="0"/>
                <w:color w:val="1E293B"/>
                <w:sz w:val="17"/>
              </w:rPr>
              <w:t>8-9</w:t>
            </w:r>
          </w:p>
        </w:tc>
        <w:tc>
          <w:tcPr>
            <w:tcW w:type="dxa" w:w="4680"/>
          </w:tcPr>
          <w:p>
            <w:pPr>
              <w:spacing w:after="0" w:line="264" w:lineRule="auto"/>
            </w:pPr>
            <w:r>
              <w:rPr>
                <w:rFonts w:ascii="Calibri" w:hAnsi="Calibri" w:eastAsia="Calibri"/>
                <w:b w:val="0"/>
                <w:i w:val="0"/>
                <w:color w:val="1E293B"/>
                <w:sz w:val="17"/>
              </w:rPr>
              <w:t>Deliver first cohort to 6-12 participants from two selected partners/regions.</w:t>
            </w:r>
          </w:p>
        </w:tc>
        <w:tc>
          <w:tcPr>
            <w:tcW w:type="dxa" w:w="2030"/>
          </w:tcPr>
          <w:p>
            <w:pPr>
              <w:spacing w:after="0" w:line="264" w:lineRule="auto"/>
            </w:pPr>
            <w:r>
              <w:rPr>
                <w:rFonts w:ascii="Calibri" w:hAnsi="Calibri" w:eastAsia="Calibri"/>
                <w:b w:val="0"/>
                <w:i w:val="0"/>
                <w:color w:val="1E293B"/>
                <w:sz w:val="17"/>
              </w:rPr>
              <w:t>Capstone results and feedback</w:t>
            </w:r>
          </w:p>
        </w:tc>
      </w:tr>
      <w:tr>
        <w:trPr>
          <w:cantSplit/>
        </w:trPr>
        <w:tc>
          <w:tcPr>
            <w:tcW w:type="dxa" w:w="1700"/>
          </w:tcPr>
          <w:p>
            <w:pPr>
              <w:spacing w:after="0" w:line="264" w:lineRule="auto"/>
            </w:pPr>
            <w:r>
              <w:rPr>
                <w:rFonts w:ascii="Calibri" w:hAnsi="Calibri" w:eastAsia="Calibri"/>
                <w:b w:val="0"/>
                <w:i w:val="0"/>
                <w:color w:val="1E293B"/>
                <w:sz w:val="17"/>
              </w:rPr>
              <w:t>4. Field practicum</w:t>
            </w:r>
          </w:p>
        </w:tc>
        <w:tc>
          <w:tcPr>
            <w:tcW w:type="dxa" w:w="950"/>
          </w:tcPr>
          <w:p>
            <w:pPr>
              <w:spacing w:after="0" w:line="264" w:lineRule="auto"/>
            </w:pPr>
            <w:r>
              <w:rPr>
                <w:rFonts w:ascii="Calibri" w:hAnsi="Calibri" w:eastAsia="Calibri"/>
                <w:b w:val="0"/>
                <w:i w:val="0"/>
                <w:color w:val="1E293B"/>
                <w:sz w:val="17"/>
              </w:rPr>
              <w:t>10-14</w:t>
            </w:r>
          </w:p>
        </w:tc>
        <w:tc>
          <w:tcPr>
            <w:tcW w:type="dxa" w:w="4680"/>
          </w:tcPr>
          <w:p>
            <w:pPr>
              <w:spacing w:after="0" w:line="264" w:lineRule="auto"/>
            </w:pPr>
            <w:r>
              <w:rPr>
                <w:rFonts w:ascii="Calibri" w:hAnsi="Calibri" w:eastAsia="Calibri"/>
                <w:b w:val="0"/>
                <w:i w:val="0"/>
                <w:color w:val="1E293B"/>
                <w:sz w:val="17"/>
              </w:rPr>
              <w:t>Mentor live opportunities and collect evidence.</w:t>
            </w:r>
          </w:p>
        </w:tc>
        <w:tc>
          <w:tcPr>
            <w:tcW w:type="dxa" w:w="2030"/>
          </w:tcPr>
          <w:p>
            <w:pPr>
              <w:spacing w:after="0" w:line="264" w:lineRule="auto"/>
            </w:pPr>
            <w:r>
              <w:rPr>
                <w:rFonts w:ascii="Calibri" w:hAnsi="Calibri" w:eastAsia="Calibri"/>
                <w:b w:val="0"/>
                <w:i w:val="0"/>
                <w:color w:val="1E293B"/>
                <w:sz w:val="17"/>
              </w:rPr>
              <w:t>Accreditation decisions</w:t>
            </w:r>
          </w:p>
        </w:tc>
      </w:tr>
      <w:tr>
        <w:trPr>
          <w:cantSplit/>
        </w:trPr>
        <w:tc>
          <w:tcPr>
            <w:tcW w:type="dxa" w:w="1700"/>
          </w:tcPr>
          <w:p>
            <w:pPr>
              <w:spacing w:after="0" w:line="264" w:lineRule="auto"/>
            </w:pPr>
            <w:r>
              <w:rPr>
                <w:rFonts w:ascii="Calibri" w:hAnsi="Calibri" w:eastAsia="Calibri"/>
                <w:b w:val="0"/>
                <w:i w:val="0"/>
                <w:color w:val="1E293B"/>
                <w:sz w:val="17"/>
              </w:rPr>
              <w:t>5. Calibrate</w:t>
            </w:r>
          </w:p>
        </w:tc>
        <w:tc>
          <w:tcPr>
            <w:tcW w:type="dxa" w:w="950"/>
          </w:tcPr>
          <w:p>
            <w:pPr>
              <w:spacing w:after="0" w:line="264" w:lineRule="auto"/>
            </w:pPr>
            <w:r>
              <w:rPr>
                <w:rFonts w:ascii="Calibri" w:hAnsi="Calibri" w:eastAsia="Calibri"/>
                <w:b w:val="0"/>
                <w:i w:val="0"/>
                <w:color w:val="1E293B"/>
                <w:sz w:val="17"/>
              </w:rPr>
              <w:t>15</w:t>
            </w:r>
          </w:p>
        </w:tc>
        <w:tc>
          <w:tcPr>
            <w:tcW w:type="dxa" w:w="4680"/>
          </w:tcPr>
          <w:p>
            <w:pPr>
              <w:spacing w:after="0" w:line="264" w:lineRule="auto"/>
            </w:pPr>
            <w:r>
              <w:rPr>
                <w:rFonts w:ascii="Calibri" w:hAnsi="Calibri" w:eastAsia="Calibri"/>
                <w:b w:val="0"/>
                <w:i w:val="0"/>
                <w:color w:val="1E293B"/>
                <w:sz w:val="17"/>
              </w:rPr>
              <w:t>Review data, rubric variance, content gaps and regional issues.</w:t>
            </w:r>
          </w:p>
        </w:tc>
        <w:tc>
          <w:tcPr>
            <w:tcW w:type="dxa" w:w="2030"/>
          </w:tcPr>
          <w:p>
            <w:pPr>
              <w:spacing w:after="0" w:line="264" w:lineRule="auto"/>
            </w:pPr>
            <w:r>
              <w:rPr>
                <w:rFonts w:ascii="Calibri" w:hAnsi="Calibri" w:eastAsia="Calibri"/>
                <w:b w:val="0"/>
                <w:i w:val="0"/>
                <w:color w:val="1E293B"/>
                <w:sz w:val="17"/>
              </w:rPr>
              <w:t>Version 1.0 approved</w:t>
            </w:r>
          </w:p>
        </w:tc>
      </w:tr>
      <w:tr>
        <w:trPr>
          <w:cantSplit/>
        </w:trPr>
        <w:tc>
          <w:tcPr>
            <w:tcW w:type="dxa" w:w="1700"/>
          </w:tcPr>
          <w:p>
            <w:pPr>
              <w:spacing w:after="0" w:line="264" w:lineRule="auto"/>
            </w:pPr>
            <w:r>
              <w:rPr>
                <w:rFonts w:ascii="Calibri" w:hAnsi="Calibri" w:eastAsia="Calibri"/>
                <w:b w:val="0"/>
                <w:i w:val="0"/>
                <w:color w:val="1E293B"/>
                <w:sz w:val="17"/>
              </w:rPr>
              <w:t>6. Scale</w:t>
            </w:r>
          </w:p>
        </w:tc>
        <w:tc>
          <w:tcPr>
            <w:tcW w:type="dxa" w:w="950"/>
          </w:tcPr>
          <w:p>
            <w:pPr>
              <w:spacing w:after="0" w:line="264" w:lineRule="auto"/>
            </w:pPr>
            <w:r>
              <w:rPr>
                <w:rFonts w:ascii="Calibri" w:hAnsi="Calibri" w:eastAsia="Calibri"/>
                <w:b w:val="0"/>
                <w:i w:val="0"/>
                <w:color w:val="1E293B"/>
                <w:sz w:val="17"/>
              </w:rPr>
              <w:t>16+</w:t>
            </w:r>
          </w:p>
        </w:tc>
        <w:tc>
          <w:tcPr>
            <w:tcW w:type="dxa" w:w="4680"/>
          </w:tcPr>
          <w:p>
            <w:pPr>
              <w:spacing w:after="0" w:line="264" w:lineRule="auto"/>
            </w:pPr>
            <w:r>
              <w:rPr>
                <w:rFonts w:ascii="Calibri" w:hAnsi="Calibri" w:eastAsia="Calibri"/>
                <w:b w:val="0"/>
                <w:i w:val="0"/>
                <w:color w:val="1E293B"/>
                <w:sz w:val="17"/>
              </w:rPr>
              <w:t>Publish calendar, facilitator certification and quarterly curriculum cadence.</w:t>
            </w:r>
          </w:p>
        </w:tc>
        <w:tc>
          <w:tcPr>
            <w:tcW w:type="dxa" w:w="2030"/>
          </w:tcPr>
          <w:p>
            <w:pPr>
              <w:spacing w:after="0" w:line="264" w:lineRule="auto"/>
            </w:pPr>
            <w:r>
              <w:rPr>
                <w:rFonts w:ascii="Calibri" w:hAnsi="Calibri" w:eastAsia="Calibri"/>
                <w:b w:val="0"/>
                <w:i w:val="0"/>
                <w:color w:val="1E293B"/>
                <w:sz w:val="17"/>
              </w:rPr>
              <w:t>APJ operating rhythm</w:t>
            </w:r>
          </w:p>
        </w:tc>
      </w:tr>
    </w:tbl>
    <w:p>
      <w:pPr>
        <w:spacing w:after="20"/>
        <w:widowControl/>
      </w:pPr>
    </w:p>
    <w:p>
      <w:pPr>
        <w:pStyle w:val="Heading2"/>
        <w:widowControl/>
      </w:pPr>
      <w:r>
        <w:t>33. Pilot Cohort Recommendation</w:t>
      </w:r>
    </w:p>
    <w:p>
      <w:pPr>
        <w:pStyle w:val="Heading3"/>
        <w:widowControl/>
      </w:pPr>
      <w:r>
        <w:t>Selection approach</w:t>
      </w:r>
    </w:p>
    <w:p>
      <w:pPr>
        <w:numPr>
          <w:ilvl w:val="0"/>
          <w:numId w:val="10"/>
        </w:numPr>
        <w:spacing w:after="80" w:line="300" w:lineRule="auto"/>
        <w:ind w:left="540" w:hanging="271"/>
        <w:widowControl/>
      </w:pPr>
      <w:r>
        <w:rPr>
          <w:rFonts w:ascii="Calibri" w:hAnsi="Calibri" w:eastAsia="Calibri"/>
          <w:b w:val="0"/>
          <w:i w:val="0"/>
          <w:color w:val="1E293B"/>
          <w:sz w:val="22"/>
        </w:rPr>
        <w:t>Select two lighthouse partners with active qualified pipeline and a committed practice leader.</w:t>
      </w:r>
    </w:p>
    <w:p>
      <w:pPr>
        <w:numPr>
          <w:ilvl w:val="0"/>
          <w:numId w:val="10"/>
        </w:numPr>
        <w:spacing w:after="80" w:line="300" w:lineRule="auto"/>
        <w:ind w:left="540" w:hanging="271"/>
        <w:widowControl/>
      </w:pPr>
      <w:r>
        <w:rPr>
          <w:rFonts w:ascii="Calibri" w:hAnsi="Calibri" w:eastAsia="Calibri"/>
          <w:b w:val="0"/>
          <w:i w:val="0"/>
          <w:color w:val="1E293B"/>
          <w:sz w:val="22"/>
        </w:rPr>
        <w:t>Include a mix of stronger and developing presales engineers, but enforce the same prerequisites.</w:t>
      </w:r>
    </w:p>
    <w:p>
      <w:pPr>
        <w:numPr>
          <w:ilvl w:val="0"/>
          <w:numId w:val="10"/>
        </w:numPr>
        <w:spacing w:after="80" w:line="300" w:lineRule="auto"/>
        <w:ind w:left="540" w:hanging="271"/>
        <w:widowControl/>
      </w:pPr>
      <w:r>
        <w:rPr>
          <w:rFonts w:ascii="Calibri" w:hAnsi="Calibri" w:eastAsia="Calibri"/>
          <w:b w:val="0"/>
          <w:i w:val="0"/>
          <w:color w:val="1E293B"/>
          <w:sz w:val="22"/>
        </w:rPr>
        <w:t>Limit the cohort to four teams so facilitation and assessment remain evidence based.</w:t>
      </w:r>
    </w:p>
    <w:p>
      <w:pPr>
        <w:numPr>
          <w:ilvl w:val="0"/>
          <w:numId w:val="10"/>
        </w:numPr>
        <w:spacing w:after="80" w:line="300" w:lineRule="auto"/>
        <w:ind w:left="540" w:hanging="271"/>
        <w:widowControl/>
      </w:pPr>
      <w:r>
        <w:rPr>
          <w:rFonts w:ascii="Calibri" w:hAnsi="Calibri" w:eastAsia="Calibri"/>
          <w:b w:val="0"/>
          <w:i w:val="0"/>
          <w:color w:val="1E293B"/>
          <w:sz w:val="22"/>
        </w:rPr>
        <w:t>Require each partner to nominate at least one live opportunity suitable for field practicum.</w:t>
      </w:r>
    </w:p>
    <w:p>
      <w:pPr>
        <w:numPr>
          <w:ilvl w:val="0"/>
          <w:numId w:val="10"/>
        </w:numPr>
        <w:spacing w:after="80" w:line="300" w:lineRule="auto"/>
        <w:ind w:left="540" w:hanging="271"/>
        <w:widowControl/>
      </w:pPr>
      <w:r>
        <w:rPr>
          <w:rFonts w:ascii="Calibri" w:hAnsi="Calibri" w:eastAsia="Calibri"/>
          <w:b w:val="0"/>
          <w:i w:val="0"/>
          <w:color w:val="1E293B"/>
          <w:sz w:val="22"/>
        </w:rPr>
        <w:t>Choose regions that provide both scale potential and facilitator capacity.</w:t>
      </w:r>
    </w:p>
    <w:p>
      <w:pPr>
        <w:pStyle w:val="Heading3"/>
        <w:widowControl/>
      </w:pPr>
      <w:r>
        <w:t>Minimum resourcing assumption</w:t>
      </w:r>
    </w:p>
    <w:tbl>
      <w:tblPr>
        <w:tblStyle w:val="TableGrid"/>
        <w:tblW w:type="dxa" w:w="9360"/>
        <w:jc w:val="left"/>
        <w:tblLayout w:type="fixed"/>
        <w:tblLook w:firstColumn="1" w:firstRow="1" w:lastColumn="0" w:lastRow="0" w:noHBand="0" w:noVBand="1" w:val="04A0"/>
        <w:tblInd w:w="120" w:type="dxa"/>
      </w:tblPr>
      <w:tblGrid>
        <w:gridCol w:w="2600"/>
        <w:gridCol w:w="3400"/>
        <w:gridCol w:w="3360"/>
      </w:tblGrid>
      <w:tr>
        <w:trPr>
          <w:tblHeader w:val="true"/>
        </w:trPr>
        <w:tc>
          <w:tcPr>
            <w:tcW w:type="dxa" w:w="26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Resource</w:t>
            </w:r>
          </w:p>
        </w:tc>
        <w:tc>
          <w:tcPr>
            <w:tcW w:type="dxa" w:w="34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Build Phase</w:t>
            </w:r>
          </w:p>
        </w:tc>
        <w:tc>
          <w:tcPr>
            <w:tcW w:type="dxa" w:w="33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8"/>
              </w:rPr>
              <w:t>Per Cohort</w:t>
            </w:r>
          </w:p>
        </w:tc>
      </w:tr>
      <w:tr>
        <w:trPr>
          <w:cantSplit/>
        </w:trPr>
        <w:tc>
          <w:tcPr>
            <w:tcW w:type="dxa" w:w="2600"/>
          </w:tcPr>
          <w:p>
            <w:pPr>
              <w:spacing w:after="0" w:line="264" w:lineRule="auto"/>
            </w:pPr>
            <w:r>
              <w:rPr>
                <w:rFonts w:ascii="Calibri" w:hAnsi="Calibri" w:eastAsia="Calibri"/>
                <w:b w:val="0"/>
                <w:i w:val="0"/>
                <w:color w:val="1E293B"/>
                <w:sz w:val="18"/>
              </w:rPr>
              <w:t>APJ Program Owner</w:t>
            </w:r>
          </w:p>
        </w:tc>
        <w:tc>
          <w:tcPr>
            <w:tcW w:type="dxa" w:w="3400"/>
          </w:tcPr>
          <w:p>
            <w:pPr>
              <w:spacing w:after="0" w:line="264" w:lineRule="auto"/>
            </w:pPr>
            <w:r>
              <w:rPr>
                <w:rFonts w:ascii="Calibri" w:hAnsi="Calibri" w:eastAsia="Calibri"/>
                <w:b w:val="0"/>
                <w:i w:val="0"/>
                <w:color w:val="1E293B"/>
                <w:sz w:val="18"/>
              </w:rPr>
              <w:t>0.3-0.4 FTE for six weeks</w:t>
            </w:r>
          </w:p>
        </w:tc>
        <w:tc>
          <w:tcPr>
            <w:tcW w:type="dxa" w:w="3360"/>
          </w:tcPr>
          <w:p>
            <w:pPr>
              <w:spacing w:after="0" w:line="264" w:lineRule="auto"/>
            </w:pPr>
            <w:r>
              <w:rPr>
                <w:rFonts w:ascii="Calibri" w:hAnsi="Calibri" w:eastAsia="Calibri"/>
                <w:b w:val="0"/>
                <w:i w:val="0"/>
                <w:color w:val="1E293B"/>
                <w:sz w:val="18"/>
              </w:rPr>
              <w:t>Sponsor and calibration</w:t>
            </w:r>
          </w:p>
        </w:tc>
      </w:tr>
      <w:tr>
        <w:trPr>
          <w:cantSplit/>
        </w:trPr>
        <w:tc>
          <w:tcPr>
            <w:tcW w:type="dxa" w:w="2600"/>
          </w:tcPr>
          <w:p>
            <w:pPr>
              <w:spacing w:after="0" w:line="264" w:lineRule="auto"/>
            </w:pPr>
            <w:r>
              <w:rPr>
                <w:rFonts w:ascii="Calibri" w:hAnsi="Calibri" w:eastAsia="Calibri"/>
                <w:b w:val="0"/>
                <w:i w:val="0"/>
                <w:color w:val="1E293B"/>
                <w:sz w:val="18"/>
              </w:rPr>
              <w:t>Curriculum contributors</w:t>
            </w:r>
          </w:p>
        </w:tc>
        <w:tc>
          <w:tcPr>
            <w:tcW w:type="dxa" w:w="3400"/>
          </w:tcPr>
          <w:p>
            <w:pPr>
              <w:spacing w:after="0" w:line="264" w:lineRule="auto"/>
            </w:pPr>
            <w:r>
              <w:rPr>
                <w:rFonts w:ascii="Calibri" w:hAnsi="Calibri" w:eastAsia="Calibri"/>
                <w:b w:val="0"/>
                <w:i w:val="0"/>
                <w:color w:val="1E293B"/>
                <w:sz w:val="18"/>
              </w:rPr>
              <w:t>4-6 SMEs, targeted reviews</w:t>
            </w:r>
          </w:p>
        </w:tc>
        <w:tc>
          <w:tcPr>
            <w:tcW w:type="dxa" w:w="3360"/>
          </w:tcPr>
          <w:p>
            <w:pPr>
              <w:spacing w:after="0" w:line="264" w:lineRule="auto"/>
            </w:pPr>
            <w:r>
              <w:rPr>
                <w:rFonts w:ascii="Calibri" w:hAnsi="Calibri" w:eastAsia="Calibri"/>
                <w:b w:val="0"/>
                <w:i w:val="0"/>
                <w:color w:val="1E293B"/>
                <w:sz w:val="18"/>
              </w:rPr>
              <w:t>As needed</w:t>
            </w:r>
          </w:p>
        </w:tc>
      </w:tr>
      <w:tr>
        <w:trPr>
          <w:cantSplit/>
        </w:trPr>
        <w:tc>
          <w:tcPr>
            <w:tcW w:type="dxa" w:w="2600"/>
          </w:tcPr>
          <w:p>
            <w:pPr>
              <w:spacing w:after="0" w:line="264" w:lineRule="auto"/>
            </w:pPr>
            <w:r>
              <w:rPr>
                <w:rFonts w:ascii="Calibri" w:hAnsi="Calibri" w:eastAsia="Calibri"/>
                <w:b w:val="0"/>
                <w:i w:val="0"/>
                <w:color w:val="1E293B"/>
                <w:sz w:val="18"/>
              </w:rPr>
              <w:t>Lab Owner</w:t>
            </w:r>
          </w:p>
        </w:tc>
        <w:tc>
          <w:tcPr>
            <w:tcW w:type="dxa" w:w="3400"/>
          </w:tcPr>
          <w:p>
            <w:pPr>
              <w:spacing w:after="0" w:line="264" w:lineRule="auto"/>
            </w:pPr>
            <w:r>
              <w:rPr>
                <w:rFonts w:ascii="Calibri" w:hAnsi="Calibri" w:eastAsia="Calibri"/>
                <w:b w:val="0"/>
                <w:i w:val="0"/>
                <w:color w:val="1E293B"/>
                <w:sz w:val="18"/>
              </w:rPr>
              <w:t>0.2 FTE for build and automation</w:t>
            </w:r>
          </w:p>
        </w:tc>
        <w:tc>
          <w:tcPr>
            <w:tcW w:type="dxa" w:w="3360"/>
          </w:tcPr>
          <w:p>
            <w:pPr>
              <w:spacing w:after="0" w:line="264" w:lineRule="auto"/>
            </w:pPr>
            <w:r>
              <w:rPr>
                <w:rFonts w:ascii="Calibri" w:hAnsi="Calibri" w:eastAsia="Calibri"/>
                <w:b w:val="0"/>
                <w:i w:val="0"/>
                <w:color w:val="1E293B"/>
                <w:sz w:val="18"/>
              </w:rPr>
              <w:t>Preparation plus live support</w:t>
            </w:r>
          </w:p>
        </w:tc>
      </w:tr>
      <w:tr>
        <w:trPr>
          <w:cantSplit/>
        </w:trPr>
        <w:tc>
          <w:tcPr>
            <w:tcW w:type="dxa" w:w="2600"/>
          </w:tcPr>
          <w:p>
            <w:pPr>
              <w:spacing w:after="0" w:line="264" w:lineRule="auto"/>
            </w:pPr>
            <w:r>
              <w:rPr>
                <w:rFonts w:ascii="Calibri" w:hAnsi="Calibri" w:eastAsia="Calibri"/>
                <w:b w:val="0"/>
                <w:i w:val="0"/>
                <w:color w:val="1E293B"/>
                <w:sz w:val="18"/>
              </w:rPr>
              <w:t>Facilitators</w:t>
            </w:r>
          </w:p>
        </w:tc>
        <w:tc>
          <w:tcPr>
            <w:tcW w:type="dxa" w:w="3400"/>
          </w:tcPr>
          <w:p>
            <w:pPr>
              <w:spacing w:after="0" w:line="264" w:lineRule="auto"/>
            </w:pPr>
            <w:r>
              <w:rPr>
                <w:rFonts w:ascii="Calibri" w:hAnsi="Calibri" w:eastAsia="Calibri"/>
                <w:b w:val="0"/>
                <w:i w:val="0"/>
                <w:color w:val="1E293B"/>
                <w:sz w:val="18"/>
              </w:rPr>
              <w:t>Dry run and certification</w:t>
            </w:r>
          </w:p>
        </w:tc>
        <w:tc>
          <w:tcPr>
            <w:tcW w:type="dxa" w:w="3360"/>
          </w:tcPr>
          <w:p>
            <w:pPr>
              <w:spacing w:after="0" w:line="264" w:lineRule="auto"/>
            </w:pPr>
            <w:r>
              <w:rPr>
                <w:rFonts w:ascii="Calibri" w:hAnsi="Calibri" w:eastAsia="Calibri"/>
                <w:b w:val="0"/>
                <w:i w:val="0"/>
                <w:color w:val="1E293B"/>
                <w:sz w:val="18"/>
              </w:rPr>
              <w:t>Two facilitators</w:t>
            </w:r>
          </w:p>
        </w:tc>
      </w:tr>
      <w:tr>
        <w:trPr>
          <w:cantSplit/>
        </w:trPr>
        <w:tc>
          <w:tcPr>
            <w:tcW w:type="dxa" w:w="2600"/>
          </w:tcPr>
          <w:p>
            <w:pPr>
              <w:spacing w:after="0" w:line="264" w:lineRule="auto"/>
            </w:pPr>
            <w:r>
              <w:rPr>
                <w:rFonts w:ascii="Calibri" w:hAnsi="Calibri" w:eastAsia="Calibri"/>
                <w:b w:val="0"/>
                <w:i w:val="0"/>
                <w:color w:val="1E293B"/>
                <w:sz w:val="18"/>
              </w:rPr>
              <w:t>Field Mentors</w:t>
            </w:r>
          </w:p>
        </w:tc>
        <w:tc>
          <w:tcPr>
            <w:tcW w:type="dxa" w:w="3400"/>
          </w:tcPr>
          <w:p>
            <w:pPr>
              <w:spacing w:after="0" w:line="264" w:lineRule="auto"/>
            </w:pPr>
            <w:r>
              <w:rPr>
                <w:rFonts w:ascii="Calibri" w:hAnsi="Calibri" w:eastAsia="Calibri"/>
                <w:b w:val="0"/>
                <w:i w:val="0"/>
                <w:color w:val="1E293B"/>
                <w:sz w:val="18"/>
              </w:rPr>
              <w:t>Operating model design</w:t>
            </w:r>
          </w:p>
        </w:tc>
        <w:tc>
          <w:tcPr>
            <w:tcW w:type="dxa" w:w="3360"/>
          </w:tcPr>
          <w:p>
            <w:pPr>
              <w:spacing w:after="0" w:line="264" w:lineRule="auto"/>
            </w:pPr>
            <w:r>
              <w:rPr>
                <w:rFonts w:ascii="Calibri" w:hAnsi="Calibri" w:eastAsia="Calibri"/>
                <w:b w:val="0"/>
                <w:i w:val="0"/>
                <w:color w:val="1E293B"/>
                <w:sz w:val="18"/>
              </w:rPr>
              <w:t>One per 2-3 graduates</w:t>
            </w:r>
          </w:p>
        </w:tc>
      </w:tr>
      <w:tr>
        <w:trPr>
          <w:cantSplit/>
        </w:trPr>
        <w:tc>
          <w:tcPr>
            <w:tcW w:type="dxa" w:w="2600"/>
          </w:tcPr>
          <w:p>
            <w:pPr>
              <w:spacing w:after="0" w:line="264" w:lineRule="auto"/>
            </w:pPr>
            <w:r>
              <w:rPr>
                <w:rFonts w:ascii="Calibri" w:hAnsi="Calibri" w:eastAsia="Calibri"/>
                <w:b w:val="0"/>
                <w:i w:val="0"/>
                <w:color w:val="1E293B"/>
                <w:sz w:val="18"/>
              </w:rPr>
              <w:t>Program Operations</w:t>
            </w:r>
          </w:p>
        </w:tc>
        <w:tc>
          <w:tcPr>
            <w:tcW w:type="dxa" w:w="3400"/>
          </w:tcPr>
          <w:p>
            <w:pPr>
              <w:spacing w:after="0" w:line="264" w:lineRule="auto"/>
            </w:pPr>
            <w:r>
              <w:rPr>
                <w:rFonts w:ascii="Calibri" w:hAnsi="Calibri" w:eastAsia="Calibri"/>
                <w:b w:val="0"/>
                <w:i w:val="0"/>
                <w:color w:val="1E293B"/>
                <w:sz w:val="18"/>
              </w:rPr>
              <w:t>Registration and reporting setup</w:t>
            </w:r>
          </w:p>
        </w:tc>
        <w:tc>
          <w:tcPr>
            <w:tcW w:type="dxa" w:w="3360"/>
          </w:tcPr>
          <w:p>
            <w:pPr>
              <w:spacing w:after="0" w:line="264" w:lineRule="auto"/>
            </w:pPr>
            <w:r>
              <w:rPr>
                <w:rFonts w:ascii="Calibri" w:hAnsi="Calibri" w:eastAsia="Calibri"/>
                <w:b w:val="0"/>
                <w:i w:val="0"/>
                <w:color w:val="1E293B"/>
                <w:sz w:val="18"/>
              </w:rPr>
              <w:t>Logistics and evidence tracking</w:t>
            </w:r>
          </w:p>
        </w:tc>
      </w:tr>
    </w:tbl>
    <w:p>
      <w:pPr>
        <w:spacing w:after="20"/>
        <w:widowControl/>
      </w:pPr>
    </w:p>
    <w:p>
      <w:pPr>
        <w:spacing w:after="120" w:line="300" w:lineRule="auto"/>
        <w:widowControl/>
      </w:pPr>
      <w:r>
        <w:rPr>
          <w:rFonts w:ascii="Calibri" w:hAnsi="Calibri" w:eastAsia="Calibri"/>
          <w:b w:val="0"/>
          <w:i/>
          <w:color w:val="64748B"/>
          <w:sz w:val="19"/>
        </w:rPr>
        <w:t>FTE estimates are planning assumptions, not approved staffing commitments.</w:t>
      </w:r>
    </w:p>
    <w:p>
      <w:pPr>
        <w:pStyle w:val="Heading2"/>
        <w:widowControl/>
      </w:pPr>
      <w:r>
        <w:t>34. Risk Register</w:t>
      </w:r>
    </w:p>
    <w:tbl>
      <w:tblPr>
        <w:tblStyle w:val="TableGrid"/>
        <w:tblW w:type="dxa" w:w="9360"/>
        <w:jc w:val="left"/>
        <w:tblLayout w:type="fixed"/>
        <w:tblLook w:firstColumn="1" w:firstRow="1" w:lastColumn="0" w:lastRow="0" w:noHBand="0" w:noVBand="1" w:val="04A0"/>
        <w:tblInd w:w="120" w:type="dxa"/>
      </w:tblPr>
      <w:tblGrid>
        <w:gridCol w:w="2350"/>
        <w:gridCol w:w="2960"/>
        <w:gridCol w:w="4050"/>
      </w:tblGrid>
      <w:tr>
        <w:trPr>
          <w:tblHeader w:val="true"/>
        </w:trPr>
        <w:tc>
          <w:tcPr>
            <w:tcW w:type="dxa" w:w="23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Risk</w:t>
            </w:r>
          </w:p>
        </w:tc>
        <w:tc>
          <w:tcPr>
            <w:tcW w:type="dxa" w:w="29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Impact</w:t>
            </w:r>
          </w:p>
        </w:tc>
        <w:tc>
          <w:tcPr>
            <w:tcW w:type="dxa" w:w="40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Mitigation</w:t>
            </w:r>
          </w:p>
        </w:tc>
      </w:tr>
      <w:tr>
        <w:trPr>
          <w:cantSplit/>
        </w:trPr>
        <w:tc>
          <w:tcPr>
            <w:tcW w:type="dxa" w:w="2350"/>
          </w:tcPr>
          <w:p>
            <w:pPr>
              <w:spacing w:after="0" w:line="264" w:lineRule="auto"/>
            </w:pPr>
            <w:r>
              <w:rPr>
                <w:rFonts w:ascii="Calibri" w:hAnsi="Calibri" w:eastAsia="Calibri"/>
                <w:b w:val="0"/>
                <w:i w:val="0"/>
                <w:color w:val="1E293B"/>
                <w:sz w:val="16"/>
              </w:rPr>
              <w:t>Tenant or connector failure</w:t>
            </w:r>
          </w:p>
        </w:tc>
        <w:tc>
          <w:tcPr>
            <w:tcW w:type="dxa" w:w="2960"/>
          </w:tcPr>
          <w:p>
            <w:pPr>
              <w:spacing w:after="0" w:line="264" w:lineRule="auto"/>
            </w:pPr>
            <w:r>
              <w:rPr>
                <w:rFonts w:ascii="Calibri" w:hAnsi="Calibri" w:eastAsia="Calibri"/>
                <w:b w:val="0"/>
                <w:i w:val="0"/>
                <w:color w:val="1E293B"/>
                <w:sz w:val="16"/>
              </w:rPr>
              <w:t>Workshop disruption and loss of confidence.</w:t>
            </w:r>
          </w:p>
        </w:tc>
        <w:tc>
          <w:tcPr>
            <w:tcW w:type="dxa" w:w="4050"/>
          </w:tcPr>
          <w:p>
            <w:pPr>
              <w:spacing w:after="0" w:line="264" w:lineRule="auto"/>
            </w:pPr>
            <w:r>
              <w:rPr>
                <w:rFonts w:ascii="Calibri" w:hAnsi="Calibri" w:eastAsia="Calibri"/>
                <w:b w:val="0"/>
                <w:i w:val="0"/>
                <w:color w:val="1E293B"/>
                <w:sz w:val="16"/>
              </w:rPr>
              <w:t>Health checks, frozen baseline, backup evidence pack and lab owner on call.</w:t>
            </w:r>
          </w:p>
        </w:tc>
      </w:tr>
      <w:tr>
        <w:trPr>
          <w:cantSplit/>
        </w:trPr>
        <w:tc>
          <w:tcPr>
            <w:tcW w:type="dxa" w:w="2350"/>
          </w:tcPr>
          <w:p>
            <w:pPr>
              <w:spacing w:after="0" w:line="264" w:lineRule="auto"/>
            </w:pPr>
            <w:r>
              <w:rPr>
                <w:rFonts w:ascii="Calibri" w:hAnsi="Calibri" w:eastAsia="Calibri"/>
                <w:b w:val="0"/>
                <w:i w:val="0"/>
                <w:color w:val="1E293B"/>
                <w:sz w:val="16"/>
              </w:rPr>
              <w:t>Product drift</w:t>
            </w:r>
          </w:p>
        </w:tc>
        <w:tc>
          <w:tcPr>
            <w:tcW w:type="dxa" w:w="2960"/>
          </w:tcPr>
          <w:p>
            <w:pPr>
              <w:spacing w:after="0" w:line="264" w:lineRule="auto"/>
            </w:pPr>
            <w:r>
              <w:rPr>
                <w:rFonts w:ascii="Calibri" w:hAnsi="Calibri" w:eastAsia="Calibri"/>
                <w:b w:val="0"/>
                <w:i w:val="0"/>
                <w:color w:val="1E293B"/>
                <w:sz w:val="16"/>
              </w:rPr>
              <w:t>Outdated screenshots, scenarios or claims.</w:t>
            </w:r>
          </w:p>
        </w:tc>
        <w:tc>
          <w:tcPr>
            <w:tcW w:type="dxa" w:w="4050"/>
          </w:tcPr>
          <w:p>
            <w:pPr>
              <w:spacing w:after="0" w:line="264" w:lineRule="auto"/>
            </w:pPr>
            <w:r>
              <w:rPr>
                <w:rFonts w:ascii="Calibri" w:hAnsi="Calibri" w:eastAsia="Calibri"/>
                <w:b w:val="0"/>
                <w:i w:val="0"/>
                <w:color w:val="1E293B"/>
                <w:sz w:val="16"/>
              </w:rPr>
              <w:t>Quarterly review and pre-cohort release validation.</w:t>
            </w:r>
          </w:p>
        </w:tc>
      </w:tr>
      <w:tr>
        <w:trPr>
          <w:cantSplit/>
        </w:trPr>
        <w:tc>
          <w:tcPr>
            <w:tcW w:type="dxa" w:w="2350"/>
          </w:tcPr>
          <w:p>
            <w:pPr>
              <w:spacing w:after="0" w:line="264" w:lineRule="auto"/>
            </w:pPr>
            <w:r>
              <w:rPr>
                <w:rFonts w:ascii="Calibri" w:hAnsi="Calibri" w:eastAsia="Calibri"/>
                <w:b w:val="0"/>
                <w:i w:val="0"/>
                <w:color w:val="1E293B"/>
                <w:sz w:val="16"/>
              </w:rPr>
              <w:t>Certification inflation</w:t>
            </w:r>
          </w:p>
        </w:tc>
        <w:tc>
          <w:tcPr>
            <w:tcW w:type="dxa" w:w="2960"/>
          </w:tcPr>
          <w:p>
            <w:pPr>
              <w:spacing w:after="0" w:line="264" w:lineRule="auto"/>
            </w:pPr>
            <w:r>
              <w:rPr>
                <w:rFonts w:ascii="Calibri" w:hAnsi="Calibri" w:eastAsia="Calibri"/>
                <w:b w:val="0"/>
                <w:i w:val="0"/>
                <w:color w:val="1E293B"/>
                <w:sz w:val="16"/>
              </w:rPr>
              <w:t>Graduates lead before they are field ready.</w:t>
            </w:r>
          </w:p>
        </w:tc>
        <w:tc>
          <w:tcPr>
            <w:tcW w:type="dxa" w:w="4050"/>
          </w:tcPr>
          <w:p>
            <w:pPr>
              <w:spacing w:after="0" w:line="264" w:lineRule="auto"/>
            </w:pPr>
            <w:r>
              <w:rPr>
                <w:rFonts w:ascii="Calibri" w:hAnsi="Calibri" w:eastAsia="Calibri"/>
                <w:b w:val="0"/>
                <w:i w:val="0"/>
                <w:color w:val="1E293B"/>
                <w:sz w:val="16"/>
              </w:rPr>
              <w:t>Separate Dojo Ready from live accreditation; require evidence board.</w:t>
            </w:r>
          </w:p>
        </w:tc>
      </w:tr>
      <w:tr>
        <w:trPr>
          <w:cantSplit/>
        </w:trPr>
        <w:tc>
          <w:tcPr>
            <w:tcW w:type="dxa" w:w="2350"/>
          </w:tcPr>
          <w:p>
            <w:pPr>
              <w:spacing w:after="0" w:line="264" w:lineRule="auto"/>
            </w:pPr>
            <w:r>
              <w:rPr>
                <w:rFonts w:ascii="Calibri" w:hAnsi="Calibri" w:eastAsia="Calibri"/>
                <w:b w:val="0"/>
                <w:i w:val="0"/>
                <w:color w:val="1E293B"/>
                <w:sz w:val="16"/>
              </w:rPr>
              <w:t>Low-quality nominations</w:t>
            </w:r>
          </w:p>
        </w:tc>
        <w:tc>
          <w:tcPr>
            <w:tcW w:type="dxa" w:w="2960"/>
          </w:tcPr>
          <w:p>
            <w:pPr>
              <w:spacing w:after="0" w:line="264" w:lineRule="auto"/>
            </w:pPr>
            <w:r>
              <w:rPr>
                <w:rFonts w:ascii="Calibri" w:hAnsi="Calibri" w:eastAsia="Calibri"/>
                <w:b w:val="0"/>
                <w:i w:val="0"/>
                <w:color w:val="1E293B"/>
                <w:sz w:val="16"/>
              </w:rPr>
              <w:t>Time spent teaching foundations.</w:t>
            </w:r>
          </w:p>
        </w:tc>
        <w:tc>
          <w:tcPr>
            <w:tcW w:type="dxa" w:w="4050"/>
          </w:tcPr>
          <w:p>
            <w:pPr>
              <w:spacing w:after="0" w:line="264" w:lineRule="auto"/>
            </w:pPr>
            <w:r>
              <w:rPr>
                <w:rFonts w:ascii="Calibri" w:hAnsi="Calibri" w:eastAsia="Calibri"/>
                <w:b w:val="0"/>
                <w:i w:val="0"/>
                <w:color w:val="1E293B"/>
                <w:sz w:val="16"/>
              </w:rPr>
              <w:t>Enforce prerequisites and manager nomination.</w:t>
            </w:r>
          </w:p>
        </w:tc>
      </w:tr>
      <w:tr>
        <w:trPr>
          <w:cantSplit/>
        </w:trPr>
        <w:tc>
          <w:tcPr>
            <w:tcW w:type="dxa" w:w="2350"/>
          </w:tcPr>
          <w:p>
            <w:pPr>
              <w:spacing w:after="0" w:line="264" w:lineRule="auto"/>
            </w:pPr>
            <w:r>
              <w:rPr>
                <w:rFonts w:ascii="Calibri" w:hAnsi="Calibri" w:eastAsia="Calibri"/>
                <w:b w:val="0"/>
                <w:i w:val="0"/>
                <w:color w:val="1E293B"/>
                <w:sz w:val="16"/>
              </w:rPr>
              <w:t>No live practicum opportunity</w:t>
            </w:r>
          </w:p>
        </w:tc>
        <w:tc>
          <w:tcPr>
            <w:tcW w:type="dxa" w:w="2960"/>
          </w:tcPr>
          <w:p>
            <w:pPr>
              <w:spacing w:after="0" w:line="264" w:lineRule="auto"/>
            </w:pPr>
            <w:r>
              <w:rPr>
                <w:rFonts w:ascii="Calibri" w:hAnsi="Calibri" w:eastAsia="Calibri"/>
                <w:b w:val="0"/>
                <w:i w:val="0"/>
                <w:color w:val="1E293B"/>
                <w:sz w:val="16"/>
              </w:rPr>
              <w:t>Skills decay after simulation.</w:t>
            </w:r>
          </w:p>
        </w:tc>
        <w:tc>
          <w:tcPr>
            <w:tcW w:type="dxa" w:w="4050"/>
          </w:tcPr>
          <w:p>
            <w:pPr>
              <w:spacing w:after="0" w:line="264" w:lineRule="auto"/>
            </w:pPr>
            <w:r>
              <w:rPr>
                <w:rFonts w:ascii="Calibri" w:hAnsi="Calibri" w:eastAsia="Calibri"/>
                <w:b w:val="0"/>
                <w:i w:val="0"/>
                <w:color w:val="1E293B"/>
                <w:sz w:val="16"/>
              </w:rPr>
              <w:t>Require partner opportunity commitment; time-bound Ready status.</w:t>
            </w:r>
          </w:p>
        </w:tc>
      </w:tr>
      <w:tr>
        <w:trPr>
          <w:cantSplit/>
        </w:trPr>
        <w:tc>
          <w:tcPr>
            <w:tcW w:type="dxa" w:w="2350"/>
          </w:tcPr>
          <w:p>
            <w:pPr>
              <w:spacing w:after="0" w:line="264" w:lineRule="auto"/>
            </w:pPr>
            <w:r>
              <w:rPr>
                <w:rFonts w:ascii="Calibri" w:hAnsi="Calibri" w:eastAsia="Calibri"/>
                <w:b w:val="0"/>
                <w:i w:val="0"/>
                <w:color w:val="1E293B"/>
                <w:sz w:val="16"/>
              </w:rPr>
              <w:t>Regional inconsistency</w:t>
            </w:r>
          </w:p>
        </w:tc>
        <w:tc>
          <w:tcPr>
            <w:tcW w:type="dxa" w:w="2960"/>
          </w:tcPr>
          <w:p>
            <w:pPr>
              <w:spacing w:after="0" w:line="264" w:lineRule="auto"/>
            </w:pPr>
            <w:r>
              <w:rPr>
                <w:rFonts w:ascii="Calibri" w:hAnsi="Calibri" w:eastAsia="Calibri"/>
                <w:b w:val="0"/>
                <w:i w:val="0"/>
                <w:color w:val="1E293B"/>
                <w:sz w:val="16"/>
              </w:rPr>
              <w:t>Different quality and partner expectations.</w:t>
            </w:r>
          </w:p>
        </w:tc>
        <w:tc>
          <w:tcPr>
            <w:tcW w:type="dxa" w:w="4050"/>
          </w:tcPr>
          <w:p>
            <w:pPr>
              <w:spacing w:after="0" w:line="264" w:lineRule="auto"/>
            </w:pPr>
            <w:r>
              <w:rPr>
                <w:rFonts w:ascii="Calibri" w:hAnsi="Calibri" w:eastAsia="Calibri"/>
                <w:b w:val="0"/>
                <w:i w:val="0"/>
                <w:color w:val="1E293B"/>
                <w:sz w:val="16"/>
              </w:rPr>
              <w:t>Common rubric, facilitator calibration and controlled localization.</w:t>
            </w:r>
          </w:p>
        </w:tc>
      </w:tr>
      <w:tr>
        <w:trPr>
          <w:cantSplit/>
        </w:trPr>
        <w:tc>
          <w:tcPr>
            <w:tcW w:type="dxa" w:w="2350"/>
          </w:tcPr>
          <w:p>
            <w:pPr>
              <w:spacing w:after="0" w:line="264" w:lineRule="auto"/>
            </w:pPr>
            <w:r>
              <w:rPr>
                <w:rFonts w:ascii="Calibri" w:hAnsi="Calibri" w:eastAsia="Calibri"/>
                <w:b w:val="0"/>
                <w:i w:val="0"/>
                <w:color w:val="1E293B"/>
                <w:sz w:val="16"/>
              </w:rPr>
              <w:t>Sensitive data handling</w:t>
            </w:r>
          </w:p>
        </w:tc>
        <w:tc>
          <w:tcPr>
            <w:tcW w:type="dxa" w:w="2960"/>
          </w:tcPr>
          <w:p>
            <w:pPr>
              <w:spacing w:after="0" w:line="264" w:lineRule="auto"/>
            </w:pPr>
            <w:r>
              <w:rPr>
                <w:rFonts w:ascii="Calibri" w:hAnsi="Calibri" w:eastAsia="Calibri"/>
                <w:b w:val="0"/>
                <w:i w:val="0"/>
                <w:color w:val="1E293B"/>
                <w:sz w:val="16"/>
              </w:rPr>
              <w:t>Customer trust, security or legal exposure.</w:t>
            </w:r>
          </w:p>
        </w:tc>
        <w:tc>
          <w:tcPr>
            <w:tcW w:type="dxa" w:w="4050"/>
          </w:tcPr>
          <w:p>
            <w:pPr>
              <w:spacing w:after="0" w:line="264" w:lineRule="auto"/>
            </w:pPr>
            <w:r>
              <w:rPr>
                <w:rFonts w:ascii="Calibri" w:hAnsi="Calibri" w:eastAsia="Calibri"/>
                <w:b w:val="0"/>
                <w:i w:val="0"/>
                <w:color w:val="1E293B"/>
                <w:sz w:val="16"/>
              </w:rPr>
              <w:t>Synthetic training only; redaction rules for practicum evidence.</w:t>
            </w:r>
          </w:p>
        </w:tc>
      </w:tr>
      <w:tr>
        <w:trPr>
          <w:cantSplit/>
        </w:trPr>
        <w:tc>
          <w:tcPr>
            <w:tcW w:type="dxa" w:w="2350"/>
          </w:tcPr>
          <w:p>
            <w:pPr>
              <w:spacing w:after="0" w:line="264" w:lineRule="auto"/>
            </w:pPr>
            <w:r>
              <w:rPr>
                <w:rFonts w:ascii="Calibri" w:hAnsi="Calibri" w:eastAsia="Calibri"/>
                <w:b w:val="0"/>
                <w:i w:val="0"/>
                <w:color w:val="1E293B"/>
                <w:sz w:val="16"/>
              </w:rPr>
              <w:t>Sales pressure bypasses gates</w:t>
            </w:r>
          </w:p>
        </w:tc>
        <w:tc>
          <w:tcPr>
            <w:tcW w:type="dxa" w:w="2960"/>
          </w:tcPr>
          <w:p>
            <w:pPr>
              <w:spacing w:after="0" w:line="264" w:lineRule="auto"/>
            </w:pPr>
            <w:r>
              <w:rPr>
                <w:rFonts w:ascii="Calibri" w:hAnsi="Calibri" w:eastAsia="Calibri"/>
                <w:b w:val="0"/>
                <w:i w:val="0"/>
                <w:color w:val="1E293B"/>
                <w:sz w:val="16"/>
              </w:rPr>
              <w:t>Unqualified POV volume and field overload.</w:t>
            </w:r>
          </w:p>
        </w:tc>
        <w:tc>
          <w:tcPr>
            <w:tcW w:type="dxa" w:w="4050"/>
          </w:tcPr>
          <w:p>
            <w:pPr>
              <w:spacing w:after="0" w:line="264" w:lineRule="auto"/>
            </w:pPr>
            <w:r>
              <w:rPr>
                <w:rFonts w:ascii="Calibri" w:hAnsi="Calibri" w:eastAsia="Calibri"/>
                <w:b w:val="0"/>
                <w:i w:val="0"/>
                <w:color w:val="1E293B"/>
                <w:sz w:val="16"/>
              </w:rPr>
              <w:t>Partner Leader Clinic and No-Go metric recognition.</w:t>
            </w:r>
          </w:p>
        </w:tc>
      </w:tr>
      <w:tr>
        <w:trPr>
          <w:cantSplit/>
        </w:trPr>
        <w:tc>
          <w:tcPr>
            <w:tcW w:type="dxa" w:w="2350"/>
          </w:tcPr>
          <w:p>
            <w:pPr>
              <w:spacing w:after="0" w:line="264" w:lineRule="auto"/>
            </w:pPr>
            <w:r>
              <w:rPr>
                <w:rFonts w:ascii="Calibri" w:hAnsi="Calibri" w:eastAsia="Calibri"/>
                <w:b w:val="0"/>
                <w:i w:val="0"/>
                <w:color w:val="1E293B"/>
                <w:sz w:val="16"/>
              </w:rPr>
              <w:t>Facilitator capacity</w:t>
            </w:r>
          </w:p>
        </w:tc>
        <w:tc>
          <w:tcPr>
            <w:tcW w:type="dxa" w:w="2960"/>
          </w:tcPr>
          <w:p>
            <w:pPr>
              <w:spacing w:after="0" w:line="264" w:lineRule="auto"/>
            </w:pPr>
            <w:r>
              <w:rPr>
                <w:rFonts w:ascii="Calibri" w:hAnsi="Calibri" w:eastAsia="Calibri"/>
                <w:b w:val="0"/>
                <w:i w:val="0"/>
                <w:color w:val="1E293B"/>
                <w:sz w:val="16"/>
              </w:rPr>
              <w:t>Slow scale and inconsistent feedback.</w:t>
            </w:r>
          </w:p>
        </w:tc>
        <w:tc>
          <w:tcPr>
            <w:tcW w:type="dxa" w:w="4050"/>
          </w:tcPr>
          <w:p>
            <w:pPr>
              <w:spacing w:after="0" w:line="264" w:lineRule="auto"/>
            </w:pPr>
            <w:r>
              <w:rPr>
                <w:rFonts w:ascii="Calibri" w:hAnsi="Calibri" w:eastAsia="Calibri"/>
                <w:b w:val="0"/>
                <w:i w:val="0"/>
                <w:color w:val="1E293B"/>
                <w:sz w:val="16"/>
              </w:rPr>
              <w:t>Train-the-facilitator path and cohort-size caps.</w:t>
            </w:r>
          </w:p>
        </w:tc>
      </w:tr>
    </w:tbl>
    <w:p>
      <w:pPr>
        <w:spacing w:after="20"/>
        <w:widowControl/>
      </w:pPr>
    </w:p>
    <w:p>
      <w:pPr>
        <w:pStyle w:val="Heading2"/>
        <w:widowControl/>
      </w:pPr>
      <w:r>
        <w:t>35. Decisions Required Before Build</w:t>
      </w:r>
    </w:p>
    <w:tbl>
      <w:tblPr>
        <w:tblStyle w:val="TableGrid"/>
        <w:tblW w:type="dxa" w:w="9360"/>
        <w:jc w:val="left"/>
        <w:tblLayout w:type="fixed"/>
        <w:tblLook w:firstColumn="1" w:firstRow="1" w:lastColumn="0" w:lastRow="0" w:noHBand="0" w:noVBand="1" w:val="04A0"/>
        <w:tblInd w:w="120" w:type="dxa"/>
      </w:tblPr>
      <w:tblGrid>
        <w:gridCol w:w="2500"/>
        <w:gridCol w:w="4400"/>
        <w:gridCol w:w="2460"/>
      </w:tblGrid>
      <w:tr>
        <w:trPr>
          <w:tblHeader w:val="true"/>
        </w:trPr>
        <w:tc>
          <w:tcPr>
            <w:tcW w:type="dxa" w:w="25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Decision</w:t>
            </w:r>
          </w:p>
        </w:tc>
        <w:tc>
          <w:tcPr>
            <w:tcW w:type="dxa" w:w="44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Proposed Default</w:t>
            </w:r>
          </w:p>
        </w:tc>
        <w:tc>
          <w:tcPr>
            <w:tcW w:type="dxa" w:w="24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Owner to Confirm</w:t>
            </w:r>
          </w:p>
        </w:tc>
      </w:tr>
      <w:tr>
        <w:trPr>
          <w:cantSplit/>
        </w:trPr>
        <w:tc>
          <w:tcPr>
            <w:tcW w:type="dxa" w:w="2500"/>
          </w:tcPr>
          <w:p>
            <w:pPr>
              <w:spacing w:after="0" w:line="264" w:lineRule="auto"/>
            </w:pPr>
            <w:r>
              <w:rPr>
                <w:rFonts w:ascii="Calibri" w:hAnsi="Calibri" w:eastAsia="Calibri"/>
                <w:b w:val="0"/>
                <w:i w:val="0"/>
                <w:color w:val="1E293B"/>
                <w:sz w:val="16"/>
              </w:rPr>
              <w:t>Program sponsor and budget</w:t>
            </w:r>
          </w:p>
        </w:tc>
        <w:tc>
          <w:tcPr>
            <w:tcW w:type="dxa" w:w="4400"/>
          </w:tcPr>
          <w:p>
            <w:pPr>
              <w:spacing w:after="0" w:line="264" w:lineRule="auto"/>
            </w:pPr>
            <w:r>
              <w:rPr>
                <w:rFonts w:ascii="Calibri" w:hAnsi="Calibri" w:eastAsia="Calibri"/>
                <w:b w:val="0"/>
                <w:i w:val="0"/>
                <w:color w:val="1E293B"/>
                <w:sz w:val="16"/>
              </w:rPr>
              <w:t>APJ Partner Leadership sponsors; PSA owns design.</w:t>
            </w:r>
          </w:p>
        </w:tc>
        <w:tc>
          <w:tcPr>
            <w:tcW w:type="dxa" w:w="2460"/>
          </w:tcPr>
          <w:p>
            <w:pPr>
              <w:spacing w:after="0" w:line="264" w:lineRule="auto"/>
            </w:pPr>
            <w:r>
              <w:rPr>
                <w:rFonts w:ascii="Calibri" w:hAnsi="Calibri" w:eastAsia="Calibri"/>
                <w:b w:val="0"/>
                <w:i w:val="0"/>
                <w:color w:val="1E293B"/>
                <w:sz w:val="16"/>
              </w:rPr>
              <w:t>APJ Partner Leadership</w:t>
            </w:r>
          </w:p>
        </w:tc>
      </w:tr>
      <w:tr>
        <w:trPr>
          <w:cantSplit/>
        </w:trPr>
        <w:tc>
          <w:tcPr>
            <w:tcW w:type="dxa" w:w="2500"/>
          </w:tcPr>
          <w:p>
            <w:pPr>
              <w:spacing w:after="0" w:line="264" w:lineRule="auto"/>
            </w:pPr>
            <w:r>
              <w:rPr>
                <w:rFonts w:ascii="Calibri" w:hAnsi="Calibri" w:eastAsia="Calibri"/>
                <w:b w:val="0"/>
                <w:i w:val="0"/>
                <w:color w:val="1E293B"/>
                <w:sz w:val="16"/>
              </w:rPr>
              <w:t>Tenant model</w:t>
            </w:r>
          </w:p>
        </w:tc>
        <w:tc>
          <w:tcPr>
            <w:tcW w:type="dxa" w:w="4400"/>
          </w:tcPr>
          <w:p>
            <w:pPr>
              <w:spacing w:after="0" w:line="264" w:lineRule="auto"/>
            </w:pPr>
            <w:r>
              <w:rPr>
                <w:rFonts w:ascii="Calibri" w:hAnsi="Calibri" w:eastAsia="Calibri"/>
                <w:b w:val="0"/>
                <w:i w:val="0"/>
                <w:color w:val="1E293B"/>
                <w:sz w:val="16"/>
              </w:rPr>
              <w:t>Dedicated centrally governed training/NFR environment with isolated team scopes.</w:t>
            </w:r>
          </w:p>
        </w:tc>
        <w:tc>
          <w:tcPr>
            <w:tcW w:type="dxa" w:w="2460"/>
          </w:tcPr>
          <w:p>
            <w:pPr>
              <w:spacing w:after="0" w:line="264" w:lineRule="auto"/>
            </w:pPr>
            <w:r>
              <w:rPr>
                <w:rFonts w:ascii="Calibri" w:hAnsi="Calibri" w:eastAsia="Calibri"/>
                <w:b w:val="0"/>
                <w:i w:val="0"/>
                <w:color w:val="1E293B"/>
                <w:sz w:val="16"/>
              </w:rPr>
              <w:t>Global Enablement / Product / Security</w:t>
            </w:r>
          </w:p>
        </w:tc>
      </w:tr>
      <w:tr>
        <w:trPr>
          <w:cantSplit/>
        </w:trPr>
        <w:tc>
          <w:tcPr>
            <w:tcW w:type="dxa" w:w="2500"/>
          </w:tcPr>
          <w:p>
            <w:pPr>
              <w:spacing w:after="0" w:line="264" w:lineRule="auto"/>
            </w:pPr>
            <w:r>
              <w:rPr>
                <w:rFonts w:ascii="Calibri" w:hAnsi="Calibri" w:eastAsia="Calibri"/>
                <w:b w:val="0"/>
                <w:i w:val="0"/>
                <w:color w:val="1E293B"/>
                <w:sz w:val="16"/>
              </w:rPr>
              <w:t>Included products and entitlements</w:t>
            </w:r>
          </w:p>
        </w:tc>
        <w:tc>
          <w:tcPr>
            <w:tcW w:type="dxa" w:w="4400"/>
          </w:tcPr>
          <w:p>
            <w:pPr>
              <w:spacing w:after="0" w:line="264" w:lineRule="auto"/>
            </w:pPr>
            <w:r>
              <w:rPr>
                <w:rFonts w:ascii="Calibri" w:hAnsi="Calibri" w:eastAsia="Calibri"/>
                <w:b w:val="0"/>
                <w:i w:val="0"/>
                <w:color w:val="1E293B"/>
                <w:sz w:val="16"/>
              </w:rPr>
              <w:t>Core multi-cloud risk pack; electives only when validated.</w:t>
            </w:r>
          </w:p>
        </w:tc>
        <w:tc>
          <w:tcPr>
            <w:tcW w:type="dxa" w:w="2460"/>
          </w:tcPr>
          <w:p>
            <w:pPr>
              <w:spacing w:after="0" w:line="264" w:lineRule="auto"/>
            </w:pPr>
            <w:r>
              <w:rPr>
                <w:rFonts w:ascii="Calibri" w:hAnsi="Calibri" w:eastAsia="Calibri"/>
                <w:b w:val="0"/>
                <w:i w:val="0"/>
                <w:color w:val="1E293B"/>
                <w:sz w:val="16"/>
              </w:rPr>
              <w:t>Product and Commercial Operations</w:t>
            </w:r>
          </w:p>
        </w:tc>
      </w:tr>
      <w:tr>
        <w:trPr>
          <w:cantSplit/>
        </w:trPr>
        <w:tc>
          <w:tcPr>
            <w:tcW w:type="dxa" w:w="2500"/>
          </w:tcPr>
          <w:p>
            <w:pPr>
              <w:spacing w:after="0" w:line="264" w:lineRule="auto"/>
            </w:pPr>
            <w:r>
              <w:rPr>
                <w:rFonts w:ascii="Calibri" w:hAnsi="Calibri" w:eastAsia="Calibri"/>
                <w:b w:val="0"/>
                <w:i w:val="0"/>
                <w:color w:val="1E293B"/>
                <w:sz w:val="16"/>
              </w:rPr>
              <w:t>Accreditation authority</w:t>
            </w:r>
          </w:p>
        </w:tc>
        <w:tc>
          <w:tcPr>
            <w:tcW w:type="dxa" w:w="4400"/>
          </w:tcPr>
          <w:p>
            <w:pPr>
              <w:spacing w:after="0" w:line="264" w:lineRule="auto"/>
            </w:pPr>
            <w:r>
              <w:rPr>
                <w:rFonts w:ascii="Calibri" w:hAnsi="Calibri" w:eastAsia="Calibri"/>
                <w:b w:val="0"/>
                <w:i w:val="0"/>
                <w:color w:val="1E293B"/>
                <w:sz w:val="16"/>
              </w:rPr>
              <w:t>APJ board with Global Enablement alignment.</w:t>
            </w:r>
          </w:p>
        </w:tc>
        <w:tc>
          <w:tcPr>
            <w:tcW w:type="dxa" w:w="2460"/>
          </w:tcPr>
          <w:p>
            <w:pPr>
              <w:spacing w:after="0" w:line="264" w:lineRule="auto"/>
            </w:pPr>
            <w:r>
              <w:rPr>
                <w:rFonts w:ascii="Calibri" w:hAnsi="Calibri" w:eastAsia="Calibri"/>
                <w:b w:val="0"/>
                <w:i w:val="0"/>
                <w:color w:val="1E293B"/>
                <w:sz w:val="16"/>
              </w:rPr>
              <w:t>Global Partner Enablement</w:t>
            </w:r>
          </w:p>
        </w:tc>
      </w:tr>
      <w:tr>
        <w:trPr>
          <w:cantSplit/>
        </w:trPr>
        <w:tc>
          <w:tcPr>
            <w:tcW w:type="dxa" w:w="2500"/>
          </w:tcPr>
          <w:p>
            <w:pPr>
              <w:spacing w:after="0" w:line="264" w:lineRule="auto"/>
            </w:pPr>
            <w:r>
              <w:rPr>
                <w:rFonts w:ascii="Calibri" w:hAnsi="Calibri" w:eastAsia="Calibri"/>
                <w:b w:val="0"/>
                <w:i w:val="0"/>
                <w:color w:val="1E293B"/>
                <w:sz w:val="16"/>
              </w:rPr>
              <w:t>Pass threshold and validity</w:t>
            </w:r>
          </w:p>
        </w:tc>
        <w:tc>
          <w:tcPr>
            <w:tcW w:type="dxa" w:w="4400"/>
          </w:tcPr>
          <w:p>
            <w:pPr>
              <w:spacing w:after="0" w:line="264" w:lineRule="auto"/>
            </w:pPr>
            <w:r>
              <w:rPr>
                <w:rFonts w:ascii="Calibri" w:hAnsi="Calibri" w:eastAsia="Calibri"/>
                <w:b w:val="0"/>
                <w:i w:val="0"/>
                <w:color w:val="1E293B"/>
                <w:sz w:val="16"/>
              </w:rPr>
              <w:t>80/100, no critical fail, 12-month validity.</w:t>
            </w:r>
          </w:p>
        </w:tc>
        <w:tc>
          <w:tcPr>
            <w:tcW w:type="dxa" w:w="2460"/>
          </w:tcPr>
          <w:p>
            <w:pPr>
              <w:spacing w:after="0" w:line="264" w:lineRule="auto"/>
            </w:pPr>
            <w:r>
              <w:rPr>
                <w:rFonts w:ascii="Calibri" w:hAnsi="Calibri" w:eastAsia="Calibri"/>
                <w:b w:val="0"/>
                <w:i w:val="0"/>
                <w:color w:val="1E293B"/>
                <w:sz w:val="16"/>
              </w:rPr>
              <w:t>Certification Board</w:t>
            </w:r>
          </w:p>
        </w:tc>
      </w:tr>
      <w:tr>
        <w:trPr>
          <w:cantSplit/>
        </w:trPr>
        <w:tc>
          <w:tcPr>
            <w:tcW w:type="dxa" w:w="2500"/>
          </w:tcPr>
          <w:p>
            <w:pPr>
              <w:spacing w:after="0" w:line="264" w:lineRule="auto"/>
            </w:pPr>
            <w:r>
              <w:rPr>
                <w:rFonts w:ascii="Calibri" w:hAnsi="Calibri" w:eastAsia="Calibri"/>
                <w:b w:val="0"/>
                <w:i w:val="0"/>
                <w:color w:val="1E293B"/>
                <w:sz w:val="16"/>
              </w:rPr>
              <w:t>Partner eligibility</w:t>
            </w:r>
          </w:p>
        </w:tc>
        <w:tc>
          <w:tcPr>
            <w:tcW w:type="dxa" w:w="4400"/>
          </w:tcPr>
          <w:p>
            <w:pPr>
              <w:spacing w:after="0" w:line="264" w:lineRule="auto"/>
            </w:pPr>
            <w:r>
              <w:rPr>
                <w:rFonts w:ascii="Calibri" w:hAnsi="Calibri" w:eastAsia="Calibri"/>
                <w:b w:val="0"/>
                <w:i w:val="0"/>
                <w:color w:val="1E293B"/>
                <w:sz w:val="16"/>
              </w:rPr>
              <w:t>Required foundation training plus manager and opportunity commitment.</w:t>
            </w:r>
          </w:p>
        </w:tc>
        <w:tc>
          <w:tcPr>
            <w:tcW w:type="dxa" w:w="2460"/>
          </w:tcPr>
          <w:p>
            <w:pPr>
              <w:spacing w:after="0" w:line="264" w:lineRule="auto"/>
            </w:pPr>
            <w:r>
              <w:rPr>
                <w:rFonts w:ascii="Calibri" w:hAnsi="Calibri" w:eastAsia="Calibri"/>
                <w:b w:val="0"/>
                <w:i w:val="0"/>
                <w:color w:val="1E293B"/>
                <w:sz w:val="16"/>
              </w:rPr>
              <w:t>Regional Partner Leadership</w:t>
            </w:r>
          </w:p>
        </w:tc>
      </w:tr>
      <w:tr>
        <w:trPr>
          <w:cantSplit/>
        </w:trPr>
        <w:tc>
          <w:tcPr>
            <w:tcW w:type="dxa" w:w="2500"/>
          </w:tcPr>
          <w:p>
            <w:pPr>
              <w:spacing w:after="0" w:line="264" w:lineRule="auto"/>
            </w:pPr>
            <w:r>
              <w:rPr>
                <w:rFonts w:ascii="Calibri" w:hAnsi="Calibri" w:eastAsia="Calibri"/>
                <w:b w:val="0"/>
                <w:i w:val="0"/>
                <w:color w:val="1E293B"/>
                <w:sz w:val="16"/>
              </w:rPr>
              <w:t>Evidence retention</w:t>
            </w:r>
          </w:p>
        </w:tc>
        <w:tc>
          <w:tcPr>
            <w:tcW w:type="dxa" w:w="4400"/>
          </w:tcPr>
          <w:p>
            <w:pPr>
              <w:spacing w:after="0" w:line="264" w:lineRule="auto"/>
            </w:pPr>
            <w:r>
              <w:rPr>
                <w:rFonts w:ascii="Calibri" w:hAnsi="Calibri" w:eastAsia="Calibri"/>
                <w:b w:val="0"/>
                <w:i w:val="0"/>
                <w:color w:val="1E293B"/>
                <w:sz w:val="16"/>
              </w:rPr>
              <w:t>Minimum necessary, redacted, time-bound retention.</w:t>
            </w:r>
          </w:p>
        </w:tc>
        <w:tc>
          <w:tcPr>
            <w:tcW w:type="dxa" w:w="2460"/>
          </w:tcPr>
          <w:p>
            <w:pPr>
              <w:spacing w:after="0" w:line="264" w:lineRule="auto"/>
            </w:pPr>
            <w:r>
              <w:rPr>
                <w:rFonts w:ascii="Calibri" w:hAnsi="Calibri" w:eastAsia="Calibri"/>
                <w:b w:val="0"/>
                <w:i w:val="0"/>
                <w:color w:val="1E293B"/>
                <w:sz w:val="16"/>
              </w:rPr>
              <w:t>Legal / Security / Privacy</w:t>
            </w:r>
          </w:p>
        </w:tc>
      </w:tr>
      <w:tr>
        <w:trPr>
          <w:cantSplit/>
        </w:trPr>
        <w:tc>
          <w:tcPr>
            <w:tcW w:type="dxa" w:w="2500"/>
          </w:tcPr>
          <w:p>
            <w:pPr>
              <w:spacing w:after="0" w:line="264" w:lineRule="auto"/>
            </w:pPr>
            <w:r>
              <w:rPr>
                <w:rFonts w:ascii="Calibri" w:hAnsi="Calibri" w:eastAsia="Calibri"/>
                <w:b w:val="0"/>
                <w:i w:val="0"/>
                <w:color w:val="1E293B"/>
                <w:sz w:val="16"/>
              </w:rPr>
              <w:t>Localization scope</w:t>
            </w:r>
          </w:p>
        </w:tc>
        <w:tc>
          <w:tcPr>
            <w:tcW w:type="dxa" w:w="4400"/>
          </w:tcPr>
          <w:p>
            <w:pPr>
              <w:spacing w:after="0" w:line="264" w:lineRule="auto"/>
            </w:pPr>
            <w:r>
              <w:rPr>
                <w:rFonts w:ascii="Calibri" w:hAnsi="Calibri" w:eastAsia="Calibri"/>
                <w:b w:val="0"/>
                <w:i w:val="0"/>
                <w:color w:val="1E293B"/>
                <w:sz w:val="16"/>
              </w:rPr>
              <w:t>English master; Japanese and Korean participant packs first.</w:t>
            </w:r>
          </w:p>
        </w:tc>
        <w:tc>
          <w:tcPr>
            <w:tcW w:type="dxa" w:w="2460"/>
          </w:tcPr>
          <w:p>
            <w:pPr>
              <w:spacing w:after="0" w:line="264" w:lineRule="auto"/>
            </w:pPr>
            <w:r>
              <w:rPr>
                <w:rFonts w:ascii="Calibri" w:hAnsi="Calibri" w:eastAsia="Calibri"/>
                <w:b w:val="0"/>
                <w:i w:val="0"/>
                <w:color w:val="1E293B"/>
                <w:sz w:val="16"/>
              </w:rPr>
              <w:t>Regional Leadership</w:t>
            </w:r>
          </w:p>
        </w:tc>
      </w:tr>
      <w:tr>
        <w:trPr>
          <w:cantSplit/>
        </w:trPr>
        <w:tc>
          <w:tcPr>
            <w:tcW w:type="dxa" w:w="2500"/>
          </w:tcPr>
          <w:p>
            <w:pPr>
              <w:spacing w:after="0" w:line="264" w:lineRule="auto"/>
            </w:pPr>
            <w:r>
              <w:rPr>
                <w:rFonts w:ascii="Calibri" w:hAnsi="Calibri" w:eastAsia="Calibri"/>
                <w:b w:val="0"/>
                <w:i w:val="0"/>
                <w:color w:val="1E293B"/>
                <w:sz w:val="16"/>
              </w:rPr>
              <w:t>System of record</w:t>
            </w:r>
          </w:p>
        </w:tc>
        <w:tc>
          <w:tcPr>
            <w:tcW w:type="dxa" w:w="4400"/>
          </w:tcPr>
          <w:p>
            <w:pPr>
              <w:spacing w:after="0" w:line="264" w:lineRule="auto"/>
            </w:pPr>
            <w:r>
              <w:rPr>
                <w:rFonts w:ascii="Calibri" w:hAnsi="Calibri" w:eastAsia="Calibri"/>
                <w:b w:val="0"/>
                <w:i w:val="0"/>
                <w:color w:val="1E293B"/>
                <w:sz w:val="16"/>
              </w:rPr>
              <w:t>Existing partner enablement/LMS and opportunity systems where available.</w:t>
            </w:r>
          </w:p>
        </w:tc>
        <w:tc>
          <w:tcPr>
            <w:tcW w:type="dxa" w:w="2460"/>
          </w:tcPr>
          <w:p>
            <w:pPr>
              <w:spacing w:after="0" w:line="264" w:lineRule="auto"/>
            </w:pPr>
            <w:r>
              <w:rPr>
                <w:rFonts w:ascii="Calibri" w:hAnsi="Calibri" w:eastAsia="Calibri"/>
                <w:b w:val="0"/>
                <w:i w:val="0"/>
                <w:color w:val="1E293B"/>
                <w:sz w:val="16"/>
              </w:rPr>
              <w:t>Program Operations</w:t>
            </w:r>
          </w:p>
        </w:tc>
      </w:tr>
    </w:tbl>
    <w:p>
      <w:pPr>
        <w:spacing w:after="20"/>
        <w:widowControl/>
      </w:pPr>
    </w:p>
    <w:p>
      <w:pPr>
        <w:pStyle w:val="Heading2"/>
        <w:widowControl/>
      </w:pPr>
      <w:r>
        <w:t>36. Definition of Program-Ready</w:t>
      </w:r>
    </w:p>
    <w:p>
      <w:pPr>
        <w:spacing w:after="120" w:line="300" w:lineRule="auto"/>
        <w:widowControl/>
      </w:pPr>
      <w:r>
        <w:rPr>
          <w:rFonts w:ascii="Calibri" w:hAnsi="Calibri" w:eastAsia="Calibri"/>
          <w:b w:val="0"/>
          <w:i w:val="0"/>
          <w:color w:val="1E293B"/>
          <w:sz w:val="22"/>
        </w:rPr>
        <w:t>Partner POV Dojo is ready for an external partner pilot only when all of the following are true:</w:t>
      </w:r>
    </w:p>
    <w:p>
      <w:pPr>
        <w:numPr>
          <w:ilvl w:val="0"/>
          <w:numId w:val="10"/>
        </w:numPr>
        <w:spacing w:after="80" w:line="300" w:lineRule="auto"/>
        <w:ind w:left="540" w:hanging="271"/>
        <w:widowControl/>
      </w:pPr>
      <w:r>
        <w:rPr>
          <w:rFonts w:ascii="Calibri" w:hAnsi="Calibri" w:eastAsia="Calibri"/>
          <w:b w:val="0"/>
          <w:i w:val="0"/>
          <w:color w:val="1E293B"/>
          <w:sz w:val="22"/>
        </w:rPr>
        <w:t>Program charter, eligibility rules and accreditation levels are approved.</w:t>
      </w:r>
    </w:p>
    <w:p>
      <w:pPr>
        <w:numPr>
          <w:ilvl w:val="0"/>
          <w:numId w:val="10"/>
        </w:numPr>
        <w:spacing w:after="80" w:line="300" w:lineRule="auto"/>
        <w:ind w:left="540" w:hanging="271"/>
        <w:widowControl/>
      </w:pPr>
      <w:r>
        <w:rPr>
          <w:rFonts w:ascii="Calibri" w:hAnsi="Calibri" w:eastAsia="Calibri"/>
          <w:b w:val="0"/>
          <w:i w:val="0"/>
          <w:color w:val="1E293B"/>
          <w:sz w:val="22"/>
        </w:rPr>
        <w:t>Golden Customer, personas and hidden facilitator prompts are complete.</w:t>
      </w:r>
    </w:p>
    <w:p>
      <w:pPr>
        <w:numPr>
          <w:ilvl w:val="0"/>
          <w:numId w:val="10"/>
        </w:numPr>
        <w:spacing w:after="80" w:line="300" w:lineRule="auto"/>
        <w:ind w:left="540" w:hanging="271"/>
        <w:widowControl/>
      </w:pPr>
      <w:r>
        <w:rPr>
          <w:rFonts w:ascii="Calibri" w:hAnsi="Calibri" w:eastAsia="Calibri"/>
          <w:b w:val="0"/>
          <w:i w:val="0"/>
          <w:color w:val="1E293B"/>
          <w:sz w:val="22"/>
        </w:rPr>
        <w:t>Golden Tenant passes reset, isolation, access, cost and security checks.</w:t>
      </w:r>
    </w:p>
    <w:p>
      <w:pPr>
        <w:numPr>
          <w:ilvl w:val="0"/>
          <w:numId w:val="10"/>
        </w:numPr>
        <w:spacing w:after="80" w:line="300" w:lineRule="auto"/>
        <w:ind w:left="540" w:hanging="271"/>
        <w:widowControl/>
      </w:pPr>
      <w:r>
        <w:rPr>
          <w:rFonts w:ascii="Calibri" w:hAnsi="Calibri" w:eastAsia="Calibri"/>
          <w:b w:val="0"/>
          <w:i w:val="0"/>
          <w:color w:val="1E293B"/>
          <w:sz w:val="22"/>
        </w:rPr>
        <w:t>Expected findings and answer key are validated against the current product release.</w:t>
      </w:r>
    </w:p>
    <w:p>
      <w:pPr>
        <w:numPr>
          <w:ilvl w:val="0"/>
          <w:numId w:val="10"/>
        </w:numPr>
        <w:spacing w:after="80" w:line="300" w:lineRule="auto"/>
        <w:ind w:left="540" w:hanging="271"/>
        <w:widowControl/>
      </w:pPr>
      <w:r>
        <w:rPr>
          <w:rFonts w:ascii="Calibri" w:hAnsi="Calibri" w:eastAsia="Calibri"/>
          <w:b w:val="0"/>
          <w:i w:val="0"/>
          <w:color w:val="1E293B"/>
          <w:sz w:val="22"/>
        </w:rPr>
        <w:t>All participant templates and facilitator materials are version controlled.</w:t>
      </w:r>
    </w:p>
    <w:p>
      <w:pPr>
        <w:numPr>
          <w:ilvl w:val="0"/>
          <w:numId w:val="10"/>
        </w:numPr>
        <w:spacing w:after="80" w:line="300" w:lineRule="auto"/>
        <w:ind w:left="540" w:hanging="271"/>
        <w:widowControl/>
      </w:pPr>
      <w:r>
        <w:rPr>
          <w:rFonts w:ascii="Calibri" w:hAnsi="Calibri" w:eastAsia="Calibri"/>
          <w:b w:val="0"/>
          <w:i w:val="0"/>
          <w:color w:val="1E293B"/>
          <w:sz w:val="22"/>
        </w:rPr>
        <w:t>At least two facilitators complete calibration and an internal dry run.</w:t>
      </w:r>
    </w:p>
    <w:p>
      <w:pPr>
        <w:numPr>
          <w:ilvl w:val="0"/>
          <w:numId w:val="10"/>
        </w:numPr>
        <w:spacing w:after="80" w:line="300" w:lineRule="auto"/>
        <w:ind w:left="540" w:hanging="271"/>
        <w:widowControl/>
      </w:pPr>
      <w:r>
        <w:rPr>
          <w:rFonts w:ascii="Calibri" w:hAnsi="Calibri" w:eastAsia="Calibri"/>
          <w:b w:val="0"/>
          <w:i w:val="0"/>
          <w:color w:val="1E293B"/>
          <w:sz w:val="22"/>
        </w:rPr>
        <w:t>Pilot partners nominate eligible participants and live practicum opportunities.</w:t>
      </w:r>
    </w:p>
    <w:p>
      <w:pPr>
        <w:numPr>
          <w:ilvl w:val="0"/>
          <w:numId w:val="10"/>
        </w:numPr>
        <w:spacing w:after="80" w:line="300" w:lineRule="auto"/>
        <w:ind w:left="540" w:hanging="271"/>
        <w:widowControl/>
      </w:pPr>
      <w:r>
        <w:rPr>
          <w:rFonts w:ascii="Calibri" w:hAnsi="Calibri" w:eastAsia="Calibri"/>
          <w:b w:val="0"/>
          <w:i w:val="0"/>
          <w:color w:val="1E293B"/>
          <w:sz w:val="22"/>
        </w:rPr>
        <w:t>Evidence handling, escalation, measurement and retrospective processes are approved.</w:t>
      </w:r>
    </w:p>
    <w:p>
      <w:pPr>
        <w:pStyle w:val="Heading1"/>
        <w:widowControl/>
      </w:pPr>
      <w:r>
        <w:t>Appendix A. Persona Role Cards</w:t>
      </w:r>
    </w:p>
    <w:p>
      <w:pPr>
        <w:spacing w:after="120" w:line="300" w:lineRule="auto"/>
        <w:widowControl/>
      </w:pPr>
      <w:r>
        <w:rPr>
          <w:rFonts w:ascii="Calibri" w:hAnsi="Calibri" w:eastAsia="Calibri"/>
          <w:b w:val="0"/>
          <w:i w:val="0"/>
          <w:color w:val="1E293B"/>
          <w:sz w:val="22"/>
        </w:rPr>
        <w:t>The following condensed role cards can be expanded into separate participant and facilitator versions. Facilitator-only information should not appear in the participant packet.</w:t>
      </w:r>
    </w:p>
    <w:p>
      <w:pPr>
        <w:pStyle w:val="Heading2"/>
        <w:widowControl/>
      </w:pPr>
      <w:r>
        <w:t>Elena Tan - Group CISO</w:t>
      </w:r>
    </w:p>
    <w:p>
      <w:pPr>
        <w:spacing w:after="120" w:line="300" w:lineRule="auto"/>
        <w:widowControl/>
      </w:pPr>
      <w:r>
        <w:rPr>
          <w:rFonts w:ascii="Calibri" w:hAnsi="Calibri" w:eastAsia="Calibri"/>
          <w:b/>
          <w:i w:val="0"/>
          <w:color w:val="1E293B"/>
          <w:sz w:val="22"/>
        </w:rPr>
        <w:t xml:space="preserve">Primary goals: </w:t>
      </w:r>
      <w:r>
        <w:rPr>
          <w:rFonts w:ascii="Calibri" w:hAnsi="Calibri" w:eastAsia="Calibri"/>
          <w:b w:val="0"/>
          <w:i w:val="0"/>
          <w:color w:val="1E293B"/>
          <w:sz w:val="22"/>
        </w:rPr>
        <w:t>Board visibility, material risk, consolidation and accountability.</w:t>
      </w:r>
    </w:p>
    <w:p>
      <w:pPr>
        <w:spacing w:after="120" w:line="300" w:lineRule="auto"/>
        <w:widowControl/>
      </w:pPr>
      <w:r>
        <w:rPr>
          <w:rFonts w:ascii="Calibri" w:hAnsi="Calibri" w:eastAsia="Calibri"/>
          <w:b/>
          <w:i w:val="0"/>
          <w:color w:val="1E293B"/>
          <w:sz w:val="22"/>
        </w:rPr>
        <w:t xml:space="preserve">Positive decision signal: </w:t>
      </w:r>
      <w:r>
        <w:rPr>
          <w:rFonts w:ascii="Calibri" w:hAnsi="Calibri" w:eastAsia="Calibri"/>
          <w:b w:val="0"/>
          <w:i w:val="0"/>
          <w:color w:val="1E293B"/>
          <w:sz w:val="22"/>
        </w:rPr>
        <w:t>Will support purchase if the team demonstrates three material risk stories and a credible operating model.</w:t>
      </w:r>
    </w:p>
    <w:p>
      <w:pPr>
        <w:spacing w:after="120" w:line="300" w:lineRule="auto"/>
        <w:widowControl/>
      </w:pPr>
      <w:r>
        <w:rPr>
          <w:rFonts w:ascii="Calibri" w:hAnsi="Calibri" w:eastAsia="Calibri"/>
          <w:b/>
          <w:i w:val="0"/>
          <w:color w:val="1E293B"/>
          <w:sz w:val="22"/>
        </w:rPr>
        <w:t xml:space="preserve">Facilitator behavior: </w:t>
      </w:r>
      <w:r>
        <w:rPr>
          <w:rFonts w:ascii="Calibri" w:hAnsi="Calibri" w:eastAsia="Calibri"/>
          <w:b w:val="0"/>
          <w:i w:val="0"/>
          <w:color w:val="1E293B"/>
          <w:sz w:val="22"/>
        </w:rPr>
        <w:t>Challenges jargon, asks for limitations and wants a clear decision in 30 minutes.</w:t>
      </w:r>
    </w:p>
    <w:p>
      <w:pPr>
        <w:pStyle w:val="Heading2"/>
        <w:widowControl/>
      </w:pPr>
      <w:r>
        <w:t>Rajiv Menon - VP Cloud Platform</w:t>
      </w:r>
    </w:p>
    <w:p>
      <w:pPr>
        <w:spacing w:after="120" w:line="300" w:lineRule="auto"/>
        <w:widowControl/>
      </w:pPr>
      <w:r>
        <w:rPr>
          <w:rFonts w:ascii="Calibri" w:hAnsi="Calibri" w:eastAsia="Calibri"/>
          <w:b/>
          <w:i w:val="0"/>
          <w:color w:val="1E293B"/>
          <w:sz w:val="22"/>
        </w:rPr>
        <w:t xml:space="preserve">Primary goals: </w:t>
      </w:r>
      <w:r>
        <w:rPr>
          <w:rFonts w:ascii="Calibri" w:hAnsi="Calibri" w:eastAsia="Calibri"/>
          <w:b w:val="0"/>
          <w:i w:val="0"/>
          <w:color w:val="1E293B"/>
          <w:sz w:val="22"/>
        </w:rPr>
        <w:t>Safe onboarding, minimal permissions and low burden on platform teams.</w:t>
      </w:r>
    </w:p>
    <w:p>
      <w:pPr>
        <w:spacing w:after="120" w:line="300" w:lineRule="auto"/>
        <w:widowControl/>
      </w:pPr>
      <w:r>
        <w:rPr>
          <w:rFonts w:ascii="Calibri" w:hAnsi="Calibri" w:eastAsia="Calibri"/>
          <w:b/>
          <w:i w:val="0"/>
          <w:color w:val="1E293B"/>
          <w:sz w:val="22"/>
        </w:rPr>
        <w:t xml:space="preserve">Positive decision signal: </w:t>
      </w:r>
      <w:r>
        <w:rPr>
          <w:rFonts w:ascii="Calibri" w:hAnsi="Calibri" w:eastAsia="Calibri"/>
          <w:b w:val="0"/>
          <w:i w:val="0"/>
          <w:color w:val="1E293B"/>
          <w:sz w:val="22"/>
        </w:rPr>
        <w:t>Will approve scope when ownership, access and rollback are explicit.</w:t>
      </w:r>
    </w:p>
    <w:p>
      <w:pPr>
        <w:spacing w:after="120" w:line="300" w:lineRule="auto"/>
        <w:widowControl/>
      </w:pPr>
      <w:r>
        <w:rPr>
          <w:rFonts w:ascii="Calibri" w:hAnsi="Calibri" w:eastAsia="Calibri"/>
          <w:b/>
          <w:i w:val="0"/>
          <w:color w:val="1E293B"/>
          <w:sz w:val="22"/>
        </w:rPr>
        <w:t xml:space="preserve">Facilitator behavior: </w:t>
      </w:r>
      <w:r>
        <w:rPr>
          <w:rFonts w:ascii="Calibri" w:hAnsi="Calibri" w:eastAsia="Calibri"/>
          <w:b w:val="0"/>
          <w:i w:val="0"/>
          <w:color w:val="1E293B"/>
          <w:sz w:val="22"/>
        </w:rPr>
        <w:t>Initially offers narrow scope; becomes supportive when controls are concrete.</w:t>
      </w:r>
    </w:p>
    <w:p>
      <w:pPr>
        <w:pStyle w:val="Heading2"/>
        <w:widowControl/>
      </w:pPr>
      <w:r>
        <w:t>Hannah Kim - Director, Cloud Security</w:t>
      </w:r>
    </w:p>
    <w:p>
      <w:pPr>
        <w:spacing w:after="120" w:line="300" w:lineRule="auto"/>
        <w:widowControl/>
      </w:pPr>
      <w:r>
        <w:rPr>
          <w:rFonts w:ascii="Calibri" w:hAnsi="Calibri" w:eastAsia="Calibri"/>
          <w:b/>
          <w:i w:val="0"/>
          <w:color w:val="1E293B"/>
          <w:sz w:val="22"/>
        </w:rPr>
        <w:t xml:space="preserve">Primary goals: </w:t>
      </w:r>
      <w:r>
        <w:rPr>
          <w:rFonts w:ascii="Calibri" w:hAnsi="Calibri" w:eastAsia="Calibri"/>
          <w:b w:val="0"/>
          <w:i w:val="0"/>
          <w:color w:val="1E293B"/>
          <w:sz w:val="22"/>
        </w:rPr>
        <w:t>Contextual prioritization, broad visibility and remediation ownership.</w:t>
      </w:r>
    </w:p>
    <w:p>
      <w:pPr>
        <w:spacing w:after="120" w:line="300" w:lineRule="auto"/>
        <w:widowControl/>
      </w:pPr>
      <w:r>
        <w:rPr>
          <w:rFonts w:ascii="Calibri" w:hAnsi="Calibri" w:eastAsia="Calibri"/>
          <w:b/>
          <w:i w:val="0"/>
          <w:color w:val="1E293B"/>
          <w:sz w:val="22"/>
        </w:rPr>
        <w:t xml:space="preserve">Positive decision signal: </w:t>
      </w:r>
      <w:r>
        <w:rPr>
          <w:rFonts w:ascii="Calibri" w:hAnsi="Calibri" w:eastAsia="Calibri"/>
          <w:b w:val="0"/>
          <w:i w:val="0"/>
          <w:color w:val="1E293B"/>
          <w:sz w:val="22"/>
        </w:rPr>
        <w:t>Becomes champion if evidence is relevant and current-tool gaps are demonstrated fairly.</w:t>
      </w:r>
    </w:p>
    <w:p>
      <w:pPr>
        <w:spacing w:after="120" w:line="300" w:lineRule="auto"/>
        <w:widowControl/>
      </w:pPr>
      <w:r>
        <w:rPr>
          <w:rFonts w:ascii="Calibri" w:hAnsi="Calibri" w:eastAsia="Calibri"/>
          <w:b/>
          <w:i w:val="0"/>
          <w:color w:val="1E293B"/>
          <w:sz w:val="22"/>
        </w:rPr>
        <w:t xml:space="preserve">Facilitator behavior: </w:t>
      </w:r>
      <w:r>
        <w:rPr>
          <w:rFonts w:ascii="Calibri" w:hAnsi="Calibri" w:eastAsia="Calibri"/>
          <w:b w:val="0"/>
          <w:i w:val="0"/>
          <w:color w:val="1E293B"/>
          <w:sz w:val="22"/>
        </w:rPr>
        <w:t>Tests depth and rejects generic feature claims.</w:t>
      </w:r>
    </w:p>
    <w:p>
      <w:pPr>
        <w:pStyle w:val="Heading2"/>
        <w:widowControl/>
      </w:pPr>
      <w:r>
        <w:t>Kenji Sato - Head of SecOps</w:t>
      </w:r>
    </w:p>
    <w:p>
      <w:pPr>
        <w:spacing w:after="120" w:line="300" w:lineRule="auto"/>
        <w:widowControl/>
      </w:pPr>
      <w:r>
        <w:rPr>
          <w:rFonts w:ascii="Calibri" w:hAnsi="Calibri" w:eastAsia="Calibri"/>
          <w:b/>
          <w:i w:val="0"/>
          <w:color w:val="1E293B"/>
          <w:sz w:val="22"/>
        </w:rPr>
        <w:t xml:space="preserve">Primary goals: </w:t>
      </w:r>
      <w:r>
        <w:rPr>
          <w:rFonts w:ascii="Calibri" w:hAnsi="Calibri" w:eastAsia="Calibri"/>
          <w:b w:val="0"/>
          <w:i w:val="0"/>
          <w:color w:val="1E293B"/>
          <w:sz w:val="22"/>
        </w:rPr>
        <w:t>Actionable workflow, signal quality and integration with operations.</w:t>
      </w:r>
    </w:p>
    <w:p>
      <w:pPr>
        <w:spacing w:after="120" w:line="300" w:lineRule="auto"/>
        <w:widowControl/>
      </w:pPr>
      <w:r>
        <w:rPr>
          <w:rFonts w:ascii="Calibri" w:hAnsi="Calibri" w:eastAsia="Calibri"/>
          <w:b/>
          <w:i w:val="0"/>
          <w:color w:val="1E293B"/>
          <w:sz w:val="22"/>
        </w:rPr>
        <w:t xml:space="preserve">Positive decision signal: </w:t>
      </w:r>
      <w:r>
        <w:rPr>
          <w:rFonts w:ascii="Calibri" w:hAnsi="Calibri" w:eastAsia="Calibri"/>
          <w:b w:val="0"/>
          <w:i w:val="0"/>
          <w:color w:val="1E293B"/>
          <w:sz w:val="22"/>
        </w:rPr>
        <w:t>Supports adoption if findings can be routed and validated without new alert noise.</w:t>
      </w:r>
    </w:p>
    <w:p>
      <w:pPr>
        <w:spacing w:after="120" w:line="300" w:lineRule="auto"/>
        <w:widowControl/>
      </w:pPr>
      <w:r>
        <w:rPr>
          <w:rFonts w:ascii="Calibri" w:hAnsi="Calibri" w:eastAsia="Calibri"/>
          <w:b/>
          <w:i w:val="0"/>
          <w:color w:val="1E293B"/>
          <w:sz w:val="22"/>
        </w:rPr>
        <w:t xml:space="preserve">Facilitator behavior: </w:t>
      </w:r>
      <w:r>
        <w:rPr>
          <w:rFonts w:ascii="Calibri" w:hAnsi="Calibri" w:eastAsia="Calibri"/>
          <w:b w:val="0"/>
          <w:i w:val="0"/>
          <w:color w:val="1E293B"/>
          <w:sz w:val="22"/>
        </w:rPr>
        <w:t>Pushes back on dashboards and asks who operates the platform.</w:t>
      </w:r>
    </w:p>
    <w:p>
      <w:pPr>
        <w:pStyle w:val="Heading2"/>
        <w:widowControl/>
      </w:pPr>
      <w:r>
        <w:t>Priya Nair - Head of DevSecOps</w:t>
      </w:r>
    </w:p>
    <w:p>
      <w:pPr>
        <w:spacing w:after="120" w:line="300" w:lineRule="auto"/>
        <w:widowControl/>
      </w:pPr>
      <w:r>
        <w:rPr>
          <w:rFonts w:ascii="Calibri" w:hAnsi="Calibri" w:eastAsia="Calibri"/>
          <w:b/>
          <w:i w:val="0"/>
          <w:color w:val="1E293B"/>
          <w:sz w:val="22"/>
        </w:rPr>
        <w:t xml:space="preserve">Primary goals: </w:t>
      </w:r>
      <w:r>
        <w:rPr>
          <w:rFonts w:ascii="Calibri" w:hAnsi="Calibri" w:eastAsia="Calibri"/>
          <w:b w:val="0"/>
          <w:i w:val="0"/>
          <w:color w:val="1E293B"/>
          <w:sz w:val="22"/>
        </w:rPr>
        <w:t>Developer velocity, source context and durable remediation.</w:t>
      </w:r>
    </w:p>
    <w:p>
      <w:pPr>
        <w:spacing w:after="120" w:line="300" w:lineRule="auto"/>
        <w:widowControl/>
      </w:pPr>
      <w:r>
        <w:rPr>
          <w:rFonts w:ascii="Calibri" w:hAnsi="Calibri" w:eastAsia="Calibri"/>
          <w:b/>
          <w:i w:val="0"/>
          <w:color w:val="1E293B"/>
          <w:sz w:val="22"/>
        </w:rPr>
        <w:t xml:space="preserve">Positive decision signal: </w:t>
      </w:r>
      <w:r>
        <w:rPr>
          <w:rFonts w:ascii="Calibri" w:hAnsi="Calibri" w:eastAsia="Calibri"/>
          <w:b w:val="0"/>
          <w:i w:val="0"/>
          <w:color w:val="1E293B"/>
          <w:sz w:val="22"/>
        </w:rPr>
        <w:t>Supports adoption if the workflow finds the right owner and avoids release friction.</w:t>
      </w:r>
    </w:p>
    <w:p>
      <w:pPr>
        <w:spacing w:after="120" w:line="300" w:lineRule="auto"/>
        <w:widowControl/>
      </w:pPr>
      <w:r>
        <w:rPr>
          <w:rFonts w:ascii="Calibri" w:hAnsi="Calibri" w:eastAsia="Calibri"/>
          <w:b/>
          <w:i w:val="0"/>
          <w:color w:val="1E293B"/>
          <w:sz w:val="22"/>
        </w:rPr>
        <w:t xml:space="preserve">Facilitator behavior: </w:t>
      </w:r>
      <w:r>
        <w:rPr>
          <w:rFonts w:ascii="Calibri" w:hAnsi="Calibri" w:eastAsia="Calibri"/>
          <w:b w:val="0"/>
          <w:i w:val="0"/>
          <w:color w:val="1E293B"/>
          <w:sz w:val="22"/>
        </w:rPr>
        <w:t>Questions whether controls will block developers.</w:t>
      </w:r>
    </w:p>
    <w:p>
      <w:pPr>
        <w:pStyle w:val="Heading2"/>
        <w:widowControl/>
      </w:pPr>
      <w:r>
        <w:t>Maria Santos - Director, GRC</w:t>
      </w:r>
    </w:p>
    <w:p>
      <w:pPr>
        <w:spacing w:after="120" w:line="300" w:lineRule="auto"/>
        <w:widowControl/>
      </w:pPr>
      <w:r>
        <w:rPr>
          <w:rFonts w:ascii="Calibri" w:hAnsi="Calibri" w:eastAsia="Calibri"/>
          <w:b/>
          <w:i w:val="0"/>
          <w:color w:val="1E293B"/>
          <w:sz w:val="22"/>
        </w:rPr>
        <w:t xml:space="preserve">Primary goals: </w:t>
      </w:r>
      <w:r>
        <w:rPr>
          <w:rFonts w:ascii="Calibri" w:hAnsi="Calibri" w:eastAsia="Calibri"/>
          <w:b w:val="0"/>
          <w:i w:val="0"/>
          <w:color w:val="1E293B"/>
          <w:sz w:val="22"/>
        </w:rPr>
        <w:t>Evidence quality, coverage, repeatability and audit readiness.</w:t>
      </w:r>
    </w:p>
    <w:p>
      <w:pPr>
        <w:spacing w:after="120" w:line="300" w:lineRule="auto"/>
        <w:widowControl/>
      </w:pPr>
      <w:r>
        <w:rPr>
          <w:rFonts w:ascii="Calibri" w:hAnsi="Calibri" w:eastAsia="Calibri"/>
          <w:b/>
          <w:i w:val="0"/>
          <w:color w:val="1E293B"/>
          <w:sz w:val="22"/>
        </w:rPr>
        <w:t xml:space="preserve">Positive decision signal: </w:t>
      </w:r>
      <w:r>
        <w:rPr>
          <w:rFonts w:ascii="Calibri" w:hAnsi="Calibri" w:eastAsia="Calibri"/>
          <w:b w:val="0"/>
          <w:i w:val="0"/>
          <w:color w:val="1E293B"/>
          <w:sz w:val="22"/>
        </w:rPr>
        <w:t>Supports adoption when scope limitations and evidence lineage are transparent.</w:t>
      </w:r>
    </w:p>
    <w:p>
      <w:pPr>
        <w:spacing w:after="120" w:line="300" w:lineRule="auto"/>
        <w:widowControl/>
      </w:pPr>
      <w:r>
        <w:rPr>
          <w:rFonts w:ascii="Calibri" w:hAnsi="Calibri" w:eastAsia="Calibri"/>
          <w:b/>
          <w:i w:val="0"/>
          <w:color w:val="1E293B"/>
          <w:sz w:val="22"/>
        </w:rPr>
        <w:t xml:space="preserve">Facilitator behavior: </w:t>
      </w:r>
      <w:r>
        <w:rPr>
          <w:rFonts w:ascii="Calibri" w:hAnsi="Calibri" w:eastAsia="Calibri"/>
          <w:b w:val="0"/>
          <w:i w:val="0"/>
          <w:color w:val="1E293B"/>
          <w:sz w:val="22"/>
        </w:rPr>
        <w:t>Asks for certification guarantees; strong responses must avoid overclaiming.</w:t>
      </w:r>
    </w:p>
    <w:p>
      <w:pPr>
        <w:pStyle w:val="Heading2"/>
        <w:widowControl/>
      </w:pPr>
      <w:r>
        <w:t>Liam Chen - Procurement Lead</w:t>
      </w:r>
    </w:p>
    <w:p>
      <w:pPr>
        <w:spacing w:after="120" w:line="300" w:lineRule="auto"/>
        <w:widowControl/>
      </w:pPr>
      <w:r>
        <w:rPr>
          <w:rFonts w:ascii="Calibri" w:hAnsi="Calibri" w:eastAsia="Calibri"/>
          <w:b/>
          <w:i w:val="0"/>
          <w:color w:val="1E293B"/>
          <w:sz w:val="22"/>
        </w:rPr>
        <w:t xml:space="preserve">Primary goals: </w:t>
      </w:r>
      <w:r>
        <w:rPr>
          <w:rFonts w:ascii="Calibri" w:hAnsi="Calibri" w:eastAsia="Calibri"/>
          <w:b w:val="0"/>
          <w:i w:val="0"/>
          <w:color w:val="1E293B"/>
          <w:sz w:val="22"/>
        </w:rPr>
        <w:t>Commercial clarity, deployment effort and measurable value.</w:t>
      </w:r>
    </w:p>
    <w:p>
      <w:pPr>
        <w:spacing w:after="120" w:line="300" w:lineRule="auto"/>
        <w:widowControl/>
      </w:pPr>
      <w:r>
        <w:rPr>
          <w:rFonts w:ascii="Calibri" w:hAnsi="Calibri" w:eastAsia="Calibri"/>
          <w:b/>
          <w:i w:val="0"/>
          <w:color w:val="1E293B"/>
          <w:sz w:val="22"/>
        </w:rPr>
        <w:t xml:space="preserve">Positive decision signal: </w:t>
      </w:r>
      <w:r>
        <w:rPr>
          <w:rFonts w:ascii="Calibri" w:hAnsi="Calibri" w:eastAsia="Calibri"/>
          <w:b w:val="0"/>
          <w:i w:val="0"/>
          <w:color w:val="1E293B"/>
          <w:sz w:val="22"/>
        </w:rPr>
        <w:t>Moves forward only when outcome, scope, owner and next-phase plan are explicit.</w:t>
      </w:r>
    </w:p>
    <w:p>
      <w:pPr>
        <w:spacing w:after="120" w:line="300" w:lineRule="auto"/>
        <w:widowControl/>
      </w:pPr>
      <w:r>
        <w:rPr>
          <w:rFonts w:ascii="Calibri" w:hAnsi="Calibri" w:eastAsia="Calibri"/>
          <w:b/>
          <w:i w:val="0"/>
          <w:color w:val="1E293B"/>
          <w:sz w:val="22"/>
        </w:rPr>
        <w:t xml:space="preserve">Facilitator behavior: </w:t>
      </w:r>
      <w:r>
        <w:rPr>
          <w:rFonts w:ascii="Calibri" w:hAnsi="Calibri" w:eastAsia="Calibri"/>
          <w:b w:val="0"/>
          <w:i w:val="0"/>
          <w:color w:val="1E293B"/>
          <w:sz w:val="22"/>
        </w:rPr>
        <w:t>Questions consolidation benefit and total operational cost.</w:t>
      </w:r>
    </w:p>
    <w:p>
      <w:pPr>
        <w:pStyle w:val="Heading1"/>
        <w:widowControl/>
      </w:pPr>
      <w:r>
        <w:t>Appendix B. Discovery Input Template</w:t>
      </w:r>
    </w:p>
    <w:p>
      <w:pPr>
        <w:spacing w:after="120" w:line="300" w:lineRule="auto"/>
        <w:widowControl/>
      </w:pPr>
      <w:r>
        <w:rPr>
          <w:rFonts w:ascii="Calibri" w:hAnsi="Calibri" w:eastAsia="Calibri"/>
          <w:b w:val="0"/>
          <w:i w:val="0"/>
          <w:color w:val="1E293B"/>
          <w:sz w:val="22"/>
        </w:rPr>
        <w:t>Use this as the required opportunity intake before a live field practicum. Do not place credentials or sensitive customer data in this document.</w:t>
      </w:r>
    </w:p>
    <w:p>
      <w:pPr>
        <w:pStyle w:val="Heading2"/>
        <w:widowControl/>
      </w:pPr>
      <w:r>
        <w:t>1. Business trigger</w:t>
      </w:r>
    </w:p>
    <w:p>
      <w:pPr>
        <w:spacing w:after="80" w:line="300" w:lineRule="auto"/>
        <w:widowControl/>
      </w:pPr>
      <w:r>
        <w:rPr>
          <w:rFonts w:ascii="Calibri" w:hAnsi="Calibri" w:eastAsia="Calibri"/>
          <w:b w:val="0"/>
          <w:i/>
          <w:color w:val="64748B"/>
          <w:sz w:val="19"/>
        </w:rPr>
        <w:t>What changed? What risk, initiative, deadline or executive request created urgency?</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pStyle w:val="Heading2"/>
        <w:widowControl/>
      </w:pPr>
      <w:r>
        <w:t>2. Desired decision</w:t>
      </w:r>
    </w:p>
    <w:p>
      <w:pPr>
        <w:spacing w:after="80" w:line="300" w:lineRule="auto"/>
        <w:widowControl/>
      </w:pPr>
      <w:r>
        <w:rPr>
          <w:rFonts w:ascii="Calibri" w:hAnsi="Calibri" w:eastAsia="Calibri"/>
          <w:b w:val="0"/>
          <w:i/>
          <w:color w:val="64748B"/>
          <w:sz w:val="19"/>
        </w:rPr>
        <w:t>What will the customer decide if the engagement is successful? By what date?</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pStyle w:val="Heading2"/>
        <w:widowControl/>
      </w:pPr>
      <w:r>
        <w:t>3. Cloud scope</w:t>
      </w:r>
    </w:p>
    <w:p>
      <w:pPr>
        <w:spacing w:after="80" w:line="300" w:lineRule="auto"/>
        <w:widowControl/>
      </w:pPr>
      <w:r>
        <w:rPr>
          <w:rFonts w:ascii="Calibri" w:hAnsi="Calibri" w:eastAsia="Calibri"/>
          <w:b w:val="0"/>
          <w:i/>
          <w:color w:val="64748B"/>
          <w:sz w:val="19"/>
        </w:rPr>
        <w:t>Providers, account/subscription/project counts, regions, services, Kubernetes and exclusions.</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pStyle w:val="Heading2"/>
        <w:widowControl/>
      </w:pPr>
      <w:r>
        <w:t>4. Current controls</w:t>
      </w:r>
    </w:p>
    <w:p>
      <w:pPr>
        <w:spacing w:after="80" w:line="300" w:lineRule="auto"/>
        <w:widowControl/>
      </w:pPr>
      <w:r>
        <w:rPr>
          <w:rFonts w:ascii="Calibri" w:hAnsi="Calibri" w:eastAsia="Calibri"/>
          <w:b w:val="0"/>
          <w:i/>
          <w:color w:val="64748B"/>
          <w:sz w:val="19"/>
        </w:rPr>
        <w:t>Existing security tools, processes, owners and material gaps.</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pStyle w:val="Heading2"/>
        <w:widowControl/>
      </w:pPr>
      <w:r>
        <w:t>5. Priority use cases</w:t>
      </w:r>
    </w:p>
    <w:p>
      <w:pPr>
        <w:spacing w:after="80" w:line="300" w:lineRule="auto"/>
        <w:widowControl/>
      </w:pPr>
      <w:r>
        <w:rPr>
          <w:rFonts w:ascii="Calibri" w:hAnsi="Calibri" w:eastAsia="Calibri"/>
          <w:b w:val="0"/>
          <w:i/>
          <w:color w:val="64748B"/>
          <w:sz w:val="19"/>
        </w:rPr>
        <w:t>Rank two to four decision-relevant outcomes.</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pStyle w:val="Heading2"/>
        <w:widowControl/>
      </w:pPr>
      <w:r>
        <w:t>6. Stakeholders</w:t>
      </w:r>
    </w:p>
    <w:p>
      <w:pPr>
        <w:spacing w:after="80" w:line="300" w:lineRule="auto"/>
        <w:widowControl/>
      </w:pPr>
      <w:r>
        <w:rPr>
          <w:rFonts w:ascii="Calibri" w:hAnsi="Calibri" w:eastAsia="Calibri"/>
          <w:b w:val="0"/>
          <w:i/>
          <w:color w:val="64748B"/>
          <w:sz w:val="19"/>
        </w:rPr>
        <w:t>Sponsor, champion, access owner, application owners, GRC, procurement and decision body.</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pStyle w:val="Heading2"/>
        <w:widowControl/>
      </w:pPr>
      <w:r>
        <w:t>7. Access readiness</w:t>
      </w:r>
    </w:p>
    <w:p>
      <w:pPr>
        <w:spacing w:after="80" w:line="300" w:lineRule="auto"/>
        <w:widowControl/>
      </w:pPr>
      <w:r>
        <w:rPr>
          <w:rFonts w:ascii="Calibri" w:hAnsi="Calibri" w:eastAsia="Calibri"/>
          <w:b w:val="0"/>
          <w:i/>
          <w:color w:val="64748B"/>
          <w:sz w:val="19"/>
        </w:rPr>
        <w:t>Identity method, approval process, owner, window and constraints.</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pStyle w:val="Heading2"/>
        <w:widowControl/>
      </w:pPr>
      <w:r>
        <w:t>8. Success criteria</w:t>
      </w:r>
    </w:p>
    <w:p>
      <w:pPr>
        <w:spacing w:after="80" w:line="300" w:lineRule="auto"/>
        <w:widowControl/>
      </w:pPr>
      <w:r>
        <w:rPr>
          <w:rFonts w:ascii="Calibri" w:hAnsi="Calibri" w:eastAsia="Calibri"/>
          <w:b w:val="0"/>
          <w:i/>
          <w:color w:val="64748B"/>
          <w:sz w:val="19"/>
        </w:rPr>
        <w:t>Evidence, measure, acceptance owner and pass condition for each use case.</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pStyle w:val="Heading2"/>
        <w:widowControl/>
      </w:pPr>
      <w:r>
        <w:t>9. Timeline</w:t>
      </w:r>
    </w:p>
    <w:p>
      <w:pPr>
        <w:spacing w:after="80" w:line="300" w:lineRule="auto"/>
        <w:widowControl/>
      </w:pPr>
      <w:r>
        <w:rPr>
          <w:rFonts w:ascii="Calibri" w:hAnsi="Calibri" w:eastAsia="Calibri"/>
          <w:b w:val="0"/>
          <w:i/>
          <w:color w:val="64748B"/>
          <w:sz w:val="19"/>
        </w:rPr>
        <w:t>Go/No-Go, connection, checkpoints, Finding Review, Playback and decision date.</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pStyle w:val="Heading2"/>
        <w:widowControl/>
      </w:pPr>
      <w:r>
        <w:t>10. Risks and assumptions</w:t>
      </w:r>
    </w:p>
    <w:p>
      <w:pPr>
        <w:spacing w:after="80" w:line="300" w:lineRule="auto"/>
        <w:widowControl/>
      </w:pPr>
      <w:r>
        <w:rPr>
          <w:rFonts w:ascii="Calibri" w:hAnsi="Calibri" w:eastAsia="Calibri"/>
          <w:b w:val="0"/>
          <w:i/>
          <w:color w:val="64748B"/>
          <w:sz w:val="19"/>
        </w:rPr>
        <w:t>Known dependencies, privacy/data restrictions, product entitlement and escalation path.</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spacing w:after="80" w:line="300" w:lineRule="auto"/>
        <w:widowControl/>
      </w:pPr>
      <w:r>
        <w:rPr>
          <w:rFonts w:ascii="Calibri" w:hAnsi="Calibri" w:eastAsia="Calibri"/>
          <w:b w:val="0"/>
          <w:i w:val="0"/>
          <w:color w:val="CBD5E1"/>
          <w:sz w:val="20"/>
        </w:rPr>
        <w:t>________________________________________________________________________________</w:t>
      </w:r>
    </w:p>
    <w:p>
      <w:pPr>
        <w:pStyle w:val="Heading1"/>
        <w:widowControl/>
      </w:pPr>
      <w:r>
        <w:t>Appendix C. POV Readiness Scorecard</w:t>
      </w:r>
    </w:p>
    <w:tbl>
      <w:tblPr>
        <w:tblStyle w:val="TableGrid"/>
        <w:tblW w:type="dxa" w:w="9360"/>
        <w:jc w:val="left"/>
        <w:tblLayout w:type="fixed"/>
        <w:tblLook w:firstColumn="1" w:firstRow="1" w:lastColumn="0" w:lastRow="0" w:noHBand="0" w:noVBand="1" w:val="04A0"/>
        <w:tblInd w:w="120" w:type="dxa"/>
      </w:tblPr>
      <w:tblGrid>
        <w:gridCol w:w="2300"/>
        <w:gridCol w:w="2350"/>
        <w:gridCol w:w="2350"/>
        <w:gridCol w:w="2360"/>
      </w:tblGrid>
      <w:tr>
        <w:trPr>
          <w:tblHeader w:val="true"/>
        </w:trPr>
        <w:tc>
          <w:tcPr>
            <w:tcW w:type="dxa" w:w="23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Domain</w:t>
            </w:r>
          </w:p>
        </w:tc>
        <w:tc>
          <w:tcPr>
            <w:tcW w:type="dxa" w:w="23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Score 0</w:t>
            </w:r>
          </w:p>
        </w:tc>
        <w:tc>
          <w:tcPr>
            <w:tcW w:type="dxa" w:w="235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Score 1</w:t>
            </w:r>
          </w:p>
        </w:tc>
        <w:tc>
          <w:tcPr>
            <w:tcW w:type="dxa" w:w="23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Score 2</w:t>
            </w:r>
          </w:p>
        </w:tc>
      </w:tr>
      <w:tr>
        <w:trPr>
          <w:cantSplit/>
        </w:trPr>
        <w:tc>
          <w:tcPr>
            <w:tcW w:type="dxa" w:w="2300"/>
          </w:tcPr>
          <w:p>
            <w:pPr>
              <w:spacing w:after="0" w:line="264" w:lineRule="auto"/>
            </w:pPr>
            <w:r>
              <w:rPr>
                <w:rFonts w:ascii="Calibri" w:hAnsi="Calibri" w:eastAsia="Calibri"/>
                <w:b w:val="0"/>
                <w:i w:val="0"/>
                <w:color w:val="1E293B"/>
                <w:sz w:val="16"/>
              </w:rPr>
              <w:t>Business pain</w:t>
            </w:r>
          </w:p>
        </w:tc>
        <w:tc>
          <w:tcPr>
            <w:tcW w:type="dxa" w:w="2350"/>
          </w:tcPr>
          <w:p>
            <w:pPr>
              <w:spacing w:after="0" w:line="264" w:lineRule="auto"/>
            </w:pPr>
            <w:r>
              <w:rPr>
                <w:rFonts w:ascii="Calibri" w:hAnsi="Calibri" w:eastAsia="Calibri"/>
                <w:b w:val="0"/>
                <w:i w:val="0"/>
                <w:color w:val="1E293B"/>
                <w:sz w:val="16"/>
              </w:rPr>
              <w:t>Generic or absent</w:t>
            </w:r>
          </w:p>
        </w:tc>
        <w:tc>
          <w:tcPr>
            <w:tcW w:type="dxa" w:w="2350"/>
          </w:tcPr>
          <w:p>
            <w:pPr>
              <w:spacing w:after="0" w:line="264" w:lineRule="auto"/>
            </w:pPr>
            <w:r>
              <w:rPr>
                <w:rFonts w:ascii="Calibri" w:hAnsi="Calibri" w:eastAsia="Calibri"/>
                <w:b w:val="0"/>
                <w:i w:val="0"/>
                <w:color w:val="1E293B"/>
                <w:sz w:val="16"/>
              </w:rPr>
              <w:t>Known but weakly prioritized</w:t>
            </w:r>
          </w:p>
        </w:tc>
        <w:tc>
          <w:tcPr>
            <w:tcW w:type="dxa" w:w="2360"/>
          </w:tcPr>
          <w:p>
            <w:pPr>
              <w:spacing w:after="0" w:line="264" w:lineRule="auto"/>
            </w:pPr>
            <w:r>
              <w:rPr>
                <w:rFonts w:ascii="Calibri" w:hAnsi="Calibri" w:eastAsia="Calibri"/>
                <w:b w:val="0"/>
                <w:i w:val="0"/>
                <w:color w:val="1E293B"/>
                <w:sz w:val="16"/>
              </w:rPr>
              <w:t>Specific, material and sponsored</w:t>
            </w:r>
          </w:p>
        </w:tc>
      </w:tr>
      <w:tr>
        <w:trPr>
          <w:cantSplit/>
        </w:trPr>
        <w:tc>
          <w:tcPr>
            <w:tcW w:type="dxa" w:w="2300"/>
          </w:tcPr>
          <w:p>
            <w:pPr>
              <w:spacing w:after="0" w:line="264" w:lineRule="auto"/>
            </w:pPr>
            <w:r>
              <w:rPr>
                <w:rFonts w:ascii="Calibri" w:hAnsi="Calibri" w:eastAsia="Calibri"/>
                <w:b w:val="0"/>
                <w:i w:val="0"/>
                <w:color w:val="1E293B"/>
                <w:sz w:val="16"/>
              </w:rPr>
              <w:t>Use cases</w:t>
            </w:r>
          </w:p>
        </w:tc>
        <w:tc>
          <w:tcPr>
            <w:tcW w:type="dxa" w:w="2350"/>
          </w:tcPr>
          <w:p>
            <w:pPr>
              <w:spacing w:after="0" w:line="264" w:lineRule="auto"/>
            </w:pPr>
            <w:r>
              <w:rPr>
                <w:rFonts w:ascii="Calibri" w:hAnsi="Calibri" w:eastAsia="Calibri"/>
                <w:b w:val="0"/>
                <w:i w:val="0"/>
                <w:color w:val="1E293B"/>
                <w:sz w:val="16"/>
              </w:rPr>
              <w:t>Unbounded feature list</w:t>
            </w:r>
          </w:p>
        </w:tc>
        <w:tc>
          <w:tcPr>
            <w:tcW w:type="dxa" w:w="2350"/>
          </w:tcPr>
          <w:p>
            <w:pPr>
              <w:spacing w:after="0" w:line="264" w:lineRule="auto"/>
            </w:pPr>
            <w:r>
              <w:rPr>
                <w:rFonts w:ascii="Calibri" w:hAnsi="Calibri" w:eastAsia="Calibri"/>
                <w:b w:val="0"/>
                <w:i w:val="0"/>
                <w:color w:val="1E293B"/>
                <w:sz w:val="16"/>
              </w:rPr>
              <w:t>Some priorities</w:t>
            </w:r>
          </w:p>
        </w:tc>
        <w:tc>
          <w:tcPr>
            <w:tcW w:type="dxa" w:w="2360"/>
          </w:tcPr>
          <w:p>
            <w:pPr>
              <w:spacing w:after="0" w:line="264" w:lineRule="auto"/>
            </w:pPr>
            <w:r>
              <w:rPr>
                <w:rFonts w:ascii="Calibri" w:hAnsi="Calibri" w:eastAsia="Calibri"/>
                <w:b w:val="0"/>
                <w:i w:val="0"/>
                <w:color w:val="1E293B"/>
                <w:sz w:val="16"/>
              </w:rPr>
              <w:t>Two to four ranked outcomes</w:t>
            </w:r>
          </w:p>
        </w:tc>
      </w:tr>
      <w:tr>
        <w:trPr>
          <w:cantSplit/>
        </w:trPr>
        <w:tc>
          <w:tcPr>
            <w:tcW w:type="dxa" w:w="2300"/>
          </w:tcPr>
          <w:p>
            <w:pPr>
              <w:spacing w:after="0" w:line="264" w:lineRule="auto"/>
            </w:pPr>
            <w:r>
              <w:rPr>
                <w:rFonts w:ascii="Calibri" w:hAnsi="Calibri" w:eastAsia="Calibri"/>
                <w:b w:val="0"/>
                <w:i w:val="0"/>
                <w:color w:val="1E293B"/>
                <w:sz w:val="16"/>
              </w:rPr>
              <w:t>Success criteria</w:t>
            </w:r>
          </w:p>
        </w:tc>
        <w:tc>
          <w:tcPr>
            <w:tcW w:type="dxa" w:w="2350"/>
          </w:tcPr>
          <w:p>
            <w:pPr>
              <w:spacing w:after="0" w:line="264" w:lineRule="auto"/>
            </w:pPr>
            <w:r>
              <w:rPr>
                <w:rFonts w:ascii="Calibri" w:hAnsi="Calibri" w:eastAsia="Calibri"/>
                <w:b w:val="0"/>
                <w:i w:val="0"/>
                <w:color w:val="1E293B"/>
                <w:sz w:val="16"/>
              </w:rPr>
              <w:t>Vendor-defined or absent</w:t>
            </w:r>
          </w:p>
        </w:tc>
        <w:tc>
          <w:tcPr>
            <w:tcW w:type="dxa" w:w="2350"/>
          </w:tcPr>
          <w:p>
            <w:pPr>
              <w:spacing w:after="0" w:line="264" w:lineRule="auto"/>
            </w:pPr>
            <w:r>
              <w:rPr>
                <w:rFonts w:ascii="Calibri" w:hAnsi="Calibri" w:eastAsia="Calibri"/>
                <w:b w:val="0"/>
                <w:i w:val="0"/>
                <w:color w:val="1E293B"/>
                <w:sz w:val="16"/>
              </w:rPr>
              <w:t>Partly measurable</w:t>
            </w:r>
          </w:p>
        </w:tc>
        <w:tc>
          <w:tcPr>
            <w:tcW w:type="dxa" w:w="2360"/>
          </w:tcPr>
          <w:p>
            <w:pPr>
              <w:spacing w:after="0" w:line="264" w:lineRule="auto"/>
            </w:pPr>
            <w:r>
              <w:rPr>
                <w:rFonts w:ascii="Calibri" w:hAnsi="Calibri" w:eastAsia="Calibri"/>
                <w:b w:val="0"/>
                <w:i w:val="0"/>
                <w:color w:val="1E293B"/>
                <w:sz w:val="16"/>
              </w:rPr>
              <w:t>Measurable with acceptance owner</w:t>
            </w:r>
          </w:p>
        </w:tc>
      </w:tr>
      <w:tr>
        <w:trPr>
          <w:cantSplit/>
        </w:trPr>
        <w:tc>
          <w:tcPr>
            <w:tcW w:type="dxa" w:w="2300"/>
          </w:tcPr>
          <w:p>
            <w:pPr>
              <w:spacing w:after="0" w:line="264" w:lineRule="auto"/>
            </w:pPr>
            <w:r>
              <w:rPr>
                <w:rFonts w:ascii="Calibri" w:hAnsi="Calibri" w:eastAsia="Calibri"/>
                <w:b w:val="0"/>
                <w:i w:val="0"/>
                <w:color w:val="1E293B"/>
                <w:sz w:val="16"/>
              </w:rPr>
              <w:t>Cloud scope</w:t>
            </w:r>
          </w:p>
        </w:tc>
        <w:tc>
          <w:tcPr>
            <w:tcW w:type="dxa" w:w="2350"/>
          </w:tcPr>
          <w:p>
            <w:pPr>
              <w:spacing w:after="0" w:line="264" w:lineRule="auto"/>
            </w:pPr>
            <w:r>
              <w:rPr>
                <w:rFonts w:ascii="Calibri" w:hAnsi="Calibri" w:eastAsia="Calibri"/>
                <w:b w:val="0"/>
                <w:i w:val="0"/>
                <w:color w:val="1E293B"/>
                <w:sz w:val="16"/>
              </w:rPr>
              <w:t>Unknown</w:t>
            </w:r>
          </w:p>
        </w:tc>
        <w:tc>
          <w:tcPr>
            <w:tcW w:type="dxa" w:w="2350"/>
          </w:tcPr>
          <w:p>
            <w:pPr>
              <w:spacing w:after="0" w:line="264" w:lineRule="auto"/>
            </w:pPr>
            <w:r>
              <w:rPr>
                <w:rFonts w:ascii="Calibri" w:hAnsi="Calibri" w:eastAsia="Calibri"/>
                <w:b w:val="0"/>
                <w:i w:val="0"/>
                <w:color w:val="1E293B"/>
                <w:sz w:val="16"/>
              </w:rPr>
              <w:t>Partial</w:t>
            </w:r>
          </w:p>
        </w:tc>
        <w:tc>
          <w:tcPr>
            <w:tcW w:type="dxa" w:w="2360"/>
          </w:tcPr>
          <w:p>
            <w:pPr>
              <w:spacing w:after="0" w:line="264" w:lineRule="auto"/>
            </w:pPr>
            <w:r>
              <w:rPr>
                <w:rFonts w:ascii="Calibri" w:hAnsi="Calibri" w:eastAsia="Calibri"/>
                <w:b w:val="0"/>
                <w:i w:val="0"/>
                <w:color w:val="1E293B"/>
                <w:sz w:val="16"/>
              </w:rPr>
              <w:t>Bounded with exclusions</w:t>
            </w:r>
          </w:p>
        </w:tc>
      </w:tr>
      <w:tr>
        <w:trPr>
          <w:cantSplit/>
        </w:trPr>
        <w:tc>
          <w:tcPr>
            <w:tcW w:type="dxa" w:w="2300"/>
          </w:tcPr>
          <w:p>
            <w:pPr>
              <w:spacing w:after="0" w:line="264" w:lineRule="auto"/>
            </w:pPr>
            <w:r>
              <w:rPr>
                <w:rFonts w:ascii="Calibri" w:hAnsi="Calibri" w:eastAsia="Calibri"/>
                <w:b w:val="0"/>
                <w:i w:val="0"/>
                <w:color w:val="1E293B"/>
                <w:sz w:val="16"/>
              </w:rPr>
              <w:t>Access readiness</w:t>
            </w:r>
          </w:p>
        </w:tc>
        <w:tc>
          <w:tcPr>
            <w:tcW w:type="dxa" w:w="2350"/>
          </w:tcPr>
          <w:p>
            <w:pPr>
              <w:spacing w:after="0" w:line="264" w:lineRule="auto"/>
            </w:pPr>
            <w:r>
              <w:rPr>
                <w:rFonts w:ascii="Calibri" w:hAnsi="Calibri" w:eastAsia="Calibri"/>
                <w:b w:val="0"/>
                <w:i w:val="0"/>
                <w:color w:val="1E293B"/>
                <w:sz w:val="16"/>
              </w:rPr>
              <w:t>No owner or path</w:t>
            </w:r>
          </w:p>
        </w:tc>
        <w:tc>
          <w:tcPr>
            <w:tcW w:type="dxa" w:w="2350"/>
          </w:tcPr>
          <w:p>
            <w:pPr>
              <w:spacing w:after="0" w:line="264" w:lineRule="auto"/>
            </w:pPr>
            <w:r>
              <w:rPr>
                <w:rFonts w:ascii="Calibri" w:hAnsi="Calibri" w:eastAsia="Calibri"/>
                <w:b w:val="0"/>
                <w:i w:val="0"/>
                <w:color w:val="1E293B"/>
                <w:sz w:val="16"/>
              </w:rPr>
              <w:t>Owner known; approval pending</w:t>
            </w:r>
          </w:p>
        </w:tc>
        <w:tc>
          <w:tcPr>
            <w:tcW w:type="dxa" w:w="2360"/>
          </w:tcPr>
          <w:p>
            <w:pPr>
              <w:spacing w:after="0" w:line="264" w:lineRule="auto"/>
            </w:pPr>
            <w:r>
              <w:rPr>
                <w:rFonts w:ascii="Calibri" w:hAnsi="Calibri" w:eastAsia="Calibri"/>
                <w:b w:val="0"/>
                <w:i w:val="0"/>
                <w:color w:val="1E293B"/>
                <w:sz w:val="16"/>
              </w:rPr>
              <w:t>Approved method, owner and window</w:t>
            </w:r>
          </w:p>
        </w:tc>
      </w:tr>
      <w:tr>
        <w:trPr>
          <w:cantSplit/>
        </w:trPr>
        <w:tc>
          <w:tcPr>
            <w:tcW w:type="dxa" w:w="2300"/>
          </w:tcPr>
          <w:p>
            <w:pPr>
              <w:spacing w:after="0" w:line="264" w:lineRule="auto"/>
            </w:pPr>
            <w:r>
              <w:rPr>
                <w:rFonts w:ascii="Calibri" w:hAnsi="Calibri" w:eastAsia="Calibri"/>
                <w:b w:val="0"/>
                <w:i w:val="0"/>
                <w:color w:val="1E293B"/>
                <w:sz w:val="16"/>
              </w:rPr>
              <w:t>Stakeholders</w:t>
            </w:r>
          </w:p>
        </w:tc>
        <w:tc>
          <w:tcPr>
            <w:tcW w:type="dxa" w:w="2350"/>
          </w:tcPr>
          <w:p>
            <w:pPr>
              <w:spacing w:after="0" w:line="264" w:lineRule="auto"/>
            </w:pPr>
            <w:r>
              <w:rPr>
                <w:rFonts w:ascii="Calibri" w:hAnsi="Calibri" w:eastAsia="Calibri"/>
                <w:b w:val="0"/>
                <w:i w:val="0"/>
                <w:color w:val="1E293B"/>
                <w:sz w:val="16"/>
              </w:rPr>
              <w:t>Single evaluator</w:t>
            </w:r>
          </w:p>
        </w:tc>
        <w:tc>
          <w:tcPr>
            <w:tcW w:type="dxa" w:w="2350"/>
          </w:tcPr>
          <w:p>
            <w:pPr>
              <w:spacing w:after="0" w:line="264" w:lineRule="auto"/>
            </w:pPr>
            <w:r>
              <w:rPr>
                <w:rFonts w:ascii="Calibri" w:hAnsi="Calibri" w:eastAsia="Calibri"/>
                <w:b w:val="0"/>
                <w:i w:val="0"/>
                <w:color w:val="1E293B"/>
                <w:sz w:val="16"/>
              </w:rPr>
              <w:t>Champion only</w:t>
            </w:r>
          </w:p>
        </w:tc>
        <w:tc>
          <w:tcPr>
            <w:tcW w:type="dxa" w:w="2360"/>
          </w:tcPr>
          <w:p>
            <w:pPr>
              <w:spacing w:after="0" w:line="264" w:lineRule="auto"/>
            </w:pPr>
            <w:r>
              <w:rPr>
                <w:rFonts w:ascii="Calibri" w:hAnsi="Calibri" w:eastAsia="Calibri"/>
                <w:b w:val="0"/>
                <w:i w:val="0"/>
                <w:color w:val="1E293B"/>
                <w:sz w:val="16"/>
              </w:rPr>
              <w:t>Champion and decision path</w:t>
            </w:r>
          </w:p>
        </w:tc>
      </w:tr>
      <w:tr>
        <w:trPr>
          <w:cantSplit/>
        </w:trPr>
        <w:tc>
          <w:tcPr>
            <w:tcW w:type="dxa" w:w="2300"/>
          </w:tcPr>
          <w:p>
            <w:pPr>
              <w:spacing w:after="0" w:line="264" w:lineRule="auto"/>
            </w:pPr>
            <w:r>
              <w:rPr>
                <w:rFonts w:ascii="Calibri" w:hAnsi="Calibri" w:eastAsia="Calibri"/>
                <w:b w:val="0"/>
                <w:i w:val="0"/>
                <w:color w:val="1E293B"/>
                <w:sz w:val="16"/>
              </w:rPr>
              <w:t>Timeline</w:t>
            </w:r>
          </w:p>
        </w:tc>
        <w:tc>
          <w:tcPr>
            <w:tcW w:type="dxa" w:w="2350"/>
          </w:tcPr>
          <w:p>
            <w:pPr>
              <w:spacing w:after="0" w:line="264" w:lineRule="auto"/>
            </w:pPr>
            <w:r>
              <w:rPr>
                <w:rFonts w:ascii="Calibri" w:hAnsi="Calibri" w:eastAsia="Calibri"/>
                <w:b w:val="0"/>
                <w:i w:val="0"/>
                <w:color w:val="1E293B"/>
                <w:sz w:val="16"/>
              </w:rPr>
              <w:t>Open-ended</w:t>
            </w:r>
          </w:p>
        </w:tc>
        <w:tc>
          <w:tcPr>
            <w:tcW w:type="dxa" w:w="2350"/>
          </w:tcPr>
          <w:p>
            <w:pPr>
              <w:spacing w:after="0" w:line="264" w:lineRule="auto"/>
            </w:pPr>
            <w:r>
              <w:rPr>
                <w:rFonts w:ascii="Calibri" w:hAnsi="Calibri" w:eastAsia="Calibri"/>
                <w:b w:val="0"/>
                <w:i w:val="0"/>
                <w:color w:val="1E293B"/>
                <w:sz w:val="16"/>
              </w:rPr>
              <w:t>Tentative milestones</w:t>
            </w:r>
          </w:p>
        </w:tc>
        <w:tc>
          <w:tcPr>
            <w:tcW w:type="dxa" w:w="2360"/>
          </w:tcPr>
          <w:p>
            <w:pPr>
              <w:spacing w:after="0" w:line="264" w:lineRule="auto"/>
            </w:pPr>
            <w:r>
              <w:rPr>
                <w:rFonts w:ascii="Calibri" w:hAnsi="Calibri" w:eastAsia="Calibri"/>
                <w:b w:val="0"/>
                <w:i w:val="0"/>
                <w:color w:val="1E293B"/>
                <w:sz w:val="16"/>
              </w:rPr>
              <w:t>Committed review and decision dates</w:t>
            </w:r>
          </w:p>
        </w:tc>
      </w:tr>
      <w:tr>
        <w:trPr>
          <w:cantSplit/>
        </w:trPr>
        <w:tc>
          <w:tcPr>
            <w:tcW w:type="dxa" w:w="2300"/>
          </w:tcPr>
          <w:p>
            <w:pPr>
              <w:spacing w:after="0" w:line="264" w:lineRule="auto"/>
            </w:pPr>
            <w:r>
              <w:rPr>
                <w:rFonts w:ascii="Calibri" w:hAnsi="Calibri" w:eastAsia="Calibri"/>
                <w:b w:val="0"/>
                <w:i w:val="0"/>
                <w:color w:val="1E293B"/>
                <w:sz w:val="16"/>
              </w:rPr>
              <w:t>Commercial next step</w:t>
            </w:r>
          </w:p>
        </w:tc>
        <w:tc>
          <w:tcPr>
            <w:tcW w:type="dxa" w:w="2350"/>
          </w:tcPr>
          <w:p>
            <w:pPr>
              <w:spacing w:after="0" w:line="264" w:lineRule="auto"/>
            </w:pPr>
            <w:r>
              <w:rPr>
                <w:rFonts w:ascii="Calibri" w:hAnsi="Calibri" w:eastAsia="Calibri"/>
                <w:b w:val="0"/>
                <w:i w:val="0"/>
                <w:color w:val="1E293B"/>
                <w:sz w:val="16"/>
              </w:rPr>
              <w:t>None</w:t>
            </w:r>
          </w:p>
        </w:tc>
        <w:tc>
          <w:tcPr>
            <w:tcW w:type="dxa" w:w="2350"/>
          </w:tcPr>
          <w:p>
            <w:pPr>
              <w:spacing w:after="0" w:line="264" w:lineRule="auto"/>
            </w:pPr>
            <w:r>
              <w:rPr>
                <w:rFonts w:ascii="Calibri" w:hAnsi="Calibri" w:eastAsia="Calibri"/>
                <w:b w:val="0"/>
                <w:i w:val="0"/>
                <w:color w:val="1E293B"/>
                <w:sz w:val="16"/>
              </w:rPr>
              <w:t>General intent</w:t>
            </w:r>
          </w:p>
        </w:tc>
        <w:tc>
          <w:tcPr>
            <w:tcW w:type="dxa" w:w="2360"/>
          </w:tcPr>
          <w:p>
            <w:pPr>
              <w:spacing w:after="0" w:line="264" w:lineRule="auto"/>
            </w:pPr>
            <w:r>
              <w:rPr>
                <w:rFonts w:ascii="Calibri" w:hAnsi="Calibri" w:eastAsia="Calibri"/>
                <w:b w:val="0"/>
                <w:i w:val="0"/>
                <w:color w:val="1E293B"/>
                <w:sz w:val="16"/>
              </w:rPr>
              <w:t>Specific decision, owner and date</w:t>
            </w:r>
          </w:p>
        </w:tc>
      </w:tr>
    </w:tbl>
    <w:p>
      <w:pPr>
        <w:spacing w:after="20"/>
        <w:widowControl/>
      </w:pPr>
    </w:p>
    <w:p>
      <w:pPr>
        <w:pStyle w:val="Heading2"/>
        <w:widowControl/>
      </w:pPr>
      <w:r>
        <w:t>Suggested interpretation</w:t>
      </w:r>
    </w:p>
    <w:p>
      <w:pPr>
        <w:numPr>
          <w:ilvl w:val="0"/>
          <w:numId w:val="10"/>
        </w:numPr>
        <w:spacing w:after="80" w:line="300" w:lineRule="auto"/>
        <w:ind w:left="540" w:hanging="271"/>
        <w:widowControl/>
      </w:pPr>
      <w:r>
        <w:rPr>
          <w:rFonts w:ascii="Calibri" w:hAnsi="Calibri" w:eastAsia="Calibri"/>
          <w:b w:val="0"/>
          <w:i w:val="0"/>
          <w:color w:val="1E293B"/>
          <w:sz w:val="22"/>
        </w:rPr>
        <w:t>13-16: Go, subject to no critical red flag.</w:t>
      </w:r>
    </w:p>
    <w:p>
      <w:pPr>
        <w:numPr>
          <w:ilvl w:val="0"/>
          <w:numId w:val="10"/>
        </w:numPr>
        <w:spacing w:after="80" w:line="300" w:lineRule="auto"/>
        <w:ind w:left="540" w:hanging="271"/>
        <w:widowControl/>
      </w:pPr>
      <w:r>
        <w:rPr>
          <w:rFonts w:ascii="Calibri" w:hAnsi="Calibri" w:eastAsia="Calibri"/>
          <w:b w:val="0"/>
          <w:i w:val="0"/>
          <w:color w:val="1E293B"/>
          <w:sz w:val="22"/>
        </w:rPr>
        <w:t>9-12: Conditional Go only when gaps have owners and closure dates.</w:t>
      </w:r>
    </w:p>
    <w:p>
      <w:pPr>
        <w:numPr>
          <w:ilvl w:val="0"/>
          <w:numId w:val="10"/>
        </w:numPr>
        <w:spacing w:after="80" w:line="300" w:lineRule="auto"/>
        <w:ind w:left="540" w:hanging="271"/>
        <w:widowControl/>
      </w:pPr>
      <w:r>
        <w:rPr>
          <w:rFonts w:ascii="Calibri" w:hAnsi="Calibri" w:eastAsia="Calibri"/>
          <w:b w:val="0"/>
          <w:i w:val="0"/>
          <w:color w:val="1E293B"/>
          <w:sz w:val="22"/>
        </w:rPr>
        <w:t>0-8: No-Go or redirect to Discovery / Cloud Security Workshop.</w:t>
      </w:r>
    </w:p>
    <w:p>
      <w:pPr>
        <w:numPr>
          <w:ilvl w:val="0"/>
          <w:numId w:val="10"/>
        </w:numPr>
        <w:spacing w:after="80" w:line="300" w:lineRule="auto"/>
        <w:ind w:left="540" w:hanging="271"/>
        <w:widowControl/>
      </w:pPr>
      <w:r>
        <w:rPr>
          <w:rFonts w:ascii="Calibri" w:hAnsi="Calibri" w:eastAsia="Calibri"/>
          <w:b w:val="0"/>
          <w:i w:val="0"/>
          <w:color w:val="1E293B"/>
          <w:sz w:val="22"/>
        </w:rPr>
        <w:t>Any score of 0 for success criteria, access readiness or decision path requires explicit facilitator review regardless of total.</w:t>
      </w:r>
    </w:p>
    <w:p>
      <w:pPr>
        <w:spacing w:after="120" w:line="300" w:lineRule="auto"/>
        <w:widowControl/>
      </w:pPr>
      <w:r>
        <w:rPr>
          <w:rFonts w:ascii="Calibri" w:hAnsi="Calibri" w:eastAsia="Calibri"/>
          <w:b w:val="0"/>
          <w:i/>
          <w:color w:val="64748B"/>
          <w:sz w:val="19"/>
        </w:rPr>
        <w:t>This scoring model is a starting proposal for pilot calibration, not an approved global policy.</w:t>
      </w:r>
    </w:p>
    <w:p>
      <w:pPr>
        <w:pStyle w:val="Heading1"/>
        <w:widowControl/>
      </w:pPr>
      <w:r>
        <w:t>Appendix D. Build Artifact Inventory</w:t>
      </w:r>
    </w:p>
    <w:tbl>
      <w:tblPr>
        <w:tblStyle w:val="TableGrid"/>
        <w:tblW w:type="dxa" w:w="9360"/>
        <w:jc w:val="left"/>
        <w:tblLayout w:type="fixed"/>
        <w:tblLook w:firstColumn="1" w:firstRow="1" w:lastColumn="0" w:lastRow="0" w:noHBand="0" w:noVBand="1" w:val="04A0"/>
        <w:tblInd w:w="120" w:type="dxa"/>
      </w:tblPr>
      <w:tblGrid>
        <w:gridCol w:w="3600"/>
        <w:gridCol w:w="2000"/>
        <w:gridCol w:w="2100"/>
        <w:gridCol w:w="1660"/>
      </w:tblGrid>
      <w:tr>
        <w:trPr>
          <w:tblHeader w:val="true"/>
        </w:trPr>
        <w:tc>
          <w:tcPr>
            <w:tcW w:type="dxa" w:w="36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Artifact</w:t>
            </w:r>
          </w:p>
        </w:tc>
        <w:tc>
          <w:tcPr>
            <w:tcW w:type="dxa" w:w="20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Audience</w:t>
            </w:r>
          </w:p>
        </w:tc>
        <w:tc>
          <w:tcPr>
            <w:tcW w:type="dxa" w:w="210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Owner</w:t>
            </w:r>
          </w:p>
        </w:tc>
        <w:tc>
          <w:tcPr>
            <w:tcW w:type="dxa" w:w="1660"/>
            <w:tcMar>
              <w:top w:w="80" w:type="dxa"/>
              <w:start w:w="120" w:type="dxa"/>
              <w:bottom w:w="80" w:type="dxa"/>
              <w:end w:w="120" w:type="dxa"/>
            </w:tcMar>
            <w:vAlign w:val="center"/>
            <w:shd w:fill="E8EEF5"/>
          </w:tcPr>
          <w:p>
            <w:pPr>
              <w:spacing w:after="0"/>
              <w:jc w:val="center"/>
            </w:pPr>
            <w:r>
              <w:rPr>
                <w:rFonts w:ascii="Calibri" w:hAnsi="Calibri" w:eastAsia="Calibri"/>
                <w:b/>
                <w:i w:val="0"/>
                <w:color w:val="0B2545"/>
                <w:sz w:val="16"/>
              </w:rPr>
              <w:t>Pilot Priority</w:t>
            </w:r>
          </w:p>
        </w:tc>
      </w:tr>
      <w:tr>
        <w:trPr>
          <w:cantSplit/>
        </w:trPr>
        <w:tc>
          <w:tcPr>
            <w:tcW w:type="dxa" w:w="3600"/>
          </w:tcPr>
          <w:p>
            <w:pPr>
              <w:spacing w:after="0" w:line="264" w:lineRule="auto"/>
            </w:pPr>
            <w:r>
              <w:rPr>
                <w:rFonts w:ascii="Calibri" w:hAnsi="Calibri" w:eastAsia="Calibri"/>
                <w:b w:val="0"/>
                <w:i w:val="0"/>
                <w:color w:val="1E293B"/>
                <w:sz w:val="16"/>
              </w:rPr>
              <w:t>Program Charter and participant guide</w:t>
            </w:r>
          </w:p>
        </w:tc>
        <w:tc>
          <w:tcPr>
            <w:tcW w:type="dxa" w:w="2000"/>
          </w:tcPr>
          <w:p>
            <w:pPr>
              <w:spacing w:after="0" w:line="264" w:lineRule="auto"/>
            </w:pPr>
            <w:r>
              <w:rPr>
                <w:rFonts w:ascii="Calibri" w:hAnsi="Calibri" w:eastAsia="Calibri"/>
                <w:b w:val="0"/>
                <w:i w:val="0"/>
                <w:color w:val="1E293B"/>
                <w:sz w:val="16"/>
              </w:rPr>
              <w:t>All stakeholders</w:t>
            </w:r>
          </w:p>
        </w:tc>
        <w:tc>
          <w:tcPr>
            <w:tcW w:type="dxa" w:w="2100"/>
          </w:tcPr>
          <w:p>
            <w:pPr>
              <w:spacing w:after="0" w:line="264" w:lineRule="auto"/>
            </w:pPr>
            <w:r>
              <w:rPr>
                <w:rFonts w:ascii="Calibri" w:hAnsi="Calibri" w:eastAsia="Calibri"/>
                <w:b w:val="0"/>
                <w:i w:val="0"/>
                <w:color w:val="1E293B"/>
                <w:sz w:val="16"/>
              </w:rPr>
              <w:t>Program Owner</w:t>
            </w:r>
          </w:p>
        </w:tc>
        <w:tc>
          <w:tcPr>
            <w:tcW w:type="dxa" w:w="1660"/>
          </w:tcPr>
          <w:p>
            <w:pPr>
              <w:spacing w:after="0" w:line="264" w:lineRule="auto"/>
            </w:pPr>
            <w:r>
              <w:rPr>
                <w:rFonts w:ascii="Calibri" w:hAnsi="Calibri" w:eastAsia="Calibri"/>
                <w:b w:val="0"/>
                <w:i w:val="0"/>
                <w:color w:val="1E293B"/>
                <w:sz w:val="16"/>
              </w:rPr>
              <w:t>Must have</w:t>
            </w:r>
          </w:p>
        </w:tc>
      </w:tr>
      <w:tr>
        <w:trPr>
          <w:cantSplit/>
        </w:trPr>
        <w:tc>
          <w:tcPr>
            <w:tcW w:type="dxa" w:w="3600"/>
          </w:tcPr>
          <w:p>
            <w:pPr>
              <w:spacing w:after="0" w:line="264" w:lineRule="auto"/>
            </w:pPr>
            <w:r>
              <w:rPr>
                <w:rFonts w:ascii="Calibri" w:hAnsi="Calibri" w:eastAsia="Calibri"/>
                <w:b w:val="0"/>
                <w:i w:val="0"/>
                <w:color w:val="1E293B"/>
                <w:sz w:val="16"/>
              </w:rPr>
              <w:t>Golden Customer case packet</w:t>
            </w:r>
          </w:p>
        </w:tc>
        <w:tc>
          <w:tcPr>
            <w:tcW w:type="dxa" w:w="2000"/>
          </w:tcPr>
          <w:p>
            <w:pPr>
              <w:spacing w:after="0" w:line="264" w:lineRule="auto"/>
            </w:pPr>
            <w:r>
              <w:rPr>
                <w:rFonts w:ascii="Calibri" w:hAnsi="Calibri" w:eastAsia="Calibri"/>
                <w:b w:val="0"/>
                <w:i w:val="0"/>
                <w:color w:val="1E293B"/>
                <w:sz w:val="16"/>
              </w:rPr>
              <w:t>Participants</w:t>
            </w:r>
          </w:p>
        </w:tc>
        <w:tc>
          <w:tcPr>
            <w:tcW w:type="dxa" w:w="2100"/>
          </w:tcPr>
          <w:p>
            <w:pPr>
              <w:spacing w:after="0" w:line="264" w:lineRule="auto"/>
            </w:pPr>
            <w:r>
              <w:rPr>
                <w:rFonts w:ascii="Calibri" w:hAnsi="Calibri" w:eastAsia="Calibri"/>
                <w:b w:val="0"/>
                <w:i w:val="0"/>
                <w:color w:val="1E293B"/>
                <w:sz w:val="16"/>
              </w:rPr>
              <w:t>Curriculum Lead</w:t>
            </w:r>
          </w:p>
        </w:tc>
        <w:tc>
          <w:tcPr>
            <w:tcW w:type="dxa" w:w="1660"/>
          </w:tcPr>
          <w:p>
            <w:pPr>
              <w:spacing w:after="0" w:line="264" w:lineRule="auto"/>
            </w:pPr>
            <w:r>
              <w:rPr>
                <w:rFonts w:ascii="Calibri" w:hAnsi="Calibri" w:eastAsia="Calibri"/>
                <w:b w:val="0"/>
                <w:i w:val="0"/>
                <w:color w:val="1E293B"/>
                <w:sz w:val="16"/>
              </w:rPr>
              <w:t>Must have</w:t>
            </w:r>
          </w:p>
        </w:tc>
      </w:tr>
      <w:tr>
        <w:trPr>
          <w:cantSplit/>
        </w:trPr>
        <w:tc>
          <w:tcPr>
            <w:tcW w:type="dxa" w:w="3600"/>
          </w:tcPr>
          <w:p>
            <w:pPr>
              <w:spacing w:after="0" w:line="264" w:lineRule="auto"/>
            </w:pPr>
            <w:r>
              <w:rPr>
                <w:rFonts w:ascii="Calibri" w:hAnsi="Calibri" w:eastAsia="Calibri"/>
                <w:b w:val="0"/>
                <w:i w:val="0"/>
                <w:color w:val="1E293B"/>
                <w:sz w:val="16"/>
              </w:rPr>
              <w:t>Persona cards: participant and facilitator versions</w:t>
            </w:r>
          </w:p>
        </w:tc>
        <w:tc>
          <w:tcPr>
            <w:tcW w:type="dxa" w:w="2000"/>
          </w:tcPr>
          <w:p>
            <w:pPr>
              <w:spacing w:after="0" w:line="264" w:lineRule="auto"/>
            </w:pPr>
            <w:r>
              <w:rPr>
                <w:rFonts w:ascii="Calibri" w:hAnsi="Calibri" w:eastAsia="Calibri"/>
                <w:b w:val="0"/>
                <w:i w:val="0"/>
                <w:color w:val="1E293B"/>
                <w:sz w:val="16"/>
              </w:rPr>
              <w:t>Participants / facilitators</w:t>
            </w:r>
          </w:p>
        </w:tc>
        <w:tc>
          <w:tcPr>
            <w:tcW w:type="dxa" w:w="2100"/>
          </w:tcPr>
          <w:p>
            <w:pPr>
              <w:spacing w:after="0" w:line="264" w:lineRule="auto"/>
            </w:pPr>
            <w:r>
              <w:rPr>
                <w:rFonts w:ascii="Calibri" w:hAnsi="Calibri" w:eastAsia="Calibri"/>
                <w:b w:val="0"/>
                <w:i w:val="0"/>
                <w:color w:val="1E293B"/>
                <w:sz w:val="16"/>
              </w:rPr>
              <w:t>Curriculum Lead</w:t>
            </w:r>
          </w:p>
        </w:tc>
        <w:tc>
          <w:tcPr>
            <w:tcW w:type="dxa" w:w="1660"/>
          </w:tcPr>
          <w:p>
            <w:pPr>
              <w:spacing w:after="0" w:line="264" w:lineRule="auto"/>
            </w:pPr>
            <w:r>
              <w:rPr>
                <w:rFonts w:ascii="Calibri" w:hAnsi="Calibri" w:eastAsia="Calibri"/>
                <w:b w:val="0"/>
                <w:i w:val="0"/>
                <w:color w:val="1E293B"/>
                <w:sz w:val="16"/>
              </w:rPr>
              <w:t>Must have</w:t>
            </w:r>
          </w:p>
        </w:tc>
      </w:tr>
      <w:tr>
        <w:trPr>
          <w:cantSplit/>
        </w:trPr>
        <w:tc>
          <w:tcPr>
            <w:tcW w:type="dxa" w:w="3600"/>
          </w:tcPr>
          <w:p>
            <w:pPr>
              <w:spacing w:after="0" w:line="264" w:lineRule="auto"/>
            </w:pPr>
            <w:r>
              <w:rPr>
                <w:rFonts w:ascii="Calibri" w:hAnsi="Calibri" w:eastAsia="Calibri"/>
                <w:b w:val="0"/>
                <w:i w:val="0"/>
                <w:color w:val="1E293B"/>
                <w:sz w:val="16"/>
              </w:rPr>
              <w:t>Golden Tenant architecture and reset runbook</w:t>
            </w:r>
          </w:p>
        </w:tc>
        <w:tc>
          <w:tcPr>
            <w:tcW w:type="dxa" w:w="2000"/>
          </w:tcPr>
          <w:p>
            <w:pPr>
              <w:spacing w:after="0" w:line="264" w:lineRule="auto"/>
            </w:pPr>
            <w:r>
              <w:rPr>
                <w:rFonts w:ascii="Calibri" w:hAnsi="Calibri" w:eastAsia="Calibri"/>
                <w:b w:val="0"/>
                <w:i w:val="0"/>
                <w:color w:val="1E293B"/>
                <w:sz w:val="16"/>
              </w:rPr>
              <w:t>Lab team</w:t>
            </w:r>
          </w:p>
        </w:tc>
        <w:tc>
          <w:tcPr>
            <w:tcW w:type="dxa" w:w="2100"/>
          </w:tcPr>
          <w:p>
            <w:pPr>
              <w:spacing w:after="0" w:line="264" w:lineRule="auto"/>
            </w:pPr>
            <w:r>
              <w:rPr>
                <w:rFonts w:ascii="Calibri" w:hAnsi="Calibri" w:eastAsia="Calibri"/>
                <w:b w:val="0"/>
                <w:i w:val="0"/>
                <w:color w:val="1E293B"/>
                <w:sz w:val="16"/>
              </w:rPr>
              <w:t>Lab Owner</w:t>
            </w:r>
          </w:p>
        </w:tc>
        <w:tc>
          <w:tcPr>
            <w:tcW w:type="dxa" w:w="1660"/>
          </w:tcPr>
          <w:p>
            <w:pPr>
              <w:spacing w:after="0" w:line="264" w:lineRule="auto"/>
            </w:pPr>
            <w:r>
              <w:rPr>
                <w:rFonts w:ascii="Calibri" w:hAnsi="Calibri" w:eastAsia="Calibri"/>
                <w:b w:val="0"/>
                <w:i w:val="0"/>
                <w:color w:val="1E293B"/>
                <w:sz w:val="16"/>
              </w:rPr>
              <w:t>Must have</w:t>
            </w:r>
          </w:p>
        </w:tc>
      </w:tr>
      <w:tr>
        <w:trPr>
          <w:cantSplit/>
        </w:trPr>
        <w:tc>
          <w:tcPr>
            <w:tcW w:type="dxa" w:w="3600"/>
          </w:tcPr>
          <w:p>
            <w:pPr>
              <w:spacing w:after="0" w:line="264" w:lineRule="auto"/>
            </w:pPr>
            <w:r>
              <w:rPr>
                <w:rFonts w:ascii="Calibri" w:hAnsi="Calibri" w:eastAsia="Calibri"/>
                <w:b w:val="0"/>
                <w:i w:val="0"/>
                <w:color w:val="1E293B"/>
                <w:sz w:val="16"/>
              </w:rPr>
              <w:t>Seeded scenario catalog and answer key</w:t>
            </w:r>
          </w:p>
        </w:tc>
        <w:tc>
          <w:tcPr>
            <w:tcW w:type="dxa" w:w="2000"/>
          </w:tcPr>
          <w:p>
            <w:pPr>
              <w:spacing w:after="0" w:line="264" w:lineRule="auto"/>
            </w:pPr>
            <w:r>
              <w:rPr>
                <w:rFonts w:ascii="Calibri" w:hAnsi="Calibri" w:eastAsia="Calibri"/>
                <w:b w:val="0"/>
                <w:i w:val="0"/>
                <w:color w:val="1E293B"/>
                <w:sz w:val="16"/>
              </w:rPr>
              <w:t>Facilitators</w:t>
            </w:r>
          </w:p>
        </w:tc>
        <w:tc>
          <w:tcPr>
            <w:tcW w:type="dxa" w:w="2100"/>
          </w:tcPr>
          <w:p>
            <w:pPr>
              <w:spacing w:after="0" w:line="264" w:lineRule="auto"/>
            </w:pPr>
            <w:r>
              <w:rPr>
                <w:rFonts w:ascii="Calibri" w:hAnsi="Calibri" w:eastAsia="Calibri"/>
                <w:b w:val="0"/>
                <w:i w:val="0"/>
                <w:color w:val="1E293B"/>
                <w:sz w:val="16"/>
              </w:rPr>
              <w:t>Lab Owner + SMEs</w:t>
            </w:r>
          </w:p>
        </w:tc>
        <w:tc>
          <w:tcPr>
            <w:tcW w:type="dxa" w:w="1660"/>
          </w:tcPr>
          <w:p>
            <w:pPr>
              <w:spacing w:after="0" w:line="264" w:lineRule="auto"/>
            </w:pPr>
            <w:r>
              <w:rPr>
                <w:rFonts w:ascii="Calibri" w:hAnsi="Calibri" w:eastAsia="Calibri"/>
                <w:b w:val="0"/>
                <w:i w:val="0"/>
                <w:color w:val="1E293B"/>
                <w:sz w:val="16"/>
              </w:rPr>
              <w:t>Must have</w:t>
            </w:r>
          </w:p>
        </w:tc>
      </w:tr>
      <w:tr>
        <w:trPr>
          <w:cantSplit/>
        </w:trPr>
        <w:tc>
          <w:tcPr>
            <w:tcW w:type="dxa" w:w="3600"/>
          </w:tcPr>
          <w:p>
            <w:pPr>
              <w:spacing w:after="0" w:line="264" w:lineRule="auto"/>
            </w:pPr>
            <w:r>
              <w:rPr>
                <w:rFonts w:ascii="Calibri" w:hAnsi="Calibri" w:eastAsia="Calibri"/>
                <w:b w:val="0"/>
                <w:i w:val="0"/>
                <w:color w:val="1E293B"/>
                <w:sz w:val="16"/>
              </w:rPr>
              <w:t>Discovery Canvas and Stakeholder Map</w:t>
            </w:r>
          </w:p>
        </w:tc>
        <w:tc>
          <w:tcPr>
            <w:tcW w:type="dxa" w:w="2000"/>
          </w:tcPr>
          <w:p>
            <w:pPr>
              <w:spacing w:after="0" w:line="264" w:lineRule="auto"/>
            </w:pPr>
            <w:r>
              <w:rPr>
                <w:rFonts w:ascii="Calibri" w:hAnsi="Calibri" w:eastAsia="Calibri"/>
                <w:b w:val="0"/>
                <w:i w:val="0"/>
                <w:color w:val="1E293B"/>
                <w:sz w:val="16"/>
              </w:rPr>
              <w:t>Participants</w:t>
            </w:r>
          </w:p>
        </w:tc>
        <w:tc>
          <w:tcPr>
            <w:tcW w:type="dxa" w:w="2100"/>
          </w:tcPr>
          <w:p>
            <w:pPr>
              <w:spacing w:after="0" w:line="264" w:lineRule="auto"/>
            </w:pPr>
            <w:r>
              <w:rPr>
                <w:rFonts w:ascii="Calibri" w:hAnsi="Calibri" w:eastAsia="Calibri"/>
                <w:b w:val="0"/>
                <w:i w:val="0"/>
                <w:color w:val="1E293B"/>
                <w:sz w:val="16"/>
              </w:rPr>
              <w:t>Curriculum Lead</w:t>
            </w:r>
          </w:p>
        </w:tc>
        <w:tc>
          <w:tcPr>
            <w:tcW w:type="dxa" w:w="1660"/>
          </w:tcPr>
          <w:p>
            <w:pPr>
              <w:spacing w:after="0" w:line="264" w:lineRule="auto"/>
            </w:pPr>
            <w:r>
              <w:rPr>
                <w:rFonts w:ascii="Calibri" w:hAnsi="Calibri" w:eastAsia="Calibri"/>
                <w:b w:val="0"/>
                <w:i w:val="0"/>
                <w:color w:val="1E293B"/>
                <w:sz w:val="16"/>
              </w:rPr>
              <w:t>Must have</w:t>
            </w:r>
          </w:p>
        </w:tc>
      </w:tr>
      <w:tr>
        <w:trPr>
          <w:cantSplit/>
        </w:trPr>
        <w:tc>
          <w:tcPr>
            <w:tcW w:type="dxa" w:w="3600"/>
          </w:tcPr>
          <w:p>
            <w:pPr>
              <w:spacing w:after="0" w:line="264" w:lineRule="auto"/>
            </w:pPr>
            <w:r>
              <w:rPr>
                <w:rFonts w:ascii="Calibri" w:hAnsi="Calibri" w:eastAsia="Calibri"/>
                <w:b w:val="0"/>
                <w:i w:val="0"/>
                <w:color w:val="1E293B"/>
                <w:sz w:val="16"/>
              </w:rPr>
              <w:t>POV Success Plan and Readiness Scorecard</w:t>
            </w:r>
          </w:p>
        </w:tc>
        <w:tc>
          <w:tcPr>
            <w:tcW w:type="dxa" w:w="2000"/>
          </w:tcPr>
          <w:p>
            <w:pPr>
              <w:spacing w:after="0" w:line="264" w:lineRule="auto"/>
            </w:pPr>
            <w:r>
              <w:rPr>
                <w:rFonts w:ascii="Calibri" w:hAnsi="Calibri" w:eastAsia="Calibri"/>
                <w:b w:val="0"/>
                <w:i w:val="0"/>
                <w:color w:val="1E293B"/>
                <w:sz w:val="16"/>
              </w:rPr>
              <w:t>Participants / field</w:t>
            </w:r>
          </w:p>
        </w:tc>
        <w:tc>
          <w:tcPr>
            <w:tcW w:type="dxa" w:w="2100"/>
          </w:tcPr>
          <w:p>
            <w:pPr>
              <w:spacing w:after="0" w:line="264" w:lineRule="auto"/>
            </w:pPr>
            <w:r>
              <w:rPr>
                <w:rFonts w:ascii="Calibri" w:hAnsi="Calibri" w:eastAsia="Calibri"/>
                <w:b w:val="0"/>
                <w:i w:val="0"/>
                <w:color w:val="1E293B"/>
                <w:sz w:val="16"/>
              </w:rPr>
              <w:t>Program Owner</w:t>
            </w:r>
          </w:p>
        </w:tc>
        <w:tc>
          <w:tcPr>
            <w:tcW w:type="dxa" w:w="1660"/>
          </w:tcPr>
          <w:p>
            <w:pPr>
              <w:spacing w:after="0" w:line="264" w:lineRule="auto"/>
            </w:pPr>
            <w:r>
              <w:rPr>
                <w:rFonts w:ascii="Calibri" w:hAnsi="Calibri" w:eastAsia="Calibri"/>
                <w:b w:val="0"/>
                <w:i w:val="0"/>
                <w:color w:val="1E293B"/>
                <w:sz w:val="16"/>
              </w:rPr>
              <w:t>Must have</w:t>
            </w:r>
          </w:p>
        </w:tc>
      </w:tr>
      <w:tr>
        <w:trPr>
          <w:cantSplit/>
        </w:trPr>
        <w:tc>
          <w:tcPr>
            <w:tcW w:type="dxa" w:w="3600"/>
          </w:tcPr>
          <w:p>
            <w:pPr>
              <w:spacing w:after="0" w:line="264" w:lineRule="auto"/>
            </w:pPr>
            <w:r>
              <w:rPr>
                <w:rFonts w:ascii="Calibri" w:hAnsi="Calibri" w:eastAsia="Calibri"/>
                <w:b w:val="0"/>
                <w:i w:val="0"/>
                <w:color w:val="1E293B"/>
                <w:sz w:val="16"/>
              </w:rPr>
              <w:t>First 24-Hour Plan and Finding Evidence Log</w:t>
            </w:r>
          </w:p>
        </w:tc>
        <w:tc>
          <w:tcPr>
            <w:tcW w:type="dxa" w:w="2000"/>
          </w:tcPr>
          <w:p>
            <w:pPr>
              <w:spacing w:after="0" w:line="264" w:lineRule="auto"/>
            </w:pPr>
            <w:r>
              <w:rPr>
                <w:rFonts w:ascii="Calibri" w:hAnsi="Calibri" w:eastAsia="Calibri"/>
                <w:b w:val="0"/>
                <w:i w:val="0"/>
                <w:color w:val="1E293B"/>
                <w:sz w:val="16"/>
              </w:rPr>
              <w:t>Participants / field</w:t>
            </w:r>
          </w:p>
        </w:tc>
        <w:tc>
          <w:tcPr>
            <w:tcW w:type="dxa" w:w="2100"/>
          </w:tcPr>
          <w:p>
            <w:pPr>
              <w:spacing w:after="0" w:line="264" w:lineRule="auto"/>
            </w:pPr>
            <w:r>
              <w:rPr>
                <w:rFonts w:ascii="Calibri" w:hAnsi="Calibri" w:eastAsia="Calibri"/>
                <w:b w:val="0"/>
                <w:i w:val="0"/>
                <w:color w:val="1E293B"/>
                <w:sz w:val="16"/>
              </w:rPr>
              <w:t>Regional PSA</w:t>
            </w:r>
          </w:p>
        </w:tc>
        <w:tc>
          <w:tcPr>
            <w:tcW w:type="dxa" w:w="1660"/>
          </w:tcPr>
          <w:p>
            <w:pPr>
              <w:spacing w:after="0" w:line="264" w:lineRule="auto"/>
            </w:pPr>
            <w:r>
              <w:rPr>
                <w:rFonts w:ascii="Calibri" w:hAnsi="Calibri" w:eastAsia="Calibri"/>
                <w:b w:val="0"/>
                <w:i w:val="0"/>
                <w:color w:val="1E293B"/>
                <w:sz w:val="16"/>
              </w:rPr>
              <w:t>Must have</w:t>
            </w:r>
          </w:p>
        </w:tc>
      </w:tr>
      <w:tr>
        <w:trPr>
          <w:cantSplit/>
        </w:trPr>
        <w:tc>
          <w:tcPr>
            <w:tcW w:type="dxa" w:w="3600"/>
          </w:tcPr>
          <w:p>
            <w:pPr>
              <w:spacing w:after="0" w:line="264" w:lineRule="auto"/>
            </w:pPr>
            <w:r>
              <w:rPr>
                <w:rFonts w:ascii="Calibri" w:hAnsi="Calibri" w:eastAsia="Calibri"/>
                <w:b w:val="0"/>
                <w:i w:val="0"/>
                <w:color w:val="1E293B"/>
                <w:sz w:val="16"/>
              </w:rPr>
              <w:t>Executive Playback template</w:t>
            </w:r>
          </w:p>
        </w:tc>
        <w:tc>
          <w:tcPr>
            <w:tcW w:type="dxa" w:w="2000"/>
          </w:tcPr>
          <w:p>
            <w:pPr>
              <w:spacing w:after="0" w:line="264" w:lineRule="auto"/>
            </w:pPr>
            <w:r>
              <w:rPr>
                <w:rFonts w:ascii="Calibri" w:hAnsi="Calibri" w:eastAsia="Calibri"/>
                <w:b w:val="0"/>
                <w:i w:val="0"/>
                <w:color w:val="1E293B"/>
                <w:sz w:val="16"/>
              </w:rPr>
              <w:t>Participants</w:t>
            </w:r>
          </w:p>
        </w:tc>
        <w:tc>
          <w:tcPr>
            <w:tcW w:type="dxa" w:w="2100"/>
          </w:tcPr>
          <w:p>
            <w:pPr>
              <w:spacing w:after="0" w:line="264" w:lineRule="auto"/>
            </w:pPr>
            <w:r>
              <w:rPr>
                <w:rFonts w:ascii="Calibri" w:hAnsi="Calibri" w:eastAsia="Calibri"/>
                <w:b w:val="0"/>
                <w:i w:val="0"/>
                <w:color w:val="1E293B"/>
                <w:sz w:val="16"/>
              </w:rPr>
              <w:t>Presales SME</w:t>
            </w:r>
          </w:p>
        </w:tc>
        <w:tc>
          <w:tcPr>
            <w:tcW w:type="dxa" w:w="1660"/>
          </w:tcPr>
          <w:p>
            <w:pPr>
              <w:spacing w:after="0" w:line="264" w:lineRule="auto"/>
            </w:pPr>
            <w:r>
              <w:rPr>
                <w:rFonts w:ascii="Calibri" w:hAnsi="Calibri" w:eastAsia="Calibri"/>
                <w:b w:val="0"/>
                <w:i w:val="0"/>
                <w:color w:val="1E293B"/>
                <w:sz w:val="16"/>
              </w:rPr>
              <w:t>Must have</w:t>
            </w:r>
          </w:p>
        </w:tc>
      </w:tr>
      <w:tr>
        <w:trPr>
          <w:cantSplit/>
        </w:trPr>
        <w:tc>
          <w:tcPr>
            <w:tcW w:type="dxa" w:w="3600"/>
          </w:tcPr>
          <w:p>
            <w:pPr>
              <w:spacing w:after="0" w:line="264" w:lineRule="auto"/>
            </w:pPr>
            <w:r>
              <w:rPr>
                <w:rFonts w:ascii="Calibri" w:hAnsi="Calibri" w:eastAsia="Calibri"/>
                <w:b w:val="0"/>
                <w:i w:val="0"/>
                <w:color w:val="1E293B"/>
                <w:sz w:val="16"/>
              </w:rPr>
              <w:t>Objection cards and role-play guide</w:t>
            </w:r>
          </w:p>
        </w:tc>
        <w:tc>
          <w:tcPr>
            <w:tcW w:type="dxa" w:w="2000"/>
          </w:tcPr>
          <w:p>
            <w:pPr>
              <w:spacing w:after="0" w:line="264" w:lineRule="auto"/>
            </w:pPr>
            <w:r>
              <w:rPr>
                <w:rFonts w:ascii="Calibri" w:hAnsi="Calibri" w:eastAsia="Calibri"/>
                <w:b w:val="0"/>
                <w:i w:val="0"/>
                <w:color w:val="1E293B"/>
                <w:sz w:val="16"/>
              </w:rPr>
              <w:t>Facilitators</w:t>
            </w:r>
          </w:p>
        </w:tc>
        <w:tc>
          <w:tcPr>
            <w:tcW w:type="dxa" w:w="2100"/>
          </w:tcPr>
          <w:p>
            <w:pPr>
              <w:spacing w:after="0" w:line="264" w:lineRule="auto"/>
            </w:pPr>
            <w:r>
              <w:rPr>
                <w:rFonts w:ascii="Calibri" w:hAnsi="Calibri" w:eastAsia="Calibri"/>
                <w:b w:val="0"/>
                <w:i w:val="0"/>
                <w:color w:val="1E293B"/>
                <w:sz w:val="16"/>
              </w:rPr>
              <w:t>Curriculum Lead</w:t>
            </w:r>
          </w:p>
        </w:tc>
        <w:tc>
          <w:tcPr>
            <w:tcW w:type="dxa" w:w="1660"/>
          </w:tcPr>
          <w:p>
            <w:pPr>
              <w:spacing w:after="0" w:line="264" w:lineRule="auto"/>
            </w:pPr>
            <w:r>
              <w:rPr>
                <w:rFonts w:ascii="Calibri" w:hAnsi="Calibri" w:eastAsia="Calibri"/>
                <w:b w:val="0"/>
                <w:i w:val="0"/>
                <w:color w:val="1E293B"/>
                <w:sz w:val="16"/>
              </w:rPr>
              <w:t>Must have</w:t>
            </w:r>
          </w:p>
        </w:tc>
      </w:tr>
      <w:tr>
        <w:trPr>
          <w:cantSplit/>
        </w:trPr>
        <w:tc>
          <w:tcPr>
            <w:tcW w:type="dxa" w:w="3600"/>
          </w:tcPr>
          <w:p>
            <w:pPr>
              <w:spacing w:after="0" w:line="264" w:lineRule="auto"/>
            </w:pPr>
            <w:r>
              <w:rPr>
                <w:rFonts w:ascii="Calibri" w:hAnsi="Calibri" w:eastAsia="Calibri"/>
                <w:b w:val="0"/>
                <w:i w:val="0"/>
                <w:color w:val="1E293B"/>
                <w:sz w:val="16"/>
              </w:rPr>
              <w:t>Facilitator guide and scoring rubric</w:t>
            </w:r>
          </w:p>
        </w:tc>
        <w:tc>
          <w:tcPr>
            <w:tcW w:type="dxa" w:w="2000"/>
          </w:tcPr>
          <w:p>
            <w:pPr>
              <w:spacing w:after="0" w:line="264" w:lineRule="auto"/>
            </w:pPr>
            <w:r>
              <w:rPr>
                <w:rFonts w:ascii="Calibri" w:hAnsi="Calibri" w:eastAsia="Calibri"/>
                <w:b w:val="0"/>
                <w:i w:val="0"/>
                <w:color w:val="1E293B"/>
                <w:sz w:val="16"/>
              </w:rPr>
              <w:t>Facilitators / assessors</w:t>
            </w:r>
          </w:p>
        </w:tc>
        <w:tc>
          <w:tcPr>
            <w:tcW w:type="dxa" w:w="2100"/>
          </w:tcPr>
          <w:p>
            <w:pPr>
              <w:spacing w:after="0" w:line="264" w:lineRule="auto"/>
            </w:pPr>
            <w:r>
              <w:rPr>
                <w:rFonts w:ascii="Calibri" w:hAnsi="Calibri" w:eastAsia="Calibri"/>
                <w:b w:val="0"/>
                <w:i w:val="0"/>
                <w:color w:val="1E293B"/>
                <w:sz w:val="16"/>
              </w:rPr>
              <w:t>Program Owner</w:t>
            </w:r>
          </w:p>
        </w:tc>
        <w:tc>
          <w:tcPr>
            <w:tcW w:type="dxa" w:w="1660"/>
          </w:tcPr>
          <w:p>
            <w:pPr>
              <w:spacing w:after="0" w:line="264" w:lineRule="auto"/>
            </w:pPr>
            <w:r>
              <w:rPr>
                <w:rFonts w:ascii="Calibri" w:hAnsi="Calibri" w:eastAsia="Calibri"/>
                <w:b w:val="0"/>
                <w:i w:val="0"/>
                <w:color w:val="1E293B"/>
                <w:sz w:val="16"/>
              </w:rPr>
              <w:t>Must have</w:t>
            </w:r>
          </w:p>
        </w:tc>
      </w:tr>
      <w:tr>
        <w:trPr>
          <w:cantSplit/>
        </w:trPr>
        <w:tc>
          <w:tcPr>
            <w:tcW w:type="dxa" w:w="3600"/>
          </w:tcPr>
          <w:p>
            <w:pPr>
              <w:spacing w:after="0" w:line="264" w:lineRule="auto"/>
            </w:pPr>
            <w:r>
              <w:rPr>
                <w:rFonts w:ascii="Calibri" w:hAnsi="Calibri" w:eastAsia="Calibri"/>
                <w:b w:val="0"/>
                <w:i w:val="0"/>
                <w:color w:val="1E293B"/>
                <w:sz w:val="16"/>
              </w:rPr>
              <w:t>Field practicum evidence pack</w:t>
            </w:r>
          </w:p>
        </w:tc>
        <w:tc>
          <w:tcPr>
            <w:tcW w:type="dxa" w:w="2000"/>
          </w:tcPr>
          <w:p>
            <w:pPr>
              <w:spacing w:after="0" w:line="264" w:lineRule="auto"/>
            </w:pPr>
            <w:r>
              <w:rPr>
                <w:rFonts w:ascii="Calibri" w:hAnsi="Calibri" w:eastAsia="Calibri"/>
                <w:b w:val="0"/>
                <w:i w:val="0"/>
                <w:color w:val="1E293B"/>
                <w:sz w:val="16"/>
              </w:rPr>
              <w:t>Graduates / mentors</w:t>
            </w:r>
          </w:p>
        </w:tc>
        <w:tc>
          <w:tcPr>
            <w:tcW w:type="dxa" w:w="2100"/>
          </w:tcPr>
          <w:p>
            <w:pPr>
              <w:spacing w:after="0" w:line="264" w:lineRule="auto"/>
            </w:pPr>
            <w:r>
              <w:rPr>
                <w:rFonts w:ascii="Calibri" w:hAnsi="Calibri" w:eastAsia="Calibri"/>
                <w:b w:val="0"/>
                <w:i w:val="0"/>
                <w:color w:val="1E293B"/>
                <w:sz w:val="16"/>
              </w:rPr>
              <w:t>Program Operations</w:t>
            </w:r>
          </w:p>
        </w:tc>
        <w:tc>
          <w:tcPr>
            <w:tcW w:type="dxa" w:w="1660"/>
          </w:tcPr>
          <w:p>
            <w:pPr>
              <w:spacing w:after="0" w:line="264" w:lineRule="auto"/>
            </w:pPr>
            <w:r>
              <w:rPr>
                <w:rFonts w:ascii="Calibri" w:hAnsi="Calibri" w:eastAsia="Calibri"/>
                <w:b w:val="0"/>
                <w:i w:val="0"/>
                <w:color w:val="1E293B"/>
                <w:sz w:val="16"/>
              </w:rPr>
              <w:t>Must have</w:t>
            </w:r>
          </w:p>
        </w:tc>
      </w:tr>
      <w:tr>
        <w:trPr>
          <w:cantSplit/>
        </w:trPr>
        <w:tc>
          <w:tcPr>
            <w:tcW w:type="dxa" w:w="3600"/>
          </w:tcPr>
          <w:p>
            <w:pPr>
              <w:spacing w:after="0" w:line="264" w:lineRule="auto"/>
            </w:pPr>
            <w:r>
              <w:rPr>
                <w:rFonts w:ascii="Calibri" w:hAnsi="Calibri" w:eastAsia="Calibri"/>
                <w:b w:val="0"/>
                <w:i w:val="0"/>
                <w:color w:val="1E293B"/>
                <w:sz w:val="16"/>
              </w:rPr>
              <w:t>Localized participant packs</w:t>
            </w:r>
          </w:p>
        </w:tc>
        <w:tc>
          <w:tcPr>
            <w:tcW w:type="dxa" w:w="2000"/>
          </w:tcPr>
          <w:p>
            <w:pPr>
              <w:spacing w:after="0" w:line="264" w:lineRule="auto"/>
            </w:pPr>
            <w:r>
              <w:rPr>
                <w:rFonts w:ascii="Calibri" w:hAnsi="Calibri" w:eastAsia="Calibri"/>
                <w:b w:val="0"/>
                <w:i w:val="0"/>
                <w:color w:val="1E293B"/>
                <w:sz w:val="16"/>
              </w:rPr>
              <w:t>Regional cohorts</w:t>
            </w:r>
          </w:p>
        </w:tc>
        <w:tc>
          <w:tcPr>
            <w:tcW w:type="dxa" w:w="2100"/>
          </w:tcPr>
          <w:p>
            <w:pPr>
              <w:spacing w:after="0" w:line="264" w:lineRule="auto"/>
            </w:pPr>
            <w:r>
              <w:rPr>
                <w:rFonts w:ascii="Calibri" w:hAnsi="Calibri" w:eastAsia="Calibri"/>
                <w:b w:val="0"/>
                <w:i w:val="0"/>
                <w:color w:val="1E293B"/>
                <w:sz w:val="16"/>
              </w:rPr>
              <w:t>Regional PSA</w:t>
            </w:r>
          </w:p>
        </w:tc>
        <w:tc>
          <w:tcPr>
            <w:tcW w:type="dxa" w:w="1660"/>
          </w:tcPr>
          <w:p>
            <w:pPr>
              <w:spacing w:after="0" w:line="264" w:lineRule="auto"/>
            </w:pPr>
            <w:r>
              <w:rPr>
                <w:rFonts w:ascii="Calibri" w:hAnsi="Calibri" w:eastAsia="Calibri"/>
                <w:b w:val="0"/>
                <w:i w:val="0"/>
                <w:color w:val="1E293B"/>
                <w:sz w:val="16"/>
              </w:rPr>
              <w:t>Scale phase</w:t>
            </w:r>
          </w:p>
        </w:tc>
      </w:tr>
      <w:tr>
        <w:trPr>
          <w:cantSplit/>
        </w:trPr>
        <w:tc>
          <w:tcPr>
            <w:tcW w:type="dxa" w:w="3600"/>
          </w:tcPr>
          <w:p>
            <w:pPr>
              <w:spacing w:after="0" w:line="264" w:lineRule="auto"/>
            </w:pPr>
            <w:r>
              <w:rPr>
                <w:rFonts w:ascii="Calibri" w:hAnsi="Calibri" w:eastAsia="Calibri"/>
                <w:b w:val="0"/>
                <w:i w:val="0"/>
                <w:color w:val="1E293B"/>
                <w:sz w:val="16"/>
              </w:rPr>
              <w:t>Train-the-facilitator kit</w:t>
            </w:r>
          </w:p>
        </w:tc>
        <w:tc>
          <w:tcPr>
            <w:tcW w:type="dxa" w:w="2000"/>
          </w:tcPr>
          <w:p>
            <w:pPr>
              <w:spacing w:after="0" w:line="264" w:lineRule="auto"/>
            </w:pPr>
            <w:r>
              <w:rPr>
                <w:rFonts w:ascii="Calibri" w:hAnsi="Calibri" w:eastAsia="Calibri"/>
                <w:b w:val="0"/>
                <w:i w:val="0"/>
                <w:color w:val="1E293B"/>
                <w:sz w:val="16"/>
              </w:rPr>
              <w:t>Future facilitators</w:t>
            </w:r>
          </w:p>
        </w:tc>
        <w:tc>
          <w:tcPr>
            <w:tcW w:type="dxa" w:w="2100"/>
          </w:tcPr>
          <w:p>
            <w:pPr>
              <w:spacing w:after="0" w:line="264" w:lineRule="auto"/>
            </w:pPr>
            <w:r>
              <w:rPr>
                <w:rFonts w:ascii="Calibri" w:hAnsi="Calibri" w:eastAsia="Calibri"/>
                <w:b w:val="0"/>
                <w:i w:val="0"/>
                <w:color w:val="1E293B"/>
                <w:sz w:val="16"/>
              </w:rPr>
              <w:t>APJ Program Owner</w:t>
            </w:r>
          </w:p>
        </w:tc>
        <w:tc>
          <w:tcPr>
            <w:tcW w:type="dxa" w:w="1660"/>
          </w:tcPr>
          <w:p>
            <w:pPr>
              <w:spacing w:after="0" w:line="264" w:lineRule="auto"/>
            </w:pPr>
            <w:r>
              <w:rPr>
                <w:rFonts w:ascii="Calibri" w:hAnsi="Calibri" w:eastAsia="Calibri"/>
                <w:b w:val="0"/>
                <w:i w:val="0"/>
                <w:color w:val="1E293B"/>
                <w:sz w:val="16"/>
              </w:rPr>
              <w:t>Scale phase</w:t>
            </w:r>
          </w:p>
        </w:tc>
      </w:tr>
      <w:tr>
        <w:trPr>
          <w:cantSplit/>
        </w:trPr>
        <w:tc>
          <w:tcPr>
            <w:tcW w:type="dxa" w:w="3600"/>
          </w:tcPr>
          <w:p>
            <w:pPr>
              <w:spacing w:after="0" w:line="264" w:lineRule="auto"/>
            </w:pPr>
            <w:r>
              <w:rPr>
                <w:rFonts w:ascii="Calibri" w:hAnsi="Calibri" w:eastAsia="Calibri"/>
                <w:b w:val="0"/>
                <w:i w:val="0"/>
                <w:color w:val="1E293B"/>
                <w:sz w:val="16"/>
              </w:rPr>
              <w:t>Program dashboard and quarterly report</w:t>
            </w:r>
          </w:p>
        </w:tc>
        <w:tc>
          <w:tcPr>
            <w:tcW w:type="dxa" w:w="2000"/>
          </w:tcPr>
          <w:p>
            <w:pPr>
              <w:spacing w:after="0" w:line="264" w:lineRule="auto"/>
            </w:pPr>
            <w:r>
              <w:rPr>
                <w:rFonts w:ascii="Calibri" w:hAnsi="Calibri" w:eastAsia="Calibri"/>
                <w:b w:val="0"/>
                <w:i w:val="0"/>
                <w:color w:val="1E293B"/>
                <w:sz w:val="16"/>
              </w:rPr>
              <w:t>Leadership</w:t>
            </w:r>
          </w:p>
        </w:tc>
        <w:tc>
          <w:tcPr>
            <w:tcW w:type="dxa" w:w="2100"/>
          </w:tcPr>
          <w:p>
            <w:pPr>
              <w:spacing w:after="0" w:line="264" w:lineRule="auto"/>
            </w:pPr>
            <w:r>
              <w:rPr>
                <w:rFonts w:ascii="Calibri" w:hAnsi="Calibri" w:eastAsia="Calibri"/>
                <w:b w:val="0"/>
                <w:i w:val="0"/>
                <w:color w:val="1E293B"/>
                <w:sz w:val="16"/>
              </w:rPr>
              <w:t>Program Operations</w:t>
            </w:r>
          </w:p>
        </w:tc>
        <w:tc>
          <w:tcPr>
            <w:tcW w:type="dxa" w:w="1660"/>
          </w:tcPr>
          <w:p>
            <w:pPr>
              <w:spacing w:after="0" w:line="264" w:lineRule="auto"/>
            </w:pPr>
            <w:r>
              <w:rPr>
                <w:rFonts w:ascii="Calibri" w:hAnsi="Calibri" w:eastAsia="Calibri"/>
                <w:b w:val="0"/>
                <w:i w:val="0"/>
                <w:color w:val="1E293B"/>
                <w:sz w:val="16"/>
              </w:rPr>
              <w:t>Scale phase</w:t>
            </w:r>
          </w:p>
        </w:tc>
      </w:tr>
    </w:tbl>
    <w:p>
      <w:pPr>
        <w:spacing w:after="20"/>
        <w:widowControl/>
      </w:pPr>
    </w:p>
    <w:p>
      <w:pPr>
        <w:pStyle w:val="Heading1"/>
        <w:widowControl/>
      </w:pPr>
      <w:r>
        <w:t>Appendix E. Public Reference Alignment</w:t>
      </w:r>
    </w:p>
    <w:p>
      <w:pPr>
        <w:spacing w:after="120" w:line="300" w:lineRule="auto"/>
        <w:widowControl/>
      </w:pPr>
      <w:r>
        <w:rPr>
          <w:rFonts w:ascii="Calibri" w:hAnsi="Calibri" w:eastAsia="Calibri"/>
          <w:b w:val="0"/>
          <w:i w:val="0"/>
          <w:color w:val="1E293B"/>
          <w:sz w:val="22"/>
        </w:rPr>
        <w:t>This blueprint is an internal proposed design. It aligns its learning sequence with publicly available Wiz partner and technical training direction; internal methodology and policy remain authoritative.</w:t>
      </w:r>
    </w:p>
    <w:p>
      <w:pPr>
        <w:spacing w:after="120" w:line="300" w:lineRule="auto"/>
        <w:widowControl/>
      </w:pPr>
      <w:r>
        <w:rPr>
          <w:rFonts w:ascii="Calibri" w:hAnsi="Calibri" w:eastAsia="Calibri"/>
          <w:b/>
          <w:i w:val="0"/>
          <w:color w:val="1E293B"/>
          <w:sz w:val="22"/>
        </w:rPr>
        <w:t xml:space="preserve">Wiz Partner Alliance - </w:t>
      </w:r>
      <w:r>
        <w:rPr>
          <w:rFonts w:ascii="Calibri" w:hAnsi="Calibri" w:eastAsia="Calibri"/>
          <w:b w:val="0"/>
          <w:i w:val="0"/>
          <w:color w:val="1E293B"/>
          <w:sz w:val="22"/>
        </w:rPr>
        <w:t xml:space="preserve">partner enablement, growth and customer impact: </w:t>
      </w:r>
      <w:hyperlink r:id="rId11">
        <w:r>
          <w:rPr>
            <w:color w:val="2E74B5"/>
            <w:u w:val="single"/>
            <w:rFonts w:ascii="Calibri" w:hAnsi="Calibri"/>
            <w:sz w:val="20"/>
          </w:rPr>
          <w:t>https://www.wiz.io/partner-alliance</w:t>
        </w:r>
      </w:hyperlink>
    </w:p>
    <w:p>
      <w:pPr>
        <w:spacing w:after="120" w:line="300" w:lineRule="auto"/>
        <w:widowControl/>
      </w:pPr>
      <w:r>
        <w:rPr>
          <w:rFonts w:ascii="Calibri" w:hAnsi="Calibri" w:eastAsia="Calibri"/>
          <w:b/>
          <w:i w:val="0"/>
          <w:color w:val="1E293B"/>
          <w:sz w:val="22"/>
        </w:rPr>
        <w:t xml:space="preserve">Wiz Hands-On Instructor-Led Training - </w:t>
      </w:r>
      <w:r>
        <w:rPr>
          <w:rFonts w:ascii="Calibri" w:hAnsi="Calibri" w:eastAsia="Calibri"/>
          <w:b w:val="0"/>
          <w:i w:val="0"/>
          <w:color w:val="1E293B"/>
          <w:sz w:val="22"/>
        </w:rPr>
        <w:t xml:space="preserve">technical discovery, qualification, tailored demo, POV planning/execution and finding reviews: </w:t>
      </w:r>
      <w:hyperlink r:id="rId12">
        <w:r>
          <w:rPr>
            <w:color w:val="2E74B5"/>
            <w:u w:val="single"/>
            <w:rFonts w:ascii="Calibri" w:hAnsi="Calibri"/>
            <w:sz w:val="20"/>
          </w:rPr>
          <w:t>https://www.wiz.io/events/wiz-hands-on-instructor-led-training</w:t>
        </w:r>
      </w:hyperlink>
    </w:p>
    <w:p>
      <w:pPr>
        <w:pStyle w:val="Heading2"/>
        <w:widowControl/>
      </w:pPr>
      <w:r>
        <w:t>Assumptions to Validate Internally</w:t>
      </w:r>
    </w:p>
    <w:p>
      <w:pPr>
        <w:numPr>
          <w:ilvl w:val="0"/>
          <w:numId w:val="10"/>
        </w:numPr>
        <w:spacing w:after="80" w:line="300" w:lineRule="auto"/>
        <w:ind w:left="540" w:hanging="271"/>
        <w:widowControl/>
      </w:pPr>
      <w:r>
        <w:rPr>
          <w:rFonts w:ascii="Calibri" w:hAnsi="Calibri" w:eastAsia="Calibri"/>
          <w:b w:val="0"/>
          <w:i w:val="0"/>
          <w:color w:val="1E293B"/>
          <w:sz w:val="22"/>
        </w:rPr>
        <w:t>Official definitions and boundaries for POV, Risk Assessment, Certification Assessment and Executive Outcome Review.</w:t>
      </w:r>
    </w:p>
    <w:p>
      <w:pPr>
        <w:numPr>
          <w:ilvl w:val="0"/>
          <w:numId w:val="10"/>
        </w:numPr>
        <w:spacing w:after="80" w:line="300" w:lineRule="auto"/>
        <w:ind w:left="540" w:hanging="271"/>
        <w:widowControl/>
      </w:pPr>
      <w:r>
        <w:rPr>
          <w:rFonts w:ascii="Calibri" w:hAnsi="Calibri" w:eastAsia="Calibri"/>
          <w:b w:val="0"/>
          <w:i w:val="0"/>
          <w:color w:val="1E293B"/>
          <w:sz w:val="22"/>
        </w:rPr>
        <w:t>Approved Golden Architecture and Golden Demo assets available to APJ partners.</w:t>
      </w:r>
    </w:p>
    <w:p>
      <w:pPr>
        <w:numPr>
          <w:ilvl w:val="0"/>
          <w:numId w:val="10"/>
        </w:numPr>
        <w:spacing w:after="80" w:line="300" w:lineRule="auto"/>
        <w:ind w:left="540" w:hanging="271"/>
        <w:widowControl/>
      </w:pPr>
      <w:r>
        <w:rPr>
          <w:rFonts w:ascii="Calibri" w:hAnsi="Calibri" w:eastAsia="Calibri"/>
          <w:b w:val="0"/>
          <w:i w:val="0"/>
          <w:color w:val="1E293B"/>
          <w:sz w:val="22"/>
        </w:rPr>
        <w:t>NFR/training tenant licensing, connector support, product entitlements and reset options.</w:t>
      </w:r>
    </w:p>
    <w:p>
      <w:pPr>
        <w:numPr>
          <w:ilvl w:val="0"/>
          <w:numId w:val="10"/>
        </w:numPr>
        <w:spacing w:after="80" w:line="300" w:lineRule="auto"/>
        <w:ind w:left="540" w:hanging="271"/>
        <w:widowControl/>
      </w:pPr>
      <w:r>
        <w:rPr>
          <w:rFonts w:ascii="Calibri" w:hAnsi="Calibri" w:eastAsia="Calibri"/>
          <w:b w:val="0"/>
          <w:i w:val="0"/>
          <w:color w:val="1E293B"/>
          <w:sz w:val="22"/>
        </w:rPr>
        <w:t>Current partner accreditation prerequisites and authority to grant partner-led status.</w:t>
      </w:r>
    </w:p>
    <w:p>
      <w:pPr>
        <w:numPr>
          <w:ilvl w:val="0"/>
          <w:numId w:val="10"/>
        </w:numPr>
        <w:spacing w:after="80" w:line="300" w:lineRule="auto"/>
        <w:ind w:left="540" w:hanging="271"/>
        <w:widowControl/>
      </w:pPr>
      <w:r>
        <w:rPr>
          <w:rFonts w:ascii="Calibri" w:hAnsi="Calibri" w:eastAsia="Calibri"/>
          <w:b w:val="0"/>
          <w:i w:val="0"/>
          <w:color w:val="1E293B"/>
          <w:sz w:val="22"/>
        </w:rPr>
        <w:t>Rules for retaining, redacting and sharing evidence from live customer opportunities.</w:t>
      </w:r>
    </w:p>
    <w:p>
      <w:pPr>
        <w:numPr>
          <w:ilvl w:val="0"/>
          <w:numId w:val="10"/>
        </w:numPr>
        <w:spacing w:after="80" w:line="300" w:lineRule="auto"/>
        <w:ind w:left="540" w:hanging="271"/>
        <w:widowControl/>
      </w:pPr>
      <w:r>
        <w:rPr>
          <w:rFonts w:ascii="Calibri" w:hAnsi="Calibri" w:eastAsia="Calibri"/>
          <w:b w:val="0"/>
          <w:i w:val="0"/>
          <w:color w:val="1E293B"/>
          <w:sz w:val="22"/>
        </w:rPr>
        <w:t>Regional regulatory and data-residency content approved for participant use.</w:t>
      </w:r>
    </w:p>
    <w:p>
      <w:pPr>
        <w:keepLines/>
        <w:spacing w:before="80" w:after="200"/>
        <w:widowControl/>
      </w:pPr>
      <w:r>
        <w:rPr>
          <w:rFonts w:ascii="Calibri" w:hAnsi="Calibri" w:eastAsia="Calibri"/>
          <w:b/>
          <w:i w:val="0"/>
          <w:color w:val="000000"/>
          <w:sz w:val="21"/>
        </w:rPr>
        <w:t xml:space="preserve">NEXT BUILD STEP: </w:t>
      </w:r>
      <w:r>
        <w:rPr>
          <w:rFonts w:ascii="Calibri" w:hAnsi="Calibri" w:eastAsia="Calibri"/>
          <w:b w:val="0"/>
          <w:i w:val="0"/>
          <w:color w:val="1E293B"/>
          <w:sz w:val="21"/>
        </w:rPr>
        <w:t>Run a 90-minute APJ design review to close the decisions in Section 35, then build the Golden Customer pack, tenant proof and facilitator dry run as one integrated MVP.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b w:val="0"/>
        <w:i w:val="0"/>
        <w:color w:val="64748B"/>
        <w:sz w:val="17"/>
      </w:rPr>
      <w:t xml:space="preserve">PARTNER POV DOJO  |  SEP 2026  |  PAGE </w:t>
    </w:r>
    <w:r>
      <w:rPr>
        <w:rFonts w:ascii="Calibri" w:hAnsi="Calibri" w:eastAsia="Calibri"/>
        <w:b w:val="0"/>
        <w:i w:val="0"/>
        <w:color w:val="64748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000000"/>
        <w:sz w:val="17"/>
      </w:rPr>
      <w:t>APJ PARTNER ENABLEMENT  |  PARTNER POV DOJO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eastAsia="Calibri"/>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eastAsia="Calibri"/>
      <w:b w:val="0"/>
      <w:i/>
      <w:iCs/>
      <w:color w:val="000000"/>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Calibri" w:hAnsi="Calibri"/>
      <w:b/>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iz.io/partner-alliance" TargetMode="External"/><Relationship Id="rId12" Type="http://schemas.openxmlformats.org/officeDocument/2006/relationships/hyperlink" Target="https://www.wiz.io/events/wiz-hands-on-instructor-led-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APJ Partner POV Dojo Program Blueprint</dc:title>
  <dc:subject>APJ partner POV readiness workshop program plan</dc:subject>
  <dc:creator>APJ Partner Solutions Architecture</dc:creator>
  <cp:keywords>Wiz, Partner POV Dojo, APJ, partner enablement, proof of value</cp:keywords>
  <dc:description>Internal working draft generated for program planning.</dc:description>
  <cp:lastModifiedBy/>
  <cp:revision>1</cp:revision>
  <dcterms:created xsi:type="dcterms:W3CDTF">2013-12-23T23:15:00Z</dcterms:created>
  <dcterms:modified xsi:type="dcterms:W3CDTF">2013-12-23T23:15:00Z</dcterms:modified>
  <cp:category/>
</cp:coreProperties>
</file>