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cs="Noto Sans CJK KR"/>
          <w:color w:val="000000"/>
        </w:rPr>
        <w:t>Partner POV Dojo 인증 워크숍 기획서</w:t>
      </w:r>
    </w:p>
    <w:p>
      <w:pPr>
        <w:pStyle w:val="Subtitle"/>
      </w:pPr>
      <w:r>
        <w:rPr>
          <w:rFonts w:ascii="Noto Sans CJK KR" w:hAnsi="Noto Sans CJK KR" w:eastAsia="Noto Sans CJK KR" w:cs="Noto Sans CJK KR"/>
          <w:color w:val="000000"/>
        </w:rPr>
        <w:t>APJ 파트너를 위한 4시간 POV 수행 평가</w:t>
      </w:r>
    </w:p>
    <w:p>
      <w:r>
        <w:t>기획 담당 Ian Lim  |  업데이트 2026년 9월 10일  |  버전 1.2</w:t>
      </w:r>
    </w:p>
    <w:p>
      <w:pPr>
        <w:pStyle w:val="Heading1"/>
      </w:pPr>
      <w:r>
        <w:rPr>
          <w:color w:val="000000"/>
        </w:rPr>
        <w:t>1 프로그램 개요</w:t>
      </w:r>
    </w:p>
    <w:p>
      <w:r>
        <w:rPr>
          <w:rFonts w:ascii="Noto Sans CJK KR" w:hAnsi="Noto Sans CJK KR" w:eastAsia="Noto Sans CJK KR" w:cs="Noto Sans CJK KR"/>
        </w:rPr>
        <w:t>Partner POV Dojo는 Wiz 파트너 SA와 SE가 고객 POV를 직접 계획하고 실행해, 기술 검증 결과와 다음 결정을 고객에게 설명하도록 훈련하는 워크숍이다. 대표 고객인 가상의 APJ SaaS 기업 하늘커머스의 고객 데이터 접근 위험을 한 가지 시나리오로 사용한다. Wiz 팀은 진행자·코치·고객 역할을 맡고, 파트너가 Discovery부터 최종 결과보고까지 주도한다.</w:t>
      </w:r>
      <w:r>
        <w:rPr>
          <w:rStyle w:val="CommentReference"/>
          <w:rFonts w:ascii="Noto Sans CJK KR" w:hAnsi="Noto Sans CJK KR" w:eastAsia="Noto Sans CJK KR" w:cs="Noto Sans CJK KR"/>
        </w:rPr>
      </w:r>
    </w:p>
    <w:p>
      <w:r>
        <w:rPr>
          <w:rFonts w:ascii="Noto Sans CJK KR" w:hAnsi="Noto Sans CJK KR" w:eastAsia="Noto Sans CJK KR" w:cs="Noto Sans CJK KR"/>
        </w:rPr>
        <w:t>첫 파일럿은 제품 기초교육을 이수한 12~16명을 4팀으로 편성한다. 팀별로 POV 계획서 1장, 발견사항 2건과 검증 근거, 고객 결과보고 3장을 제출한다. 모의 고객의 10영업일 POV를 4시간으로 압축하고, 팀 산출물과 개인별 관찰을 함께 평가한다.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bottom w:w="85" w:type="dxa"/>
              <w:left w:w="100" w:type="dxa"/>
              <w:right w:w="100" w:type="dxa"/>
            </w:tcMar>
            <w:shd w:fill="233F56"/>
          </w:tcPr>
          <w:p>
            <w:pPr>
              <w:spacing w:after="0" w:before="0" w:line="271" w:lineRule="auto"/>
              <w:jc w:val="left"/>
            </w:pPr>
            <w:r>
              <w:rPr>
                <w:rFonts w:ascii="Noto Sans CJK KR" w:hAnsi="Noto Sans CJK KR" w:eastAsia="Noto Sans CJK KR" w:cs="Noto Sans CJK KR"/>
                <w:b/>
                <w:color w:val="FFFFFF"/>
                <w:sz w:val="20"/>
              </w:rPr>
              <w:t>항목</w:t>
            </w:r>
          </w:p>
        </w:tc>
        <w:tc>
          <w:tcPr>
            <w:tcW w:type="dxa" w:w="8208"/>
            <w:vAlign w:val="center"/>
            <w:tcMar>
              <w:top w:w="85" w:type="dxa"/>
              <w:bottom w:w="85" w:type="dxa"/>
              <w:left w:w="100" w:type="dxa"/>
              <w:right w:w="100" w:type="dxa"/>
            </w:tcMar>
            <w:shd w:fill="233F56"/>
          </w:tcPr>
          <w:p>
            <w:pPr>
              <w:spacing w:after="0" w:before="0" w:line="271" w:lineRule="auto"/>
              <w:jc w:val="left"/>
            </w:pPr>
            <w:r>
              <w:rPr>
                <w:rFonts w:ascii="Noto Sans CJK KR" w:hAnsi="Noto Sans CJK KR" w:eastAsia="Noto Sans CJK KR" w:cs="Noto Sans CJK KR"/>
                <w:b/>
                <w:color w:val="FFFFFF"/>
                <w:sz w:val="20"/>
              </w:rPr>
              <w:t>운영안</w:t>
            </w:r>
          </w:p>
        </w:tc>
      </w:tr>
      <w:tr>
        <w:trPr>
          <w:cantSplit/>
        </w:trPr>
        <w:tc>
          <w:tcPr>
            <w:tcW w:type="dxa" w:w="1872"/>
            <w:vAlign w:val="center"/>
            <w:tcMar>
              <w:top w:w="85" w:type="dxa"/>
              <w:bottom w:w="85" w:type="dxa"/>
              <w:left w:w="100" w:type="dxa"/>
              <w:right w:w="100" w:type="dxa"/>
            </w:tcMar>
            <w:shd w:fill="FFFFFF"/>
          </w:tcPr>
          <w:p>
            <w:pPr>
              <w:spacing w:after="0" w:before="0" w:line="271" w:lineRule="auto"/>
              <w:jc w:val="left"/>
            </w:pPr>
            <w:r>
              <w:rPr>
                <w:rFonts w:ascii="Noto Sans CJK KR" w:hAnsi="Noto Sans CJK KR" w:eastAsia="Noto Sans CJK KR" w:cs="Noto Sans CJK KR"/>
                <w:b w:val="0"/>
                <w:color w:val="000000"/>
                <w:sz w:val="20"/>
              </w:rPr>
              <w:t>대상과 지역</w:t>
            </w:r>
          </w:p>
        </w:tc>
        <w:tc>
          <w:tcPr>
            <w:tcW w:type="dxa" w:w="8208"/>
            <w:vAlign w:val="center"/>
            <w:tcMar>
              <w:top w:w="85" w:type="dxa"/>
              <w:bottom w:w="85" w:type="dxa"/>
              <w:left w:w="100" w:type="dxa"/>
              <w:right w:w="100" w:type="dxa"/>
            </w:tcMar>
            <w:shd w:fill="FFFFFF"/>
          </w:tcPr>
          <w:p>
            <w:pPr>
              <w:spacing w:after="0" w:before="0" w:line="271" w:lineRule="auto"/>
              <w:jc w:val="left"/>
            </w:pPr>
            <w:r>
              <w:rPr>
                <w:rFonts w:ascii="Noto Sans CJK KR" w:hAnsi="Noto Sans CJK KR" w:eastAsia="Noto Sans CJK KR" w:cs="Noto Sans CJK KR"/>
                <w:b w:val="0"/>
                <w:color w:val="000000"/>
                <w:sz w:val="20"/>
              </w:rPr>
              <w:t>APJ 파트너 SA 및 SE</w:t>
            </w:r>
          </w:p>
        </w:tc>
      </w:tr>
      <w:tr>
        <w:trPr>
          <w:cantSplit/>
        </w:trPr>
        <w:tc>
          <w:tcPr>
            <w:tcW w:type="dxa" w:w="1872"/>
            <w:vAlign w:val="center"/>
            <w:tcMar>
              <w:top w:w="85" w:type="dxa"/>
              <w:bottom w:w="85" w:type="dxa"/>
              <w:left w:w="100" w:type="dxa"/>
              <w:right w:w="100" w:type="dxa"/>
            </w:tcMar>
            <w:shd w:fill="F1F5F8"/>
          </w:tcPr>
          <w:p>
            <w:pPr>
              <w:spacing w:after="0" w:before="0" w:line="271" w:lineRule="auto"/>
              <w:jc w:val="left"/>
            </w:pPr>
            <w:r>
              <w:rPr>
                <w:rFonts w:ascii="Noto Sans CJK KR" w:hAnsi="Noto Sans CJK KR" w:eastAsia="Noto Sans CJK KR" w:cs="Noto Sans CJK KR"/>
                <w:b w:val="0"/>
                <w:color w:val="000000"/>
                <w:sz w:val="20"/>
              </w:rPr>
              <w:t>시간과 형식</w:t>
            </w:r>
          </w:p>
        </w:tc>
        <w:tc>
          <w:tcPr>
            <w:tcW w:type="dxa" w:w="8208"/>
            <w:vAlign w:val="center"/>
            <w:tcMar>
              <w:top w:w="85" w:type="dxa"/>
              <w:bottom w:w="85" w:type="dxa"/>
              <w:left w:w="100" w:type="dxa"/>
              <w:right w:w="100" w:type="dxa"/>
            </w:tcMar>
            <w:shd w:fill="F1F5F8"/>
          </w:tcPr>
          <w:p>
            <w:pPr>
              <w:spacing w:after="0" w:before="0" w:line="271" w:lineRule="auto"/>
              <w:jc w:val="left"/>
            </w:pPr>
            <w:r>
              <w:rPr>
                <w:rFonts w:ascii="Noto Sans CJK KR" w:hAnsi="Noto Sans CJK KR" w:eastAsia="Noto Sans CJK KR" w:cs="Noto Sans CJK KR"/>
                <w:b w:val="0"/>
                <w:color w:val="000000"/>
                <w:sz w:val="20"/>
              </w:rPr>
              <w:t>4시간 실습 중심 워크숍  |  휴식 10분 포함</w:t>
            </w:r>
          </w:p>
        </w:tc>
      </w:tr>
      <w:tr>
        <w:trPr>
          <w:cantSplit/>
        </w:trPr>
        <w:tc>
          <w:tcPr>
            <w:tcW w:type="dxa" w:w="1872"/>
            <w:vAlign w:val="center"/>
            <w:tcMar>
              <w:top w:w="85" w:type="dxa"/>
              <w:bottom w:w="85" w:type="dxa"/>
              <w:left w:w="100" w:type="dxa"/>
              <w:right w:w="100" w:type="dxa"/>
            </w:tcMar>
            <w:shd w:fill="FFFFFF"/>
          </w:tcPr>
          <w:p>
            <w:pPr>
              <w:spacing w:after="0" w:before="0" w:line="271" w:lineRule="auto"/>
              <w:jc w:val="left"/>
            </w:pPr>
            <w:r>
              <w:rPr>
                <w:rFonts w:ascii="Noto Sans CJK KR" w:hAnsi="Noto Sans CJK KR" w:eastAsia="Noto Sans CJK KR" w:cs="Noto Sans CJK KR"/>
                <w:b w:val="0"/>
                <w:color w:val="000000"/>
                <w:sz w:val="20"/>
              </w:rPr>
              <w:t>인원과 편성</w:t>
            </w:r>
          </w:p>
        </w:tc>
        <w:tc>
          <w:tcPr>
            <w:tcW w:type="dxa" w:w="8208"/>
            <w:vAlign w:val="center"/>
            <w:tcMar>
              <w:top w:w="85" w:type="dxa"/>
              <w:bottom w:w="85" w:type="dxa"/>
              <w:left w:w="100" w:type="dxa"/>
              <w:right w:w="100" w:type="dxa"/>
            </w:tcMar>
            <w:shd w:fill="FFFFFF"/>
          </w:tcPr>
          <w:p>
            <w:pPr>
              <w:spacing w:after="0" w:before="0" w:line="271" w:lineRule="auto"/>
              <w:jc w:val="left"/>
            </w:pPr>
            <w:r>
              <w:rPr>
                <w:rFonts w:ascii="Noto Sans CJK KR" w:hAnsi="Noto Sans CJK KR" w:eastAsia="Noto Sans CJK KR" w:cs="Noto Sans CJK KR"/>
                <w:b w:val="0"/>
                <w:color w:val="000000"/>
                <w:sz w:val="20"/>
              </w:rPr>
              <w:t>12~16명  |  팀당 3~4명  |  총 4팀</w:t>
            </w:r>
          </w:p>
        </w:tc>
      </w:tr>
      <w:tr>
        <w:trPr>
          <w:cantSplit/>
        </w:trPr>
        <w:tc>
          <w:tcPr>
            <w:tcW w:type="dxa" w:w="1872"/>
            <w:vAlign w:val="center"/>
            <w:tcMar>
              <w:top w:w="85" w:type="dxa"/>
              <w:bottom w:w="85" w:type="dxa"/>
              <w:left w:w="100" w:type="dxa"/>
              <w:right w:w="100" w:type="dxa"/>
            </w:tcMar>
            <w:shd w:fill="F1F5F8"/>
          </w:tcPr>
          <w:p>
            <w:pPr>
              <w:spacing w:after="0" w:before="0" w:line="271" w:lineRule="auto"/>
              <w:jc w:val="left"/>
            </w:pPr>
            <w:r>
              <w:rPr>
                <w:rFonts w:ascii="Noto Sans CJK KR" w:hAnsi="Noto Sans CJK KR" w:eastAsia="Noto Sans CJK KR" w:cs="Noto Sans CJK KR"/>
                <w:b w:val="0"/>
                <w:color w:val="000000"/>
                <w:sz w:val="20"/>
              </w:rPr>
              <w:t>진행 인력</w:t>
            </w:r>
          </w:p>
        </w:tc>
        <w:tc>
          <w:tcPr>
            <w:tcW w:type="dxa" w:w="8208"/>
            <w:vAlign w:val="center"/>
            <w:tcMar>
              <w:top w:w="85" w:type="dxa"/>
              <w:bottom w:w="85" w:type="dxa"/>
              <w:left w:w="100" w:type="dxa"/>
              <w:right w:w="100" w:type="dxa"/>
            </w:tcMar>
            <w:shd w:fill="F1F5F8"/>
          </w:tcPr>
          <w:p>
            <w:pPr>
              <w:spacing w:after="0" w:before="0" w:line="271" w:lineRule="auto"/>
              <w:jc w:val="left"/>
            </w:pPr>
            <w:r>
              <w:rPr>
                <w:rFonts w:ascii="Noto Sans CJK KR" w:hAnsi="Noto Sans CJK KR" w:eastAsia="Noto Sans CJK KR" w:cs="Noto Sans CJK KR"/>
                <w:b w:val="0"/>
                <w:color w:val="000000"/>
                <w:sz w:val="20"/>
              </w:rPr>
              <w:t>진행자 1명과 기술 실습 코치 1명</w:t>
            </w:r>
          </w:p>
        </w:tc>
      </w:tr>
      <w:tr>
        <w:trPr>
          <w:cantSplit/>
        </w:trPr>
        <w:tc>
          <w:tcPr>
            <w:tcW w:type="dxa" w:w="1872"/>
            <w:vAlign w:val="center"/>
            <w:tcMar>
              <w:top w:w="85" w:type="dxa"/>
              <w:bottom w:w="85" w:type="dxa"/>
              <w:left w:w="100" w:type="dxa"/>
              <w:right w:w="100" w:type="dxa"/>
            </w:tcMar>
            <w:shd w:fill="FFFFFF"/>
          </w:tcPr>
          <w:p>
            <w:pPr>
              <w:spacing w:after="0" w:before="0" w:line="271" w:lineRule="auto"/>
              <w:jc w:val="left"/>
            </w:pPr>
            <w:r>
              <w:rPr>
                <w:rFonts w:ascii="Noto Sans CJK KR" w:hAnsi="Noto Sans CJK KR" w:eastAsia="Noto Sans CJK KR" w:cs="Noto Sans CJK KR"/>
                <w:b w:val="0"/>
                <w:color w:val="000000"/>
                <w:sz w:val="20"/>
              </w:rPr>
              <w:t>실습 환경</w:t>
            </w:r>
          </w:p>
        </w:tc>
        <w:tc>
          <w:tcPr>
            <w:tcW w:type="dxa" w:w="8208"/>
            <w:vAlign w:val="center"/>
            <w:tcMar>
              <w:top w:w="85" w:type="dxa"/>
              <w:bottom w:w="85" w:type="dxa"/>
              <w:left w:w="100" w:type="dxa"/>
              <w:right w:w="100" w:type="dxa"/>
            </w:tcMar>
            <w:shd w:fill="FFFFFF"/>
          </w:tcPr>
          <w:p>
            <w:pPr>
              <w:spacing w:after="0" w:before="0" w:line="271" w:lineRule="auto"/>
              <w:jc w:val="left"/>
            </w:pPr>
            <w:r>
              <w:rPr>
                <w:rFonts w:ascii="Noto Sans CJK KR" w:hAnsi="Noto Sans CJK KR" w:eastAsia="Noto Sans CJK KR" w:cs="Noto Sans CJK KR"/>
                <w:b w:val="0"/>
                <w:color w:val="000000"/>
                <w:sz w:val="20"/>
              </w:rPr>
              <w:t>기존 테넌트 활용  |  최초 수집과 사례 검증은 사전 완료</w:t>
            </w:r>
          </w:p>
        </w:tc>
      </w:tr>
      <w:tr>
        <w:trPr>
          <w:cantSplit/>
        </w:trPr>
        <w:tc>
          <w:tcPr>
            <w:tcW w:type="dxa" w:w="1872"/>
            <w:vAlign w:val="center"/>
            <w:tcMar>
              <w:top w:w="85" w:type="dxa"/>
              <w:bottom w:w="85" w:type="dxa"/>
              <w:left w:w="100" w:type="dxa"/>
              <w:right w:w="100" w:type="dxa"/>
            </w:tcMar>
            <w:shd w:fill="F1F5F8"/>
          </w:tcPr>
          <w:p>
            <w:pPr>
              <w:spacing w:after="0" w:before="0" w:line="271" w:lineRule="auto"/>
              <w:jc w:val="left"/>
            </w:pPr>
            <w:r>
              <w:rPr>
                <w:rFonts w:ascii="Noto Sans CJK KR" w:hAnsi="Noto Sans CJK KR" w:eastAsia="Noto Sans CJK KR" w:cs="Noto Sans CJK KR"/>
                <w:b w:val="0"/>
                <w:color w:val="000000"/>
                <w:sz w:val="20"/>
              </w:rPr>
              <w:t>학습 범위</w:t>
            </w:r>
          </w:p>
        </w:tc>
        <w:tc>
          <w:tcPr>
            <w:tcW w:type="dxa" w:w="8208"/>
            <w:vAlign w:val="center"/>
            <w:tcMar>
              <w:top w:w="85" w:type="dxa"/>
              <w:bottom w:w="85" w:type="dxa"/>
              <w:left w:w="100" w:type="dxa"/>
              <w:right w:w="100" w:type="dxa"/>
            </w:tcMar>
            <w:shd w:fill="F1F5F8"/>
          </w:tcPr>
          <w:p>
            <w:pPr>
              <w:spacing w:before="0" w:after="0" w:line="271" w:lineRule="auto"/>
            </w:pPr>
            <w:r>
              <w:rPr>
                <w:rFonts w:ascii="Noto Sans CJK KR" w:hAnsi="Noto Sans CJK KR" w:eastAsia="Noto Sans CJK KR" w:cs="Noto Sans CJK KR"/>
                <w:b w:val="0"/>
                <w:color w:val="000000"/>
                <w:sz w:val="20"/>
              </w:rPr>
              <w:t>POV 계획과 Go 또는 No Go 판단, 첫 24시간, 위험 분석, 결과보고와 수행 평가</w:t>
            </w:r>
          </w:p>
        </w:tc>
      </w:tr>
    </w:tbl>
    <w:p>
      <w:pPr>
        <w:spacing w:after="60" w:before="0" w:line="40" w:lineRule="exact"/>
      </w:pPr>
      <w:r>
        <w:rPr>
          <w:rFonts w:ascii="Noto Sans CJK KR" w:hAnsi="Noto Sans CJK KR" w:eastAsia="Noto Sans CJK KR" w:cs="Noto Sans CJK KR"/>
          <w:color w:val="000000"/>
          <w:sz w:val="4"/>
        </w:rPr>
      </w:r>
    </w:p>
    <w:p>
      <w:pPr>
        <w:pStyle w:val="Heading2"/>
      </w:pPr>
      <w:r>
        <w:rPr>
          <w:color w:val="000000"/>
        </w:rPr>
        <w:t>기획 배경과 목적</w:t>
      </w:r>
    </w:p>
    <w:p>
      <w:r>
        <w:rPr>
          <w:rFonts w:ascii="Noto Sans CJK KR" w:hAnsi="Noto Sans CJK KR" w:eastAsia="Noto Sans CJK KR" w:cs="Noto Sans CJK KR"/>
        </w:rPr>
        <w:t>한국과 APJ 파트너가 빠른 매출 기회에 대응하면서도 고객의 목적·성공기준·책임자를 먼저 합의하도록 훈련한다. 하나의 고객 상황을 모든 모듈에서 이어 가면 Discovery에서 얻은 정보가 위험 우선순위와 최종 도입 판단에 어떻게 영향을 주는지 평가할 수 있다.</w:t>
      </w:r>
    </w:p>
    <w:p>
      <w:pPr>
        <w:pStyle w:val="Heading2"/>
      </w:pPr>
      <w:r>
        <w:rPr>
          <w:color w:val="000000"/>
        </w:rPr>
        <w:t>운영 범위</w:t>
      </w:r>
    </w:p>
    <w:p>
      <w:r>
        <w:rPr>
          <w:rFonts w:ascii="Noto Sans CJK KR" w:hAnsi="Noto Sans CJK KR" w:eastAsia="Noto Sans CJK KR" w:cs="Noto Sans CJK KR"/>
        </w:rPr>
        <w:t>기존 테넌트의 수집 데이터를 활용한다. 신규 연결·스캔 대기·운영 변경은 사전 준비 또는 모의 상황으로 다룬다. 본 기획의 인증은 워크숍 수행 평가안이며, Wiz 공식 자격이나 파트너 티어 인정 여부는 프로그램 정책에 따라 별도로 결정한다. 고객·수치·자산 별칭은 교육용 설정이다.</w:t>
      </w:r>
    </w:p>
    <w:p>
      <w:pPr>
        <w:pStyle w:val="Heading2"/>
        <w:pageBreakBefore/>
      </w:pPr>
      <w:r>
        <w:rPr>
          <w:color w:val="000000"/>
        </w:rPr>
        <w:t>POV Readiness 프로그램과 Dojo의 연결</w:t>
      </w:r>
    </w:p>
    <w:p>
      <w:r>
        <w:t>Partner POV Dojo는 파트너가 고객 POV를 독립적으로 이끌 수 있도록 육성하는 POV Readiness 프로그램의 실습 교육이다. 참고 자료는 Wiz SE의 가용 인력이 POV 확대의 제약이 되는 상황을 설명한다. Dojo에서는 파트너가 계획, 판단, 분석과 고객 설명을 연습하고, 이후 실제 고객 수행으로 역량을 검증한다.</w:t>
      </w:r>
    </w:p>
    <w:p>
      <w:r>
        <w:t>참고 자료의 Workstream 1.2는 POV Readiness이다. CSW와 보안 평가 준비, 서비스 준비, 매니지드 서비스 성숙도와 연계되지만 이번 4시간의 직접 범위는 고객 POV 수행 준비로 한정한다.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112"/>
        <w:gridCol w:w="3168"/>
      </w:tblGrid>
      <w:tr>
        <w:trPr>
          <w:cantSplit/>
          <w:tblHeader/>
        </w:trPr>
        <w:tc>
          <w:tcPr>
            <w:tcW w:type="dxa" w:w="180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육성 단계</w:t>
            </w:r>
          </w:p>
        </w:tc>
        <w:tc>
          <w:tcPr>
            <w:tcW w:type="dxa" w:w="511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참고 자료의 절차와 Dojo 운영안</w:t>
            </w:r>
          </w:p>
        </w:tc>
        <w:tc>
          <w:tcPr>
            <w:tcW w:type="dxa" w:w="316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완료 확인</w:t>
            </w:r>
          </w:p>
        </w:tc>
      </w:tr>
      <w:tr>
        <w:trPr>
          <w:cantSplit/>
        </w:trPr>
        <w:tc>
          <w:tcPr>
            <w:tcW w:type="dxa" w:w="180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파트너와 인력 선정</w:t>
            </w:r>
          </w:p>
        </w:tc>
        <w:tc>
          <w:tcPr>
            <w:tcW w:type="dxa" w:w="51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PSA와 RPM이 파트너를 선정하고 담당 Partner SE를 지정한다. 파트너별 킥오프를 진행한다.</w:t>
            </w:r>
          </w:p>
        </w:tc>
        <w:tc>
          <w:tcPr>
            <w:tcW w:type="dxa" w:w="316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참가자, 후원자, 적용 기회와 지원 역할이 정해진다.</w:t>
            </w:r>
          </w:p>
        </w:tc>
      </w:tr>
      <w:tr>
        <w:trPr>
          <w:cantSplit/>
        </w:trPr>
        <w:tc>
          <w:tcPr>
            <w:tcW w:type="dxa" w:w="180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필수 교육과 Dojo</w:t>
            </w:r>
          </w:p>
        </w:tc>
        <w:tc>
          <w:tcPr>
            <w:tcW w:type="dxa" w:w="51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제품 기초학습 이후 4시간 모의 POV를 수행한다.</w:t>
            </w:r>
          </w:p>
        </w:tc>
        <w:tc>
          <w:tcPr>
            <w:tcW w:type="dxa" w:w="316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계획서, 증거, 결과보고와 개인별 보완점이 남는다.</w:t>
            </w:r>
          </w:p>
        </w:tc>
      </w:tr>
      <w:tr>
        <w:trPr>
          <w:cantSplit/>
        </w:trPr>
        <w:tc>
          <w:tcPr>
            <w:tcW w:type="dxa" w:w="180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실제 POV 섀도잉</w:t>
            </w:r>
          </w:p>
        </w:tc>
        <w:tc>
          <w:tcPr>
            <w:tcW w:type="dxa" w:w="51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참고 모델은 Wiz SE가 주도하는 실제 POV 2회를 관찰하도록 한다.</w:t>
            </w:r>
          </w:p>
        </w:tc>
        <w:tc>
          <w:tcPr>
            <w:tcW w:type="dxa" w:w="316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두 사례의 의사결정, 마일스톤과 고객 대응을 기록한다.</w:t>
            </w:r>
          </w:p>
        </w:tc>
      </w:tr>
      <w:tr>
        <w:trPr>
          <w:cantSplit/>
        </w:trPr>
        <w:tc>
          <w:tcPr>
            <w:tcW w:type="dxa" w:w="180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 주도 수행</w:t>
            </w:r>
          </w:p>
        </w:tc>
        <w:tc>
          <w:tcPr>
            <w:tcW w:type="dxa" w:w="51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파트너가 고객 POV를 이끌고 Wiz SE와 PSA는 관찰하며 필요한 지원을 제공한다.</w:t>
            </w:r>
          </w:p>
        </w:tc>
        <w:tc>
          <w:tcPr>
            <w:tcW w:type="dxa" w:w="316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파트너가 계획부터 고객 결과보고까지 수행한 증거를 확보한다.</w:t>
            </w:r>
          </w:p>
        </w:tc>
      </w:tr>
      <w:tr>
        <w:trPr>
          <w:cantSplit/>
        </w:trPr>
        <w:tc>
          <w:tcPr>
            <w:tcW w:type="dxa" w:w="180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평가와 독립 수행</w:t>
            </w:r>
          </w:p>
        </w:tc>
        <w:tc>
          <w:tcPr>
            <w:tcW w:type="dxa" w:w="51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Wiz SE와 PSA가 사전 기준으로 평가한다. 승인 후 정해진 범위에서 독립 수행으로 연결한다.</w:t>
            </w:r>
          </w:p>
        </w:tc>
        <w:tc>
          <w:tcPr>
            <w:tcW w:type="dxa" w:w="316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인정 여부, 허용 범위와 에스컬레이션 경로가 명확하다.</w:t>
            </w:r>
          </w:p>
        </w:tc>
      </w:tr>
    </w:tbl>
    <w:p>
      <w:pPr>
        <w:spacing w:after="60" w:before="0" w:line="40" w:lineRule="exact"/>
      </w:pPr>
      <w:r>
        <w:rPr>
          <w:rFonts w:ascii="Noto Sans CJK KR" w:hAnsi="Noto Sans CJK KR" w:eastAsia="Noto Sans CJK KR" w:cs="Noto Sans CJK KR"/>
          <w:color w:val="000000"/>
          <w:sz w:val="4"/>
        </w:rPr>
      </w:r>
    </w:p>
    <w:p>
      <w:r>
        <w:t>Dojo 수료와 POV Accreditation 또는 POV Ready 판정은 구분한다. APJ 실행팀은 지역별 필수 교육, 섀도잉 인정 방식, 최종 승인자와 적용 가능한 고객 규모·복잡도를 프로그램 오너와 확정한다. 행사 당일 평가만으로 독립 수행 자격을 부여하지 않는다.</w:t>
      </w:r>
    </w:p>
    <w:p>
      <w:pPr>
        <w:pStyle w:val="Heading2"/>
      </w:pPr>
      <w:r>
        <w:rPr>
          <w:color w:val="000000"/>
        </w:rPr>
        <w:t>프로그램 성과 측정</w:t>
      </w:r>
    </w:p>
    <w:p>
      <w:r>
        <w:t>육성 지표는 선정 파트너 수, 지정 SE 수, 교육 이수, 섀도잉, 관찰 평가와 POV Ready 인원으로 관리한다. 실행 지표는 파트너 주도 POV 건수와 품질, 지원 요청, 등록 기회와 파트너 소싱 파이프라인을 확인한다. 이후 신규 고객·교차판매·확장 및 MSP·GSI 기회와 연결해 본다.</w:t>
      </w:r>
    </w:p>
    <w:p>
      <w:r>
        <w:t>수주율과 세일즈 사이클은 완료된 유사 규모·복잡도의 기회끼리 비교한다. 프로그램 이수만으로 매출 증가나 기간 단축이 입증되었다고 판단하지 않으며, 운영팀이 기준 기간과 집계 대상을 사전에 정한다.</w:t>
      </w:r>
    </w:p>
    <w:p>
      <w:pPr>
        <w:pStyle w:val="Heading1"/>
        <w:pageBreakBefore/>
      </w:pPr>
      <w:r>
        <w:rPr>
          <w:color w:val="000000"/>
        </w:rPr>
        <w:t>2 전체 일정과 운영 방식</w:t>
      </w:r>
    </w:p>
    <w:p>
      <w:r>
        <w:t>예시 운영 시간은 13시부터 17시까지이다. 전반부에는 고객과 평가 목적을 합의하고 분석 방법을 익힌다. 후반부에는 파트너가 직접 증거를 수집하고 고객 역할자에게 결과를 발표한다.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16"/>
        <w:gridCol w:w="4608"/>
        <w:gridCol w:w="1872"/>
      </w:tblGrid>
      <w:tr>
        <w:trPr>
          <w:cantSplit/>
          <w:tblHeader/>
        </w:trPr>
        <w:tc>
          <w:tcPr>
            <w:tcW w:type="dxa" w:w="158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시간</w:t>
            </w:r>
          </w:p>
        </w:tc>
        <w:tc>
          <w:tcPr>
            <w:tcW w:type="dxa" w:w="201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모듈</w:t>
            </w:r>
          </w:p>
        </w:tc>
        <w:tc>
          <w:tcPr>
            <w:tcW w:type="dxa" w:w="4608"/>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주요 활동</w:t>
            </w:r>
          </w:p>
        </w:tc>
        <w:tc>
          <w:tcPr>
            <w:tcW w:type="dxa" w:w="187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산출물</w:t>
            </w:r>
          </w:p>
        </w:tc>
      </w:tr>
      <w:tr>
        <w:trPr>
          <w:cantSplit/>
        </w:trPr>
        <w:tc>
          <w:tcPr>
            <w:tcW w:type="dxa" w:w="15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13:00~13:10</w:t>
              <w:br/>
              <w:t>10분</w:t>
            </w:r>
          </w:p>
        </w:tc>
        <w:tc>
          <w:tcPr>
            <w:tcW w:type="dxa" w:w="201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오프닝과 미션</w:t>
            </w:r>
          </w:p>
        </w:tc>
        <w:tc>
          <w:tcPr>
            <w:tcW w:type="dxa" w:w="4608"/>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하늘커머스 브리프, 역할과 평가 기준 안내</w:t>
            </w:r>
          </w:p>
        </w:tc>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팀 구성</w:t>
            </w:r>
          </w:p>
        </w:tc>
      </w:tr>
      <w:tr>
        <w:trPr>
          <w:cantSplit/>
        </w:trPr>
        <w:tc>
          <w:tcPr>
            <w:tcW w:type="dxa" w:w="15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13:10~13:40</w:t>
              <w:br/>
              <w:t>30분</w:t>
            </w:r>
          </w:p>
        </w:tc>
        <w:tc>
          <w:tcPr>
            <w:tcW w:type="dxa" w:w="201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Discovery와</w:t>
              <w:br/>
              <w:t>POV 계획</w:t>
            </w:r>
          </w:p>
        </w:tc>
        <w:tc>
          <w:tcPr>
            <w:tcW w:type="dxa" w:w="4608"/>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고객 역할 카드 질의, S1~S3 성공기준 합의, Go 또는 No Go 결정</w:t>
            </w:r>
          </w:p>
        </w:tc>
        <w:tc>
          <w:tcPr>
            <w:tcW w:type="dxa" w:w="18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POV 계획서</w:t>
              <w:br/>
              <w:t>1장</w:t>
            </w:r>
          </w:p>
        </w:tc>
      </w:tr>
      <w:tr>
        <w:trPr>
          <w:cantSplit/>
        </w:trPr>
        <w:tc>
          <w:tcPr>
            <w:tcW w:type="dxa" w:w="15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13:40~14:05</w:t>
              <w:br/>
              <w:t>25분</w:t>
            </w:r>
          </w:p>
        </w:tc>
        <w:tc>
          <w:tcPr>
            <w:tcW w:type="dxa" w:w="201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온보딩과</w:t>
              <w:br/>
              <w:t>첫 24시간</w:t>
            </w:r>
          </w:p>
        </w:tc>
        <w:tc>
          <w:tcPr>
            <w:tcW w:type="dxa" w:w="4608"/>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핵심 자산 8개 대조, 6개만 보이는 상황 대응, 첫 고객 업데이트</w:t>
            </w:r>
          </w:p>
        </w:tc>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첫날 점검표</w:t>
            </w:r>
          </w:p>
        </w:tc>
      </w:tr>
      <w:tr>
        <w:trPr>
          <w:cantSplit/>
        </w:trPr>
        <w:tc>
          <w:tcPr>
            <w:tcW w:type="dxa" w:w="15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14:05~14:20</w:t>
              <w:br/>
              <w:t>15분</w:t>
            </w:r>
          </w:p>
        </w:tc>
        <w:tc>
          <w:tcPr>
            <w:tcW w:type="dxa" w:w="201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Golden POV</w:t>
              <w:br/>
              <w:t>Walkthrough</w:t>
            </w:r>
          </w:p>
        </w:tc>
        <w:tc>
          <w:tcPr>
            <w:tcW w:type="dxa" w:w="4608"/>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같은 고객의 정상 자산으로 근거 찾기와 기록 방법 시연</w:t>
            </w:r>
          </w:p>
        </w:tc>
        <w:tc>
          <w:tcPr>
            <w:tcW w:type="dxa" w:w="18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분석 참조 흐름</w:t>
            </w:r>
          </w:p>
        </w:tc>
      </w:tr>
      <w:tr>
        <w:trPr>
          <w:cantSplit/>
        </w:trPr>
        <w:tc>
          <w:tcPr>
            <w:tcW w:type="dxa" w:w="15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14:20~14:30</w:t>
              <w:br/>
              <w:t>10분</w:t>
            </w:r>
          </w:p>
        </w:tc>
        <w:tc>
          <w:tcPr>
            <w:tcW w:type="dxa" w:w="201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휴식</w:t>
            </w:r>
          </w:p>
        </w:tc>
        <w:tc>
          <w:tcPr>
            <w:tcW w:type="dxa" w:w="4608"/>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14시 30분에 실습 재개</w:t>
            </w:r>
          </w:p>
        </w:tc>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r>
          </w:p>
        </w:tc>
      </w:tr>
      <w:tr>
        <w:trPr>
          <w:cantSplit/>
        </w:trPr>
        <w:tc>
          <w:tcPr>
            <w:tcW w:type="dxa" w:w="15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14:30~15:30</w:t>
              <w:br/>
              <w:t>60분</w:t>
            </w:r>
          </w:p>
        </w:tc>
        <w:tc>
          <w:tcPr>
            <w:tcW w:type="dxa" w:w="201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파트너 주도</w:t>
              <w:br/>
              <w:t>POV 실습</w:t>
            </w:r>
          </w:p>
        </w:tc>
        <w:tc>
          <w:tcPr>
            <w:tcW w:type="dxa" w:w="4608"/>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운영 API 위험 A와 개발 배치 위험 B 비교, 조치 제약에 대응</w:t>
            </w:r>
          </w:p>
        </w:tc>
        <w:tc>
          <w:tcPr>
            <w:tcW w:type="dxa" w:w="18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발견사항 2건</w:t>
              <w:br/>
              <w:t>검증 근거</w:t>
            </w:r>
          </w:p>
        </w:tc>
      </w:tr>
      <w:tr>
        <w:trPr>
          <w:cantSplit/>
        </w:trPr>
        <w:tc>
          <w:tcPr>
            <w:tcW w:type="dxa" w:w="15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15:30~15:55</w:t>
              <w:br/>
              <w:t>25분</w:t>
            </w:r>
          </w:p>
        </w:tc>
        <w:tc>
          <w:tcPr>
            <w:tcW w:type="dxa" w:w="201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결과보고 작성과</w:t>
              <w:br/>
              <w:t>질문 연습</w:t>
            </w:r>
          </w:p>
        </w:tc>
        <w:tc>
          <w:tcPr>
            <w:tcW w:type="dxa" w:w="4608"/>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S1~S3 판정, 결과보고 3장 작성, 페어 질의응답</w:t>
            </w:r>
          </w:p>
        </w:tc>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결과보고</w:t>
              <w:br/>
              <w:t>3장</w:t>
            </w:r>
          </w:p>
        </w:tc>
      </w:tr>
      <w:tr>
        <w:trPr>
          <w:cantSplit/>
        </w:trPr>
        <w:tc>
          <w:tcPr>
            <w:tcW w:type="dxa" w:w="15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15:55~16:40</w:t>
              <w:br/>
              <w:t>45분</w:t>
            </w:r>
          </w:p>
        </w:tc>
        <w:tc>
          <w:tcPr>
            <w:tcW w:type="dxa" w:w="201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Customer</w:t>
              <w:br/>
              <w:t>Playback</w:t>
            </w:r>
          </w:p>
        </w:tc>
        <w:tc>
          <w:tcPr>
            <w:tcW w:type="dxa" w:w="4608"/>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팀별 발표 6분, 질문 2분, 피드백 2분과 공통 피드백 5분</w:t>
            </w:r>
          </w:p>
        </w:tc>
        <w:tc>
          <w:tcPr>
            <w:tcW w:type="dxa" w:w="18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팀 평가</w:t>
            </w:r>
          </w:p>
        </w:tc>
      </w:tr>
      <w:tr>
        <w:trPr>
          <w:cantSplit/>
        </w:trPr>
        <w:tc>
          <w:tcPr>
            <w:tcW w:type="dxa" w:w="15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16:40~17:00</w:t>
              <w:br/>
              <w:t>20분</w:t>
            </w:r>
          </w:p>
        </w:tc>
        <w:tc>
          <w:tcPr>
            <w:tcW w:type="dxa" w:w="201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개인 확인과</w:t>
              <w:br/>
              <w:t>실전 적용</w:t>
            </w:r>
          </w:p>
        </w:tc>
        <w:tc>
          <w:tcPr>
            <w:tcW w:type="dxa" w:w="4608"/>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개인별 1분 구두 확인, 첫 실제 고객 POV의 다음 행동 기록</w:t>
            </w:r>
          </w:p>
        </w:tc>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개인 평가와</w:t>
              <w:br/>
              <w:t>실전 계획</w:t>
            </w:r>
          </w:p>
        </w:tc>
      </w:tr>
    </w:tbl>
    <w:p>
      <w:pPr>
        <w:spacing w:after="60" w:before="0" w:line="40" w:lineRule="exact"/>
      </w:pPr>
      <w:r>
        <w:rPr>
          <w:rFonts w:ascii="Noto Sans CJK KR" w:hAnsi="Noto Sans CJK KR" w:eastAsia="Noto Sans CJK KR" w:cs="Noto Sans CJK KR"/>
          <w:color w:val="000000"/>
          <w:sz w:val="4"/>
        </w:rPr>
      </w:r>
    </w:p>
    <w:p>
      <w:r>
        <w:rPr>
          <w:rFonts w:ascii="Noto Sans CJK KR" w:hAnsi="Noto Sans CJK KR" w:eastAsia="Noto Sans CJK KR" w:cs="Noto Sans CJK KR"/>
          <w:b/>
          <w:color w:val="000000"/>
        </w:rPr>
        <w:t>총 운영 시간은 240분이다.</w:t>
      </w:r>
      <w:r>
        <w:t xml:space="preserve"> 팀별 발표는 발표 6분, 고객 질문 2분, 코치 피드백 2분으로 운영하며 4팀에 40분을 배정한다.</w:t>
      </w:r>
    </w:p>
    <w:p>
      <w:pPr>
        <w:pStyle w:val="Heading2"/>
      </w:pPr>
      <w:r>
        <w:rPr>
          <w:color w:val="000000"/>
        </w:rPr>
        <w:t>참가자 참여 방식</w:t>
      </w:r>
    </w:p>
    <w:p>
      <w:r>
        <w:rPr>
          <w:rFonts w:ascii="Noto Sans CJK KR" w:hAnsi="Noto Sans CJK KR" w:eastAsia="Noto Sans CJK KR" w:cs="Noto Sans CJK KR"/>
        </w:rPr>
        <w:t>팀 내 Discovery, 분석, 기록, 발표 역할을 모듈마다 교대한다. 60분 실습 중 두 평가자가 각 6~8명을 나눠 1인 3분씩 콘솔 수행을 관찰한다. 마지막 20분에는 개인별 1분 구두 확인을 최대 16분 진행하고, 남은 4분에 실제 고객 적용 계획을 기록한다.</w:t>
      </w:r>
    </w:p>
    <w:p>
      <w:pPr>
        <w:pStyle w:val="Heading1"/>
        <w:pageBreakBefore/>
      </w:pPr>
      <w:r>
        <w:rPr>
          <w:color w:val="000000"/>
        </w:rPr>
        <w:t>3 가상 고객과 페르소나 설계</w:t>
      </w:r>
    </w:p>
    <w:p>
      <w:pPr>
        <w:pStyle w:val="Heading2"/>
      </w:pPr>
      <w:r>
        <w:rPr>
          <w:color w:val="000000"/>
        </w:rPr>
        <w:t>가상 고객 설정</w:t>
      </w:r>
    </w:p>
    <w:p>
      <w:r>
        <w:rPr>
          <w:rFonts w:ascii="Noto Sans CJK KR" w:hAnsi="Noto Sans CJK KR" w:eastAsia="Noto Sans CJK KR" w:cs="Noto Sans CJK KR"/>
        </w:rPr>
        <w:t>하늘커머스는 한국과 싱가포르에서 주문·정산 서비스를 제공하는 가상 B2B SaaS 기업이다. 6주 뒤 대형 고객 서비스를 확대할 예정이며, CISO는 10영업일 안에 도입 검토 결과를 요구한다. 기존 취약점 스캐너와 클라우드 점검 보고서는 있지만, 보안팀은 어떤 위험이 고객 데이터에 영향을 주는지 연결하기 어렵고 플랫폼팀은 한 번에 한 서비스만 변경할 수 있다.</w:t>
      </w:r>
    </w:p>
    <w:p>
      <w:r>
        <w:rPr>
          <w:rFonts w:ascii="Noto Sans CJK KR" w:hAnsi="Noto Sans CJK KR" w:eastAsia="Noto Sans CJK KR" w:cs="Noto Sans CJK KR"/>
        </w:rPr>
        <w:t>평가 범위는 AWS 운영 계정 1개와 비운영 계정 1개, 서울·싱가포르 리전, 주문 API와 관련 자산이다. 핵심 자산 목록 8개를 표본으로 사용한다. 운영 API의 외부 노출·취약점·IAM·데이터 접근을 위험 A로, 내부 개발 배치의 높은 취약점 심각도를 위험 B로 비교한다. 실행 계획은 9장, 자산과 아키텍처는 10장에 제시한다.</w:t>
      </w:r>
    </w:p>
    <w:p>
      <w:pPr>
        <w:pStyle w:val="Heading2"/>
      </w:pPr>
      <w:r>
        <w:rPr>
          <w:color w:val="000000"/>
        </w:rPr>
        <w:t>페르소나별 관심사</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464"/>
      </w:tblGrid>
      <w:tr>
        <w:trPr>
          <w:cantSplit/>
          <w:tblHeader/>
        </w:trPr>
        <w:tc>
          <w:tcPr>
            <w:tcW w:type="dxa" w:w="187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고객 역할</w:t>
            </w:r>
          </w:p>
        </w:tc>
        <w:tc>
          <w:tcPr>
            <w:tcW w:type="dxa" w:w="374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관심사와 판단 기준</w:t>
            </w:r>
          </w:p>
        </w:tc>
        <w:tc>
          <w:tcPr>
            <w:tcW w:type="dxa" w:w="446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대표 질문</w:t>
            </w:r>
          </w:p>
        </w:tc>
      </w:tr>
      <w:tr>
        <w:trPr>
          <w:cantSplit/>
        </w:trPr>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CISO</w:t>
              <w:br/>
              <w:t>평가 승인자</w:t>
            </w:r>
          </w:p>
        </w:tc>
        <w:tc>
          <w:tcPr>
            <w:tcW w:type="dxa" w:w="374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출시 전 우선 조치와 도입 타당성</w:t>
              <w:br/>
              <w:t>10영업일 종료 시 결과 수용</w:t>
            </w:r>
          </w:p>
        </w:tc>
        <w:tc>
          <w:tcPr>
            <w:tcW w:type="dxa" w:w="446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출시 판단에 어떤 근거가 생겼나요?</w:t>
            </w:r>
          </w:p>
        </w:tc>
      </w:tr>
      <w:tr>
        <w:trPr>
          <w:cantSplit/>
        </w:trPr>
        <w:tc>
          <w:tcPr>
            <w:tcW w:type="dxa" w:w="18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보안 실무 리드</w:t>
              <w:br/>
              <w:t>기술 검증자</w:t>
            </w:r>
          </w:p>
        </w:tc>
        <w:tc>
          <w:tcPr>
            <w:tcW w:type="dxa" w:w="374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위험 A와 B의 우선순위</w:t>
              <w:br/>
              <w:t>신뢰할 수 있는 증거와 조사 절차</w:t>
            </w:r>
          </w:p>
        </w:tc>
        <w:tc>
          <w:tcPr>
            <w:tcW w:type="dxa" w:w="446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기존 스캐너의 결과에 무엇이 더해졌나요?</w:t>
            </w:r>
          </w:p>
        </w:tc>
      </w:tr>
      <w:tr>
        <w:trPr>
          <w:cantSplit/>
        </w:trPr>
        <w:tc>
          <w:tcPr>
            <w:tcW w:type="dxa" w:w="18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플랫폼 리드</w:t>
              <w:br/>
              <w:t>조치 책임자</w:t>
            </w:r>
          </w:p>
        </w:tc>
        <w:tc>
          <w:tcPr>
            <w:tcW w:type="dxa" w:w="374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운영 영향과 변경 승인</w:t>
              <w:br/>
              <w:t>담당자·일정·재검증 방법</w:t>
            </w:r>
          </w:p>
        </w:tc>
        <w:tc>
          <w:tcPr>
            <w:tcW w:type="dxa" w:w="446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이번 변경 창에서 무엇부터 바꾸죠?</w:t>
            </w:r>
          </w:p>
        </w:tc>
      </w:tr>
    </w:tbl>
    <w:p>
      <w:pPr>
        <w:spacing w:after="60" w:before="0" w:line="40" w:lineRule="exact"/>
      </w:pPr>
      <w:r>
        <w:rPr>
          <w:rFonts w:ascii="Noto Sans CJK KR" w:hAnsi="Noto Sans CJK KR" w:eastAsia="Noto Sans CJK KR" w:cs="Noto Sans CJK KR"/>
          <w:color w:val="000000"/>
          <w:sz w:val="4"/>
        </w:rPr>
      </w:r>
    </w:p>
    <w:p>
      <w:pPr>
        <w:pStyle w:val="Heading2"/>
      </w:pPr>
      <w:r>
        <w:rPr>
          <w:color w:val="000000"/>
        </w:rPr>
        <w:t>고객 정보 제공 방식</w:t>
      </w:r>
    </w:p>
    <w:p>
      <w:r>
        <w:rPr>
          <w:rFonts w:ascii="Noto Sans CJK KR" w:hAnsi="Noto Sans CJK KR" w:eastAsia="Noto Sans CJK KR" w:cs="Noto Sans CJK KR"/>
        </w:rPr>
        <w:t>참가자에게는 사업 배경, 아키텍처와 핵심 자산 목록을 먼저 제공한다. 6주 뒤 출시, 10영업일 평가 기한, 승인자와 변경 제약은 진행자 역할 카드에 두고 관련 질문이 나오면 공개한다. 11장의 진행자 카드와 12~13장의 모범 답안은 평가 전 참가자 배포본에서 제외한다.</w:t>
      </w:r>
    </w:p>
    <w:p>
      <w:r>
        <w:rPr>
          <w:rFonts w:ascii="Noto Sans CJK KR" w:hAnsi="Noto Sans CJK KR" w:eastAsia="Noto Sans CJK KR" w:cs="Noto Sans CJK KR"/>
        </w:rPr>
        <w:t>모든 팀에는 동일한 답변과 상황 카드를 제공한다. 질문하지 않아 확인하지 못한 정보는 미합의로 기록하게 하고 계획 점검에서 피드백한다. 정답이나 예상 우선순위를 미리 알려주지 않으며, 새로운 근거를 제시한 다른 결론도 평가자가 검토한다.</w:t>
      </w:r>
    </w:p>
    <w:p>
      <w:pPr>
        <w:pStyle w:val="Heading2"/>
      </w:pPr>
      <w:r>
        <w:rPr>
          <w:color w:val="000000"/>
        </w:rPr>
        <w:t>APJ 공통 운영과 현지화</w:t>
      </w:r>
    </w:p>
    <w:p>
      <w:r>
        <w:rPr>
          <w:rFonts w:ascii="Noto Sans CJK KR" w:hAnsi="Noto Sans CJK KR" w:eastAsia="Noto Sans CJK KR" w:cs="Noto Sans CJK KR"/>
        </w:rPr>
        <w:t>성공기준 S1~S3, 제출 양식, 증거 수준과 평가 기준은 APJ 공통으로 유지한다. 진행 언어와 역할극 표현은 현지화한다. 보유 테넌트가 AWS 예시와 다르면 동일한 노출·권한·데이터 관계의 자원으로 사전 매핑하고, 참가자 브리프와 답안도 함께 갱신한다.</w:t>
      </w:r>
    </w:p>
    <w:p>
      <w:pPr>
        <w:pStyle w:val="Heading1"/>
        <w:pageBreakBefore/>
      </w:pPr>
      <w:r>
        <w:rPr>
          <w:color w:val="000000"/>
        </w:rPr>
        <w:t>4 사전 계획과 온보딩 커리큘럼</w:t>
      </w:r>
    </w:p>
    <w:p>
      <w:pPr>
        <w:pStyle w:val="Heading2"/>
      </w:pPr>
      <w:r>
        <w:rPr>
          <w:color w:val="000000"/>
        </w:rPr>
        <w:t>POV 실행 계획 수립 30분 모듈</w:t>
      </w:r>
    </w:p>
    <w:p>
      <w:r>
        <w:t>첫 5분에 계획서와 성공기준의 예를 설명하고, 10분간 고객 Discovery 역할극, 10분간 팀별 실행 계획 작성, 마지막 5분간 Go/No-Go Call을 진행한다. 참가자는 왜 지금 평가하는지, 핵심 서비스와 어려움은 무엇인지, 누가 어떤 결정을 언제 내려야 하는지 확인한다.</w:t>
      </w:r>
    </w:p>
    <w:p>
      <w:r>
        <w:t>POV 실행 계획서 1장에는 고객 문제와 사업 목표, 성공기준 3개, 검증 방법과 수용할 증거, 대상과 제외 범위, 담당자, 마일스톤별 일정, 고객 업데이트와 최종 플레이백 일정을 담는다. 고객 책임자와 평가 결과의 승인자를 구분하고 기준 시점의 데이터를 남긴다.</w:t>
      </w:r>
    </w:p>
    <w:p>
      <w:r>
        <w:t>하늘커머스의 성공기준은 S1 핵심 자산 8개 대조, S2 운영 API 위험 A와 개발 배치 B의 우선순위 검증, S3 담당자·기한·재검증 기준이 있는 조치 계획 합의이다. 작성된 1장 실행 계획과 10영업일 일정은 9장에 제시한다. 실제 조치 효과는 별도 전후 증거로 판정한다.</w:t>
      </w:r>
    </w:p>
    <w:p>
      <w:pPr>
        <w:pStyle w:val="Heading2"/>
      </w:pPr>
      <w:r>
        <w:rPr>
          <w:color w:val="000000"/>
        </w:rPr>
        <w:t>POV 진행 여부 결정 Go No Go Call</w:t>
      </w:r>
    </w:p>
    <w:p>
      <w:r>
        <w:t>아래는 워크숍에서 사용할 권장 판단 기준이다. 실제 기회에서는 Wiz와 파트너의 승인 체계에 맞춰 적용한다. 파트너 SA/SE가 판단안을 제시하고 고객 역할자는 범위와 책임을 확인하며 코치는 근거를 점검한다.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248"/>
        <w:gridCol w:w="4176"/>
      </w:tblGrid>
      <w:tr>
        <w:trPr>
          <w:cantSplit/>
          <w:tblHeader/>
        </w:trPr>
        <w:tc>
          <w:tcPr>
            <w:tcW w:type="dxa" w:w="165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판단 항목</w:t>
            </w:r>
          </w:p>
        </w:tc>
        <w:tc>
          <w:tcPr>
            <w:tcW w:type="dxa" w:w="424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Go에 필요한 확인</w:t>
            </w:r>
          </w:p>
        </w:tc>
        <w:tc>
          <w:tcPr>
            <w:tcW w:type="dxa" w:w="417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No-Go 또는 재계획 사유</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기회와 목적</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 문제, 의사결정자, 평가 후 결정과 일정이 명확하다.</w:t>
            </w:r>
          </w:p>
        </w:tc>
        <w:tc>
          <w:tcPr>
            <w:tcW w:type="dxa" w:w="417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평가 목적이나 책임자가 없고 콘솔 체험만 요구한다.</w:t>
            </w:r>
          </w:p>
        </w:tc>
      </w:tr>
      <w:tr>
        <w:trPr>
          <w:cantSplit/>
        </w:trPr>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성공기준과 범위</w:t>
            </w:r>
          </w:p>
        </w:tc>
        <w:tc>
          <w:tcPr>
            <w:tcW w:type="dxa" w:w="42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측정 가능한 기준, 검증 방법, 대상과 제외 범위에 합의한다.</w:t>
            </w:r>
          </w:p>
        </w:tc>
        <w:tc>
          <w:tcPr>
            <w:tcW w:type="dxa" w:w="417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일정 내 검증할 수 없거나 범위가 계속 늘어난다.</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접근과 데이터</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고객 승인, 필요한 권한과 데이터 취급 조건이 충족된다.</w:t>
            </w:r>
          </w:p>
        </w:tc>
        <w:tc>
          <w:tcPr>
            <w:tcW w:type="dxa" w:w="417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미승인 접근이나 공유가 필요하거나 핵심 데이터가 없다.</w:t>
            </w:r>
          </w:p>
        </w:tc>
      </w:tr>
      <w:tr>
        <w:trPr>
          <w:cantSplit/>
        </w:trPr>
        <w:tc>
          <w:tcPr>
            <w:tcW w:type="dxa" w:w="16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파트너 수행 적합성</w:t>
            </w:r>
          </w:p>
        </w:tc>
        <w:tc>
          <w:tcPr>
            <w:tcW w:type="dxa" w:w="42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 규모·복잡도·요구 기능이 파트너 역량과 지원 범위에 맞는다.</w:t>
            </w:r>
          </w:p>
        </w:tc>
        <w:tc>
          <w:tcPr>
            <w:tcW w:type="dxa" w:w="417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전문 지원이 필요하지만 확보되지 않았다.</w:t>
            </w:r>
          </w:p>
        </w:tc>
      </w:tr>
      <w:tr>
        <w:trPr>
          <w:cantSplit/>
        </w:trPr>
        <w:tc>
          <w:tcPr>
            <w:tcW w:type="dxa" w:w="16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운영과 종료 조건</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담당자, 지원 경로, 마일스톤, 최종 결과보고 일정이 있다.</w:t>
            </w:r>
          </w:p>
        </w:tc>
        <w:tc>
          <w:tcPr>
            <w:tcW w:type="dxa" w:w="417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장애 대응과 평가 종료 후 결정 절차가 없다.</w:t>
            </w:r>
          </w:p>
        </w:tc>
      </w:tr>
    </w:tbl>
    <w:p>
      <w:pPr>
        <w:spacing w:after="60" w:before="0" w:line="40" w:lineRule="exact"/>
      </w:pPr>
      <w:r>
        <w:rPr>
          <w:rFonts w:ascii="Noto Sans CJK KR" w:hAnsi="Noto Sans CJK KR" w:eastAsia="Noto Sans CJK KR" w:cs="Noto Sans CJK KR"/>
          <w:color w:val="000000"/>
          <w:sz w:val="4"/>
        </w:rPr>
      </w:r>
    </w:p>
    <w:p>
      <w:r>
        <w:t>미충족 조건은 담당자·해결 기한·재판정 시점을 기록하고 시작을 보류하거나 범위를 재합의한다. 접근 승인이나 데이터 취급 조건을 충족하지 않은 상태에서 조건부 Go로 실습을 강행하지 않는다. 판단 기록은 결정, 근거, 보류 조건, 담당자, 기한과 다음 확인 시점의 순서로 남긴다.</w:t>
      </w:r>
    </w:p>
    <w:p>
      <w:pPr>
        <w:pStyle w:val="Heading2"/>
        <w:pageBreakBefore/>
      </w:pPr>
      <w:r>
        <w:rPr>
          <w:color w:val="000000"/>
        </w:rPr>
        <w:t>초기 24시간 핵심 대응</w:t>
      </w:r>
    </w:p>
    <w:p>
      <w:r>
        <w:t>25분은 연결·권한 설명 5분, 준비 상태 점검 8분, 누락 상황 대응 7분, 첫날 업데이트 작성 5분으로 운영한다. 핵심 자산 8개 중 6개만 보이는 상황은 11장의 카드로 진행한다. 아래 시간 구간은 실제 POV 운영 예시이며 수집 완료 시간이나 지원 SLA를 보장하지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256"/>
        <w:gridCol w:w="3312"/>
      </w:tblGrid>
      <w:tr>
        <w:trPr>
          <w:cantSplit/>
          <w:tblHeader/>
        </w:trPr>
        <w:tc>
          <w:tcPr>
            <w:tcW w:type="dxa" w:w="151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실제 POV 시간</w:t>
            </w:r>
          </w:p>
        </w:tc>
        <w:tc>
          <w:tcPr>
            <w:tcW w:type="dxa" w:w="525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우선 수행할 일</w:t>
            </w:r>
          </w:p>
        </w:tc>
        <w:tc>
          <w:tcPr>
            <w:tcW w:type="dxa" w:w="331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남길 기록</w:t>
            </w:r>
          </w:p>
        </w:tc>
      </w:tr>
      <w:tr>
        <w:trPr>
          <w:cantSplit/>
        </w:trPr>
        <w:tc>
          <w:tcPr>
            <w:tcW w:type="dxa" w:w="15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0~2시간</w:t>
            </w:r>
          </w:p>
        </w:tc>
        <w:tc>
          <w:tcPr>
            <w:tcW w:type="dxa" w:w="52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승인·권한·연결 상태와 대상 범위를 확인한다.</w:t>
            </w:r>
          </w:p>
        </w:tc>
        <w:tc>
          <w:tcPr>
            <w:tcW w:type="dxa" w:w="33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접근·연결 점검, 책임자와 연락 경로</w:t>
            </w:r>
          </w:p>
        </w:tc>
      </w:tr>
      <w:tr>
        <w:trPr>
          <w:cantSplit/>
        </w:trPr>
        <w:tc>
          <w:tcPr>
            <w:tcW w:type="dxa" w:w="15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2~6시간</w:t>
            </w:r>
          </w:p>
        </w:tc>
        <w:tc>
          <w:tcPr>
            <w:tcW w:type="dxa" w:w="52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핵심 자산 목록과 조회 결과를 비교하고 수집 시점·누락·필터를 점검한다.</w:t>
            </w:r>
          </w:p>
        </w:tc>
        <w:tc>
          <w:tcPr>
            <w:tcW w:type="dxa" w:w="33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커버리지, 누락 원인과 조치 담당</w:t>
            </w:r>
          </w:p>
        </w:tc>
      </w:tr>
      <w:tr>
        <w:trPr>
          <w:cantSplit/>
        </w:trPr>
        <w:tc>
          <w:tcPr>
            <w:tcW w:type="dxa" w:w="15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6~12시간</w:t>
            </w:r>
          </w:p>
        </w:tc>
        <w:tc>
          <w:tcPr>
            <w:tcW w:type="dxa" w:w="525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초기 주요 발견을 검증하고 중요한 서비스와의 관련성을 확인한다.</w:t>
            </w:r>
          </w:p>
        </w:tc>
        <w:tc>
          <w:tcPr>
            <w:tcW w:type="dxa" w:w="331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초기 증거, 제약과 우선 확인 사항</w:t>
            </w:r>
          </w:p>
        </w:tc>
      </w:tr>
      <w:tr>
        <w:trPr>
          <w:cantSplit/>
        </w:trPr>
        <w:tc>
          <w:tcPr>
            <w:tcW w:type="dxa" w:w="15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12~24시간</w:t>
            </w:r>
          </w:p>
        </w:tc>
        <w:tc>
          <w:tcPr>
            <w:tcW w:type="dxa" w:w="525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고객에게 진행 상황과 제약을 공유하고 다음 분석·확인 일정을 합의한다.</w:t>
            </w:r>
          </w:p>
        </w:tc>
        <w:tc>
          <w:tcPr>
            <w:tcW w:type="dxa" w:w="331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첫날 요약, 미확인 항목, 다음 업데이트</w:t>
            </w:r>
          </w:p>
        </w:tc>
      </w:tr>
    </w:tbl>
    <w:p>
      <w:pPr>
        <w:spacing w:after="60" w:before="0" w:line="40" w:lineRule="exact"/>
      </w:pPr>
      <w:r>
        <w:rPr>
          <w:rFonts w:ascii="Noto Sans CJK KR" w:hAnsi="Noto Sans CJK KR" w:eastAsia="Noto Sans CJK KR" w:cs="Noto Sans CJK KR"/>
          <w:color w:val="000000"/>
          <w:sz w:val="4"/>
        </w:rPr>
      </w:r>
    </w:p>
    <w:p>
      <w:r>
        <w:t>권한이나 수집 문제가 발생하면 대상·조회 권한·연결·수집 시점을 확인한다. 해결할 수 없으면 환경 식별자, 발생 시각, 영향 범위, 확인한 내용과 비식별 화면을 정해진 지원 경로로 전달한다. 긴급 위험은 정기 보고를 기다리지 않고 고객 책임자와 Wiz 지원 경로에 알리되 임의 변경은 하지 않는다.</w:t>
      </w:r>
    </w:p>
    <w:p>
      <w:pPr>
        <w:pStyle w:val="Heading2"/>
      </w:pPr>
      <w:r>
        <w:rPr>
          <w:color w:val="000000"/>
        </w:rPr>
        <w:t>단계별 POV 주요 마일스톤</w:t>
      </w:r>
    </w:p>
    <w:p>
      <w:r>
        <w:t>하늘커머스의 10영업일 POV를 240분 안에 압축한다. 실제 일정은 9장을 참고한다. 15분 시연은 같은 고객의 정상 자산 report-worker-sg로 고객 질문 3분, 자산·관계·수집 시각 확인 7분, 증거 기록과 미검증 설명 5분을 진행한다. A와 B의 결론은 참가자가 도출한다.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760"/>
        <w:gridCol w:w="2448"/>
      </w:tblGrid>
      <w:tr>
        <w:trPr>
          <w:cantSplit/>
          <w:tblHeader/>
        </w:trPr>
        <w:tc>
          <w:tcPr>
            <w:tcW w:type="dxa" w:w="1872"/>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단계</w:t>
            </w:r>
          </w:p>
        </w:tc>
        <w:tc>
          <w:tcPr>
            <w:tcW w:type="dxa" w:w="576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다음 단계로 이동할 완료 기준</w:t>
            </w:r>
          </w:p>
        </w:tc>
        <w:tc>
          <w:tcPr>
            <w:tcW w:type="dxa" w:w="244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Dojo 연결</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계획 합의</w:t>
            </w:r>
          </w:p>
        </w:tc>
        <w:tc>
          <w:tcPr>
            <w:tcW w:type="dxa" w:w="576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문제·성공기준·범위·담당자·일정이 문서화된다.</w:t>
            </w:r>
          </w:p>
        </w:tc>
        <w:tc>
          <w:tcPr>
            <w:tcW w:type="dxa" w:w="24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실행 계획 작성</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진행 결정</w:t>
            </w:r>
          </w:p>
        </w:tc>
        <w:tc>
          <w:tcPr>
            <w:tcW w:type="dxa" w:w="576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Go/No-Go와 사유, 보류 시 재판정 조건을 기록한다.</w:t>
            </w:r>
          </w:p>
        </w:tc>
        <w:tc>
          <w:tcPr>
            <w:tcW w:type="dxa" w:w="24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판단 역할극</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준비와 첫날 점검</w:t>
            </w:r>
          </w:p>
        </w:tc>
        <w:tc>
          <w:tcPr>
            <w:tcW w:type="dxa" w:w="576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자산·수집 범위·제약과 고객 업데이트가 확인된다.</w:t>
            </w:r>
          </w:p>
        </w:tc>
        <w:tc>
          <w:tcPr>
            <w:tcW w:type="dxa" w:w="24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초기 24시간 과제</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기술 검증</w:t>
            </w:r>
          </w:p>
        </w:tc>
        <w:tc>
          <w:tcPr>
            <w:tcW w:type="dxa" w:w="576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성공기준별 증거와 우선순위, 미검증 항목이 정리된다.</w:t>
            </w:r>
          </w:p>
        </w:tc>
        <w:tc>
          <w:tcPr>
            <w:tcW w:type="dxa" w:w="24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케이스 실습</w:t>
            </w:r>
          </w:p>
        </w:tc>
      </w:tr>
      <w:tr>
        <w:trPr>
          <w:cantSplit/>
        </w:trPr>
        <w:tc>
          <w:tcPr>
            <w:tcW w:type="dxa" w:w="1872"/>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조치와 재검증</w:t>
            </w:r>
          </w:p>
        </w:tc>
        <w:tc>
          <w:tcPr>
            <w:tcW w:type="dxa" w:w="576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 담당·방법·일정과 효과를 확인할 증거를 합의한다.</w:t>
            </w:r>
          </w:p>
        </w:tc>
        <w:tc>
          <w:tcPr>
            <w:tcW w:type="dxa" w:w="24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발견사항 기록</w:t>
            </w:r>
          </w:p>
        </w:tc>
      </w:tr>
      <w:tr>
        <w:trPr>
          <w:cantSplit/>
        </w:trPr>
        <w:tc>
          <w:tcPr>
            <w:tcW w:type="dxa" w:w="1872"/>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플레이백과 다음 결정</w:t>
            </w:r>
          </w:p>
        </w:tc>
        <w:tc>
          <w:tcPr>
            <w:tcW w:type="dxa" w:w="576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고객이 결과·한계·다음 행동과 담당·기한을 확인한다.</w:t>
            </w:r>
          </w:p>
        </w:tc>
        <w:tc>
          <w:tcPr>
            <w:tcW w:type="dxa" w:w="24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발표와 질의응답</w:t>
            </w:r>
          </w:p>
        </w:tc>
      </w:tr>
    </w:tbl>
    <w:p>
      <w:pPr>
        <w:spacing w:after="60" w:before="0" w:line="40" w:lineRule="exact"/>
      </w:pPr>
      <w:r>
        <w:rPr>
          <w:rFonts w:ascii="Noto Sans CJK KR" w:hAnsi="Noto Sans CJK KR" w:eastAsia="Noto Sans CJK KR" w:cs="Noto Sans CJK KR"/>
          <w:color w:val="000000"/>
          <w:sz w:val="4"/>
        </w:rPr>
      </w:r>
    </w:p>
    <w:p>
      <w:pPr>
        <w:pStyle w:val="Heading1"/>
        <w:pageBreakBefore/>
      </w:pPr>
      <w:r>
        <w:rPr>
          <w:color w:val="000000"/>
        </w:rPr>
        <w:t>5 파트너 주도 POV 실습 설계</w:t>
      </w:r>
    </w:p>
    <w:p>
      <w:r>
        <w:rPr>
          <w:rFonts w:ascii="Noto Sans CJK KR" w:hAnsi="Noto Sans CJK KR" w:eastAsia="Noto Sans CJK KR" w:cs="Noto Sans CJK KR"/>
        </w:rPr>
        <w:t>같은 하늘커머스 환경에서 위험 A와 B를 60분 동안 분석한다. 외부 운영 API에서 고객 데이터에 접근할 가능성이 있는 A와 내부 개발 배치 B를 비교하고, 우선순위와 조치의 근거를 설명한다. 12장은 진행자용 발견사항 예시이다.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4104"/>
      </w:tblGrid>
      <w:tr>
        <w:trPr>
          <w:cantSplit/>
          <w:tblHeader/>
        </w:trPr>
        <w:tc>
          <w:tcPr>
            <w:tcW w:type="dxa" w:w="165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검증 주제</w:t>
            </w:r>
          </w:p>
        </w:tc>
        <w:tc>
          <w:tcPr>
            <w:tcW w:type="dxa" w:w="4320"/>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참가자 수행 과제</w:t>
            </w:r>
          </w:p>
        </w:tc>
        <w:tc>
          <w:tcPr>
            <w:tcW w:type="dxa" w:w="410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수용 기준</w:t>
            </w:r>
          </w:p>
        </w:tc>
      </w:tr>
      <w:tr>
        <w:trPr>
          <w:cantSplit/>
        </w:trPr>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S1 가시성</w:t>
            </w:r>
          </w:p>
        </w:tc>
        <w:tc>
          <w:tcPr>
            <w:tcW w:type="dxa" w:w="432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핵심 자산 8개를 브리프와 대조하고 계정·리전·관계를 확인한다.</w:t>
            </w:r>
          </w:p>
        </w:tc>
        <w:tc>
          <w:tcPr>
            <w:tcW w:type="dxa" w:w="410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8/8개를 확인하거나 누락 원인과 제한을 명시한다. 미확인 자산이 남으면 일부 충족이다.</w:t>
            </w:r>
          </w:p>
        </w:tc>
      </w:tr>
      <w:tr>
        <w:trPr>
          <w:cantSplit/>
        </w:trPr>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S2 우선순위</w:t>
            </w:r>
          </w:p>
        </w:tc>
        <w:tc>
          <w:tcPr>
            <w:tcW w:type="dxa" w:w="4320"/>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A와 B의 노출·취약점·권한·데이터·서비스 중요도를 비교한다.</w:t>
            </w:r>
          </w:p>
        </w:tc>
        <w:tc>
          <w:tcPr>
            <w:tcW w:type="dxa" w:w="410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두 사례의 결론마다 추적 가능한 근거를 제시하고 먼저 조치할 이유를 설명한다.</w:t>
            </w:r>
          </w:p>
        </w:tc>
      </w:tr>
      <w:tr>
        <w:trPr>
          <w:cantSplit/>
        </w:trPr>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S3 조치와 가치</w:t>
            </w:r>
          </w:p>
        </w:tc>
        <w:tc>
          <w:tcPr>
            <w:tcW w:type="dxa" w:w="432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조치 담당자·기한·영향·재검증 기준을 정하고 고객 동의를 얻는다.</w:t>
            </w:r>
          </w:p>
        </w:tc>
        <w:tc>
          <w:tcPr>
            <w:tcW w:type="dxa" w:w="410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두 사례의 실행 계획을 합의한다. 실제 조치 효과는 별도 전후 증거로 판정한다.</w:t>
            </w:r>
          </w:p>
        </w:tc>
      </w:tr>
    </w:tbl>
    <w:p>
      <w:pPr>
        <w:spacing w:after="60" w:before="0" w:line="40" w:lineRule="exact"/>
      </w:pPr>
      <w:r>
        <w:rPr>
          <w:rFonts w:ascii="Noto Sans CJK KR" w:hAnsi="Noto Sans CJK KR" w:eastAsia="Noto Sans CJK KR" w:cs="Noto Sans CJK KR"/>
          <w:color w:val="000000"/>
          <w:sz w:val="4"/>
        </w:rPr>
      </w:r>
    </w:p>
    <w:p>
      <w:pPr>
        <w:pStyle w:val="Heading2"/>
      </w:pPr>
      <w:r>
        <w:rPr>
          <w:color w:val="000000"/>
        </w:rPr>
        <w:t>60분 실습 진행안</w:t>
      </w:r>
    </w:p>
    <w:p>
      <w:r>
        <w:rPr>
          <w:rFonts w:ascii="Noto Sans CJK KR" w:hAnsi="Noto Sans CJK KR" w:eastAsia="Noto Sans CJK KR" w:cs="Noto Sans CJK KR"/>
        </w:rPr>
        <w:t>첫 10분은 범위와 자산 대조, 다음 25분은 A와 B의 근거 수집, 다음 15분은 조치와 재검증 계획, 마지막 10분은 증거 기록과 성공기준 판정에 쓴다. 실습 35분째 “API를 중단할 수 없다”는 상황을 모든 팀에 동시에 제공한다. 개인 콘솔 관찰은 이 60분 안에서 병행한다.</w:t>
      </w:r>
    </w:p>
    <w:p>
      <w:pPr>
        <w:pStyle w:val="Heading2"/>
      </w:pPr>
      <w:r>
        <w:rPr>
          <w:color w:val="000000"/>
        </w:rPr>
        <w:t>위험 사례 선정 원칙</w:t>
      </w:r>
    </w:p>
    <w:p>
      <w:r>
        <w:rPr>
          <w:rFonts w:ascii="Noto Sans CJK KR" w:hAnsi="Noto Sans CJK KR" w:eastAsia="Noto Sans CJK KR" w:cs="Noto Sans CJK KR"/>
        </w:rPr>
        <w:t>A는 인터넷 도달 가능한 운영 EC2, 해당 서비스에 적용되는 취약점, 연결된 역할과 고객 데이터 읽기 권한을 함께 확인할 수 있어야 한다. B는 내부 개발 EC2로 외부 노출과 중요 데이터 접근이 확인되지 않는 비교 사례이다. CVE·심각도·ID는 실제 테넌트에서 D-7에 확정한다. A 우선은 이 근거들이 성립할 때의 모범 판단이다. [1][2]</w:t>
      </w:r>
    </w:p>
    <w:p>
      <w:r>
        <w:rPr>
          <w:rFonts w:ascii="Noto Sans CJK KR" w:hAnsi="Noto Sans CJK KR" w:eastAsia="Noto Sans CJK KR" w:cs="Noto Sans CJK KR"/>
        </w:rPr>
        <w:t>기존 교육용 데이터와 사전 검증한 캡처를 사용한다. 기본 진행은 조회와 증거 분석이며, 조치 후 상태는 준비된 전후 증거로 해석한다. 실시간 변경은 격리된 교육 자원과 복구 절차가 있는 경우에만 추가한다. 공격 실행이나 실제 데이터 반출은 이 과제에 필요하지 않다.</w:t>
      </w:r>
    </w:p>
    <w:p>
      <w:pPr>
        <w:pStyle w:val="Heading2"/>
      </w:pPr>
      <w:r>
        <w:rPr>
          <w:color w:val="000000"/>
        </w:rPr>
        <w:t>발견사항 기록 기준</w:t>
      </w:r>
    </w:p>
    <w:p>
      <w:r>
        <w:rPr>
          <w:rFonts w:ascii="Noto Sans CJK KR" w:hAnsi="Noto Sans CJK KR" w:eastAsia="Noto Sans CJK KR" w:cs="Noto Sans CJK KR"/>
        </w:rPr>
        <w:t>기록에는 성공기준, 실제 자산·Issue ID, 계정·리전, 관찰 시점, 증거 위치, 확인 사실과 미검증 조건, 고객 영향, 담당자·기한·재검증 기준을 남긴다. 모든 증거는 현장 조회·사전 캡처·교육용 가정 중 어느 것인지 표시한다. 자산 별칭을 실제 ID처럼 제출하지 않는다.</w:t>
      </w:r>
    </w:p>
    <w:p>
      <w:r>
        <w:rPr>
          <w:rFonts w:ascii="Noto Sans CJK KR" w:hAnsi="Noto Sans CJK KR" w:eastAsia="Noto Sans CJK KR" w:cs="Noto Sans CJK KR"/>
        </w:rPr>
        <w:t>가용 증거로 입증하지 못한 공격 조건이나 조치 효과는 미검증으로 남긴다. 정책의 Allow 한 줄만으로 유효 접근을 확정하지 않고 적용되는 명시적 Deny, 경계·조직 정책과 암호화 권한 등도 확인한다. [3]</w:t>
      </w:r>
    </w:p>
    <w:p>
      <w:pPr>
        <w:pStyle w:val="Heading2"/>
        <w:pageBreakBefore/>
      </w:pPr>
      <w:r>
        <w:rPr>
          <w:color w:val="000000"/>
        </w:rPr>
        <w:t>실습 케이스 스터디 시뮬레이션</w:t>
      </w:r>
    </w:p>
    <w:p>
      <w:r>
        <w:t>하늘커머스의 주문 API와 고객 데이터 접근 위험을 하나의 고객 시나리오로 수행한다. 강사는 10장의 별칭을 실제 테넌트 ID와 연결하고 두 위험의 증거를 준비한다. 참가자는 같은 고객의 A와 B를 비교하며, 작성된 발견사항과 결과보고 예시는 12~13장을 사용한다.</w:t>
      </w:r>
    </w:p>
    <w:p>
      <w:pPr>
        <w:pStyle w:val="Heading2"/>
      </w:pPr>
      <w:r>
        <w:rPr>
          <w:color w:val="000000"/>
        </w:rPr>
        <w:t>케이스 A 중요한 서비스의 복합 위험</w:t>
      </w:r>
    </w:p>
    <w:p>
      <w:r>
        <w:t>A는 외부 운영 API EC2, 적용 취약점, 연결된 IAM 역할과 고객 데이터 유효 읽기 권한의 관계를 검증한다. 외부 도달 경로와 권한·데이터 근거가 성립하는지 확인한 뒤 사업 영향을 설명한다. 실제 악용이나 유출 발생을 가정만으로 확정하지 않는다.</w:t>
      </w:r>
    </w:p>
    <w:p>
      <w:r>
        <w:t>제출할 결과는 위험 설명 한 문장, 핵심 증거, 조치 우선순위, 담당자와 재검증 기준이다. 화면의 위험 정보만으로 실제 침해가 발생했다고 단정하지 않으며, 확인된 사실과 추가 검증이 필요한 경로를 구분한다.</w:t>
      </w:r>
    </w:p>
    <w:p>
      <w:pPr>
        <w:pStyle w:val="Heading2"/>
      </w:pPr>
      <w:r>
        <w:rPr>
          <w:color w:val="000000"/>
        </w:rPr>
        <w:t>케이스 B 개발 배치와 다른 우선순위</w:t>
      </w:r>
    </w:p>
    <w:p>
      <w:r>
        <w:t>B는 높은 취약점 심각도를 가진 내부 개발 배치 EC2이다. 외부 노출·중요 데이터 접근·업무 중요도를 A와 같은 기준으로 비교한다. A를 먼저 조치한다면 근거를 설명하고, B도 담당자와 기한을 정해 후속 관리한다.</w:t>
      </w:r>
    </w:p>
    <w:p>
      <w:pPr>
        <w:pStyle w:val="Heading2"/>
      </w:pPr>
      <w:r>
        <w:rPr>
          <w:color w:val="000000"/>
        </w:rPr>
        <w:t>추가 상황 카드 선택 적용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16"/>
        <w:gridCol w:w="4824"/>
      </w:tblGrid>
      <w:tr>
        <w:trPr>
          <w:cantSplit/>
          <w:tblHeader/>
        </w:trPr>
        <w:tc>
          <w:tcPr>
            <w:tcW w:type="dxa" w:w="1440"/>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투입 시점</w:t>
            </w:r>
          </w:p>
        </w:tc>
        <w:tc>
          <w:tcPr>
            <w:tcW w:type="dxa" w:w="3816"/>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고객 또는 환경 상황</w:t>
            </w:r>
          </w:p>
        </w:tc>
        <w:tc>
          <w:tcPr>
            <w:tcW w:type="dxa" w:w="482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확인할 참가자 행동</w:t>
            </w:r>
          </w:p>
        </w:tc>
      </w:tr>
      <w:tr>
        <w:trPr>
          <w:cantSplit/>
        </w:trPr>
        <w:tc>
          <w:tcPr>
            <w:tcW w:type="dxa" w:w="144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실습 10분</w:t>
            </w:r>
          </w:p>
        </w:tc>
        <w:tc>
          <w:tcPr>
            <w:tcW w:type="dxa" w:w="38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 하나가 보이지 않는다는 요청</w:t>
            </w:r>
          </w:p>
        </w:tc>
        <w:tc>
          <w:tcPr>
            <w:tcW w:type="dxa" w:w="482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권한·범위·수집 상태를 점검하고 미검증 항목을 기록한다.</w:t>
            </w:r>
          </w:p>
        </w:tc>
      </w:tr>
      <w:tr>
        <w:trPr>
          <w:cantSplit/>
        </w:trPr>
        <w:tc>
          <w:tcPr>
            <w:tcW w:type="dxa" w:w="1440"/>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실습 30분</w:t>
            </w:r>
          </w:p>
        </w:tc>
        <w:tc>
          <w:tcPr>
            <w:tcW w:type="dxa" w:w="3816"/>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고객이 다른 환경까지 평가를 확대해 달라고 요청</w:t>
            </w:r>
          </w:p>
        </w:tc>
        <w:tc>
          <w:tcPr>
            <w:tcW w:type="dxa" w:w="482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기존 성공기준·일정의 영향을 설명하고 변경 또는 후속 범위를 합의한다.</w:t>
            </w:r>
          </w:p>
        </w:tc>
      </w:tr>
      <w:tr>
        <w:trPr>
          <w:cantSplit/>
        </w:trPr>
        <w:tc>
          <w:tcPr>
            <w:tcW w:type="dxa" w:w="1440"/>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실습 45분</w:t>
            </w:r>
          </w:p>
        </w:tc>
        <w:tc>
          <w:tcPr>
            <w:tcW w:type="dxa" w:w="3816"/>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위험을 봤으니 지금 운영 환경을 바꾸라는 요청</w:t>
            </w:r>
          </w:p>
        </w:tc>
        <w:tc>
          <w:tcPr>
            <w:tcW w:type="dxa" w:w="482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 승인과 영향·복구 조건을 확인하고 제안과 실제 변경을 구분한다.</w:t>
            </w:r>
          </w:p>
        </w:tc>
      </w:tr>
    </w:tbl>
    <w:p>
      <w:pPr>
        <w:spacing w:after="60" w:before="0" w:line="40" w:lineRule="exact"/>
      </w:pPr>
      <w:r>
        <w:rPr>
          <w:rFonts w:ascii="Noto Sans CJK KR" w:hAnsi="Noto Sans CJK KR" w:eastAsia="Noto Sans CJK KR" w:cs="Noto Sans CJK KR"/>
          <w:color w:val="000000"/>
          <w:sz w:val="4"/>
        </w:rPr>
      </w:r>
    </w:p>
    <w:p>
      <w:r>
        <w:t>기본 진행은 11장의 자산 누락과 API 변경 제약 카드 두 개를 사용한다. 위 세 카드는 진행자가 D-1에 난이도와 시간을 검토해 기본 카드 대신 선택하는 확장안이다. 당일 임의로 모두 추가하지 않으며, 모든 팀에 같은 카드와 시간을 적용한다.</w:t>
      </w:r>
    </w:p>
    <w:p>
      <w:pPr>
        <w:pStyle w:val="Heading1"/>
        <w:pageBreakBefore/>
      </w:pPr>
      <w:r>
        <w:rPr>
          <w:color w:val="000000"/>
        </w:rPr>
        <w:t>6 결과보고와 수행 평가</w:t>
      </w:r>
    </w:p>
    <w:p>
      <w:pPr>
        <w:pStyle w:val="Heading2"/>
      </w:pPr>
      <w:r>
        <w:rPr>
          <w:color w:val="000000"/>
        </w:rPr>
        <w:t>결과보고 작성과 고객 질문 연습 25분</w:t>
      </w:r>
    </w:p>
    <w:p>
      <w:r>
        <w:rPr>
          <w:rFonts w:ascii="Noto Sans CJK KR" w:hAnsi="Noto Sans CJK KR" w:eastAsia="Noto Sans CJK KR" w:cs="Noto Sans CJK KR"/>
        </w:rPr>
        <w:t>첫 15분에 고객 목표와 범위, S1~S3 결과와 핵심 증거, 조치·남은 검증·다음 결정을 3장으로 작성한다. 남은 10분은 고객 질문 역할극에 사용한다. “고객 데이터 유출이 확인됐다”와 “접근 위험을 확인했다”를 구분하고, 측정하지 않은 ROI나 시간 절감 수치를 넣지 않는다.</w:t>
      </w:r>
    </w:p>
    <w:p>
      <w:r>
        <w:rPr>
          <w:rFonts w:ascii="Noto Sans CJK KR" w:hAnsi="Noto Sans CJK KR" w:eastAsia="Noto Sans CJK KR" w:cs="Noto Sans CJK KR"/>
        </w:rPr>
        <w:t>13장의 모범 결과보고를 참고해 고객 목표에서 시작하고, 각 주장에 근거 한 개 이상을 연결한다. 고객이 수용한 결과와 미검증 항목을 구분한 뒤 다음 행동의 담당자와 기한을 합의한다. 발표 평가는 자료의 장식보다 판단과 설명의 정확성을 본다.</w:t>
      </w:r>
    </w:p>
    <w:p>
      <w:pPr>
        <w:pStyle w:val="Heading2"/>
      </w:pPr>
      <w:r>
        <w:rPr>
          <w:color w:val="000000"/>
        </w:rPr>
        <w:t>Customer Playback 45분</w:t>
      </w:r>
    </w:p>
    <w:p>
      <w:r>
        <w:rPr>
          <w:rFonts w:ascii="Noto Sans CJK KR" w:hAnsi="Noto Sans CJK KR" w:eastAsia="Noto Sans CJK KR" w:cs="Noto Sans CJK KR"/>
        </w:rPr>
        <w:t>4팀이 각각 발표 6분, 고객 질문 2분, 피드백 2분을 사용한다. 마지막 5분은 공통 피드백이다. 팀원 모두가 발표 또는 질의응답을 분담하고, 답변 담당은 현장에서 지정할 수 있다. 사업 영향·기존 도구와의 차이·조치 제약을 공통 질문으로 사용한다.</w:t>
      </w:r>
    </w:p>
    <w:p>
      <w:pPr>
        <w:pStyle w:val="Heading2"/>
        <w:keepNext/>
      </w:pPr>
      <w:r>
        <w:rPr>
          <w:rFonts w:ascii="Noto Sans CJK KR" w:hAnsi="Noto Sans CJK KR" w:eastAsia="Noto Sans CJK KR" w:cs="Noto Sans CJK KR"/>
          <w:color w:val="000000"/>
        </w:rPr>
        <w:t>워크숍 수행 인증 기준안</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392"/>
        <w:gridCol w:w="4392"/>
      </w:tblGrid>
      <w:tr>
        <w:trPr>
          <w:cantSplit/>
          <w:tblHeader/>
        </w:trPr>
        <w:tc>
          <w:tcPr>
            <w:tcW w:type="dxa" w:w="129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평가 영역</w:t>
            </w:r>
          </w:p>
        </w:tc>
        <w:tc>
          <w:tcPr>
            <w:tcW w:type="dxa" w:w="439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팀 평가 60점</w:t>
            </w:r>
          </w:p>
        </w:tc>
        <w:tc>
          <w:tcPr>
            <w:tcW w:type="dxa" w:w="439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개인 평가 40점</w:t>
            </w:r>
          </w:p>
        </w:tc>
      </w:tr>
      <w:tr>
        <w:trPr>
          <w:cantSplit/>
        </w:trPr>
        <w:tc>
          <w:tcPr>
            <w:tcW w:type="dxa" w:w="129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계획</w:t>
              <w:br/>
              <w:t>25점</w:t>
            </w:r>
          </w:p>
        </w:tc>
        <w:tc>
          <w:tcPr>
            <w:tcW w:type="dxa" w:w="43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고객 문제·S1~S3·범위·시작 판단</w:t>
              <w:br/>
              <w:t>15점</w:t>
            </w:r>
          </w:p>
        </w:tc>
        <w:tc>
          <w:tcPr>
            <w:tcW w:type="dxa" w:w="43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자신의 시작 판단과 근거 설명</w:t>
              <w:br/>
              <w:t>10점</w:t>
            </w:r>
          </w:p>
        </w:tc>
      </w:tr>
      <w:tr>
        <w:trPr>
          <w:cantSplit/>
        </w:trPr>
        <w:tc>
          <w:tcPr>
            <w:tcW w:type="dxa" w:w="129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증거</w:t>
              <w:br/>
              <w:t>30점</w:t>
            </w:r>
          </w:p>
        </w:tc>
        <w:tc>
          <w:tcPr>
            <w:tcW w:type="dxa" w:w="43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두 사례의 근거와 미검증 구분</w:t>
              <w:br/>
              <w:t>20점</w:t>
            </w:r>
          </w:p>
        </w:tc>
        <w:tc>
          <w:tcPr>
            <w:tcW w:type="dxa" w:w="43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본인 계정으로 근거 탐색·설명</w:t>
              <w:br/>
              <w:t>10점</w:t>
            </w:r>
          </w:p>
        </w:tc>
      </w:tr>
      <w:tr>
        <w:trPr>
          <w:cantSplit/>
        </w:trPr>
        <w:tc>
          <w:tcPr>
            <w:tcW w:type="dxa" w:w="129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설명</w:t>
              <w:br/>
              <w:t>25점</w:t>
            </w:r>
          </w:p>
        </w:tc>
        <w:tc>
          <w:tcPr>
            <w:tcW w:type="dxa" w:w="43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우선순위·고객 영향·조치 연결</w:t>
              <w:br/>
              <w:t>15점</w:t>
            </w:r>
          </w:p>
        </w:tc>
        <w:tc>
          <w:tcPr>
            <w:tcW w:type="dxa" w:w="43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조치 제약에 대한 대안 설명</w:t>
              <w:br/>
              <w:t>10점</w:t>
            </w:r>
          </w:p>
        </w:tc>
      </w:tr>
      <w:tr>
        <w:trPr>
          <w:cantSplit/>
        </w:trPr>
        <w:tc>
          <w:tcPr>
            <w:tcW w:type="dxa" w:w="129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합의</w:t>
              <w:br/>
              <w:t>20점</w:t>
            </w:r>
          </w:p>
        </w:tc>
        <w:tc>
          <w:tcPr>
            <w:tcW w:type="dxa" w:w="43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담당자·기한·재검증·다음 결정</w:t>
              <w:br/>
              <w:t>10점</w:t>
            </w:r>
          </w:p>
        </w:tc>
        <w:tc>
          <w:tcPr>
            <w:tcW w:type="dxa" w:w="43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고객 질문과 다음 행동 답변</w:t>
              <w:br/>
              <w:t>10점</w:t>
            </w:r>
          </w:p>
        </w:tc>
      </w:tr>
    </w:tbl>
    <w:p>
      <w:pPr>
        <w:spacing w:after="60" w:before="0" w:line="40" w:lineRule="exact"/>
      </w:pPr>
      <w:r>
        <w:rPr>
          <w:rFonts w:ascii="Noto Sans CJK KR" w:hAnsi="Noto Sans CJK KR" w:eastAsia="Noto Sans CJK KR" w:cs="Noto Sans CJK KR"/>
          <w:color w:val="000000"/>
          <w:sz w:val="4"/>
        </w:rPr>
      </w:r>
    </w:p>
    <w:p>
      <w:r>
        <w:rPr>
          <w:rFonts w:ascii="Noto Sans CJK KR" w:hAnsi="Noto Sans CJK KR" w:eastAsia="Noto Sans CJK KR" w:cs="Noto Sans CJK KR"/>
        </w:rPr>
        <w:t>각 항목은 충족 100%, 부분 충족 50%, 미충족 0%로 채점한다. 개인 총점은 팀 점수와 개인 점수의 합이며, 통과는 80/100점 이상과 개인 30/40점 이상을 모두 요구한다. 개인 증거 항목은 10점이 필수다. 증거 조작·근거 없는 검증 완료 주장은 총점과 무관하게 보완 대상으로 처리한다.</w:t>
      </w:r>
      <w:r>
        <w:rPr>
          <w:rStyle w:val="CommentReference"/>
          <w:rFonts w:ascii="Noto Sans CJK KR" w:hAnsi="Noto Sans CJK KR" w:eastAsia="Noto Sans CJK KR" w:cs="Noto Sans CJK KR"/>
        </w:rPr>
      </w:r>
    </w:p>
    <w:p>
      <w:pPr>
        <w:pStyle w:val="Heading2"/>
        <w:keepNext/>
      </w:pPr>
      <w:r>
        <w:rPr>
          <w:rFonts w:ascii="Noto Sans CJK KR" w:hAnsi="Noto Sans CJK KR" w:eastAsia="Noto Sans CJK KR" w:cs="Noto Sans CJK KR"/>
          <w:color w:val="000000"/>
        </w:rPr>
        <w:t>개인 확인과 실전 적용 20분</w:t>
      </w:r>
    </w:p>
    <w:p>
      <w:r>
        <w:t>실습 중 1인 3분 콘솔 관찰과 마지막 1분 구두 답변을 기록한다. 접속 장애 시 개인 수행 평가는 보류하고 동일 난도로 재평가한다. 7일 내 보완 후 POV 섀도잉과 파트너 주도 관찰 평가로 연결한다. Dojo 통과와 실제 고객 POV의 독립 수행 인정은 구분한다.</w:t>
      </w:r>
    </w:p>
    <w:p>
      <w:pPr>
        <w:pStyle w:val="Heading2"/>
        <w:pageBreakBefore/>
      </w:pPr>
      <w:r>
        <w:rPr>
          <w:color w:val="000000"/>
        </w:rPr>
        <w:t>POV 플레이백 베스트 프랙티스</w:t>
      </w:r>
    </w:p>
    <w:p>
      <w:r>
        <w:t>플레이백은 고객의 의사결정을 돕는 결과 검토이다. 25분 준비 모듈에서 발표자료 작성 15분과 고객 질문 역할극 10분을 사용하고, 이후 45분에 팀별 고객 결과보고를 수행한다.</w:t>
      </w:r>
    </w:p>
    <w:p>
      <w:pPr>
        <w:pStyle w:val="ListBullet"/>
      </w:pPr>
      <w:r>
        <w:t>첫 장에서 고객이 평가를 시작한 이유, 합의한 성공기준과 결론을 먼저 설명한다. 범위와 제약도 같은 맥락에서 밝힌다.</w:t>
      </w:r>
    </w:p>
    <w:p>
      <w:pPr>
        <w:pStyle w:val="ListBullet"/>
      </w:pPr>
      <w:r>
        <w:t>화면을 순서대로 나열하지 않고 성공기준별 결과를 제시한다. 충족·일부 충족·미검증을 구분하고 핵심 증거만 본문에 남긴다.</w:t>
      </w:r>
    </w:p>
    <w:p>
      <w:pPr>
        <w:pStyle w:val="ListBullet"/>
      </w:pPr>
      <w:r>
        <w:t>보안 책임자에게는 사업 영향과 결정 사항, 실무자에게는 우선순위와 검증 근거, 플랫폼 담당자에게는 실행할 조치와 재검증을 설명한다.</w:t>
      </w:r>
    </w:p>
    <w:p>
      <w:pPr>
        <w:pStyle w:val="ListBullet"/>
      </w:pPr>
      <w:r>
        <w:t>기존 도구와의 차이는 실제 평가에서 확인한 맥락과 업무 변화로 답한다. 일반적인 기능 우위나 측정하지 않은 효과를 주장하지 않는다.</w:t>
      </w:r>
    </w:p>
    <w:p>
      <w:pPr>
        <w:pStyle w:val="ListBullet"/>
      </w:pPr>
      <w:r>
        <w:t>질문을 확인한 뒤 증거, 의미, 다음 행동 순서로 답한다. 모르는 내용은 추가 확인 담당과 회신 시점을 정하고 마지막에 고객의 동의를 확인한다.</w:t>
      </w:r>
    </w:p>
    <w:p>
      <w:pPr>
        <w:pStyle w:val="Heading2"/>
      </w:pPr>
      <w:r>
        <w:rPr>
          <w:color w:val="000000"/>
        </w:rPr>
        <w:t>비즈니스 성과와 연계된 결과 발표</w:t>
      </w:r>
    </w:p>
    <w:p>
      <w:r>
        <w:t>고객의 사업 목표를 기술적 성공기준과 연결하고, 그 결과가 어떤 운영 결정을 가능하게 하는지 설명한다. 아래 지표는 고객과 사전에 합의할 측정 예시이다. 워크숍의 측정 결과와 실제 고객 환경에서 기대하는 효과를 분리한다.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744"/>
        <w:gridCol w:w="4248"/>
      </w:tblGrid>
      <w:tr>
        <w:trPr>
          <w:cantSplit/>
          <w:tblHeader/>
        </w:trPr>
        <w:tc>
          <w:tcPr>
            <w:tcW w:type="dxa" w:w="208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기술 검증 결과</w:t>
            </w:r>
          </w:p>
        </w:tc>
        <w:tc>
          <w:tcPr>
            <w:tcW w:type="dxa" w:w="3744"/>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고객에게 설명할 의미</w:t>
            </w:r>
          </w:p>
        </w:tc>
        <w:tc>
          <w:tcPr>
            <w:tcW w:type="dxa" w:w="4248"/>
            <w:vAlign w:val="center"/>
            <w:tcMar>
              <w:top w:w="85" w:type="dxa"/>
              <w:bottom w:w="85" w:type="dxa"/>
              <w:left w:w="100" w:type="dxa"/>
              <w:right w:w="100" w:type="dxa"/>
            </w:tcMar>
            <w:shd w:fill="243D55"/>
          </w:tcPr>
          <w:p>
            <w:pPr>
              <w:spacing w:after="0" w:before="0" w:line="280" w:lineRule="exact"/>
              <w:jc w:val="left"/>
            </w:pPr>
            <w:r>
              <w:rPr>
                <w:rFonts w:ascii="Noto Sans CJK KR" w:hAnsi="Noto Sans CJK KR" w:eastAsia="Noto Sans CJK KR" w:cs="Noto Sans CJK KR"/>
                <w:b/>
                <w:color w:val="FFFFFF"/>
                <w:sz w:val="20"/>
              </w:rPr>
              <w:t>성과 지표와 후속 확인</w:t>
            </w:r>
          </w:p>
        </w:tc>
      </w:tr>
      <w:tr>
        <w:trPr>
          <w:cantSplit/>
        </w:trPr>
        <w:tc>
          <w:tcPr>
            <w:tcW w:type="dxa" w:w="208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핵심 자산과 제약 확인</w:t>
            </w:r>
          </w:p>
        </w:tc>
        <w:tc>
          <w:tcPr>
            <w:tcW w:type="dxa" w:w="374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중요 서비스의 평가 범위와 사각지대를 명확히 한다.</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합의한 핵심 자산 중 검증된 비율, 미확인 자산의 후속 담당</w:t>
            </w:r>
          </w:p>
        </w:tc>
      </w:tr>
      <w:tr>
        <w:trPr>
          <w:cantSplit/>
        </w:trPr>
        <w:tc>
          <w:tcPr>
            <w:tcW w:type="dxa" w:w="208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복합 위험과 우선순위 설명</w:t>
            </w:r>
          </w:p>
        </w:tc>
        <w:tc>
          <w:tcPr>
            <w:tcW w:type="dxa" w:w="3744"/>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한정된 보안·플랫폼 인력이 먼저 처리할 일을 정한다.</w:t>
            </w:r>
          </w:p>
        </w:tc>
        <w:tc>
          <w:tcPr>
            <w:tcW w:type="dxa" w:w="4248"/>
            <w:vAlign w:val="center"/>
            <w:tcMar>
              <w:top w:w="85" w:type="dxa"/>
              <w:bottom w:w="85" w:type="dxa"/>
              <w:left w:w="100" w:type="dxa"/>
              <w:right w:w="100" w:type="dxa"/>
            </w:tcMar>
            <w:shd w:fill="F0F4F8"/>
          </w:tcPr>
          <w:p>
            <w:pPr>
              <w:spacing w:after="0" w:before="0" w:line="280" w:lineRule="exact"/>
              <w:jc w:val="left"/>
            </w:pPr>
            <w:r>
              <w:rPr>
                <w:rFonts w:ascii="Noto Sans CJK KR" w:hAnsi="Noto Sans CJK KR" w:eastAsia="Noto Sans CJK KR" w:cs="Noto Sans CJK KR"/>
                <w:b w:val="0"/>
                <w:color w:val="000000"/>
                <w:sz w:val="20"/>
              </w:rPr>
              <w:t>우선 조치 합의 건수, 동일 과제의 조사 소요 시간</w:t>
            </w:r>
          </w:p>
        </w:tc>
      </w:tr>
      <w:tr>
        <w:trPr>
          <w:cantSplit/>
        </w:trPr>
        <w:tc>
          <w:tcPr>
            <w:tcW w:type="dxa" w:w="208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조치와 재검증 계획 합의</w:t>
            </w:r>
          </w:p>
        </w:tc>
        <w:tc>
          <w:tcPr>
            <w:tcW w:type="dxa" w:w="3744"/>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결과를 실행 가능한 개선 작업으로 전환한다.</w:t>
            </w:r>
          </w:p>
        </w:tc>
        <w:tc>
          <w:tcPr>
            <w:tcW w:type="dxa" w:w="4248"/>
            <w:vAlign w:val="center"/>
            <w:tcMar>
              <w:top w:w="85" w:type="dxa"/>
              <w:bottom w:w="85" w:type="dxa"/>
              <w:left w:w="100" w:type="dxa"/>
              <w:right w:w="100" w:type="dxa"/>
            </w:tcMar>
            <w:shd w:fill="FFFFFF"/>
          </w:tcPr>
          <w:p>
            <w:pPr>
              <w:spacing w:after="0" w:before="0" w:line="280" w:lineRule="exact"/>
              <w:jc w:val="left"/>
            </w:pPr>
            <w:r>
              <w:rPr>
                <w:rFonts w:ascii="Noto Sans CJK KR" w:hAnsi="Noto Sans CJK KR" w:eastAsia="Noto Sans CJK KR" w:cs="Noto Sans CJK KR"/>
                <w:b w:val="0"/>
                <w:color w:val="000000"/>
                <w:sz w:val="20"/>
              </w:rPr>
              <w:t>담당자·기한이 있는 조치 비율, 재검증 완료와 위험 상태 변화</w:t>
            </w:r>
          </w:p>
        </w:tc>
      </w:tr>
    </w:tbl>
    <w:p>
      <w:pPr>
        <w:spacing w:after="60" w:before="0" w:line="40" w:lineRule="exact"/>
      </w:pPr>
      <w:r>
        <w:rPr>
          <w:rFonts w:ascii="Noto Sans CJK KR" w:hAnsi="Noto Sans CJK KR" w:eastAsia="Noto Sans CJK KR" w:cs="Noto Sans CJK KR"/>
          <w:color w:val="000000"/>
          <w:sz w:val="4"/>
        </w:rPr>
      </w:r>
    </w:p>
    <w:p>
      <w:r>
        <w:t>미확인 항목이 남는 경우의 발표 예시: “하늘커머스 운영 API를 먼저 조치할 근거를 확인했습니다. 일부 자산은 미검증이며 플랫폼 담당자와 추가 확인 일정을 합의했습니다.” 8/8개 확인까지 완료한 경우의 결과보고는 13장의 예시를 참고해 실제 결과대로 작성한다.</w:t>
      </w:r>
    </w:p>
    <w:p>
      <w:r>
        <w:t>시간 절감이나 비용 효과를 제시하려면 동일 과제의 기준값·측정 방법·기간·범위를 함께 적는다. 실습에서 빠르게 분석했다는 사실만으로 실제 고객의 인력 절감이나 매출, 사고 방지 금액을 확정하지 않는다.</w:t>
      </w:r>
    </w:p>
    <w:p>
      <w:pPr>
        <w:pStyle w:val="Heading1"/>
        <w:pageBreakBefore/>
      </w:pPr>
      <w:r>
        <w:rPr>
          <w:color w:val="000000"/>
        </w:rPr>
        <w:t>7 준비물과 실습 환경 점검</w:t>
      </w:r>
    </w:p>
    <w:p>
      <w:r>
        <w:rPr>
          <w:rFonts w:ascii="Noto Sans CJK KR" w:hAnsi="Noto Sans CJK KR" w:eastAsia="Noto Sans CJK KR" w:cs="Noto Sans CJK KR"/>
        </w:rPr>
        <w:t>테넌트가 있어도 이 시나리오의 자산·위험·권한이 준비되어 있는지는 별도 확인이 필요하다. 아래 완료 기준으로 데이터와 진행 자료를 연결한다. 기술 코치는 10장의 별칭을 실제 ID에 매핑하고, 진행자는 참가자용 자료와 진행자용 답안을 구분한다.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6192"/>
        <w:gridCol w:w="1656"/>
      </w:tblGrid>
      <w:tr>
        <w:trPr>
          <w:cantSplit/>
          <w:tblHeader/>
        </w:trPr>
        <w:tc>
          <w:tcPr>
            <w:tcW w:type="dxa" w:w="223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준비 항목</w:t>
            </w:r>
          </w:p>
        </w:tc>
        <w:tc>
          <w:tcPr>
            <w:tcW w:type="dxa" w:w="619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준비 완료 기준</w:t>
            </w:r>
          </w:p>
        </w:tc>
        <w:tc>
          <w:tcPr>
            <w:tcW w:type="dxa" w:w="165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권장 담당</w:t>
            </w:r>
          </w:p>
        </w:tc>
      </w:tr>
      <w:tr>
        <w:trPr>
          <w:cantSplit/>
        </w:trPr>
        <w:tc>
          <w:tcPr>
            <w:tcW w:type="dxa" w:w="223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계정과 접근 권한</w:t>
            </w:r>
          </w:p>
        </w:tc>
        <w:tc>
          <w:tcPr>
            <w:tcW w:type="dxa" w:w="61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12~16명 로그인·MFA 확인, 조회 범위와 팀별 저장 위치 검증</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연결과 수집 데이터</w:t>
            </w:r>
          </w:p>
        </w:tc>
        <w:tc>
          <w:tcPr>
            <w:tcW w:type="dxa" w:w="61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운영·비운영 계정과 서울·싱가포르 범위, 핵심 자산 8개 대조</w:t>
            </w:r>
          </w:p>
        </w:tc>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위험 A와 B</w:t>
            </w:r>
          </w:p>
        </w:tc>
        <w:tc>
          <w:tcPr>
            <w:tcW w:type="dxa" w:w="61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실제 ID·CVE·노출·유효 권한·데이터 근거를 확정하고 A 우선 조건 확인</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고객 브리프와 구조도</w:t>
            </w:r>
          </w:p>
        </w:tc>
        <w:tc>
          <w:tcPr>
            <w:tcW w:type="dxa" w:w="61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하늘커머스 브리프, 10장 구조도와 실제 자산 대응표 일치</w:t>
            </w:r>
          </w:p>
        </w:tc>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프로그램 오너</w:t>
            </w:r>
          </w:p>
        </w:tc>
      </w:tr>
      <w:tr>
        <w:trPr>
          <w:cantSplit/>
        </w:trPr>
        <w:tc>
          <w:tcPr>
            <w:tcW w:type="dxa" w:w="223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역할과 상황 카드</w:t>
            </w:r>
          </w:p>
        </w:tc>
        <w:tc>
          <w:tcPr>
            <w:tcW w:type="dxa" w:w="61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11장의 고객 답변, 자산 누락 상황과 변경 제약을 동일하게 준비</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진행자</w:t>
            </w:r>
          </w:p>
        </w:tc>
      </w:tr>
      <w:tr>
        <w:trPr>
          <w:cantSplit/>
        </w:trPr>
        <w:tc>
          <w:tcPr>
            <w:tcW w:type="dxa" w:w="223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참가자 워크북</w:t>
            </w:r>
          </w:p>
        </w:tc>
        <w:tc>
          <w:tcPr>
            <w:tcW w:type="dxa" w:w="61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빈 POV 계획서, 발견사항 2건 양식, 결과보고 3장과 개인 관찰란</w:t>
            </w:r>
          </w:p>
        </w:tc>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프로그램 오너</w:t>
            </w:r>
          </w:p>
        </w:tc>
      </w:tr>
      <w:tr>
        <w:trPr>
          <w:cantSplit/>
        </w:trPr>
        <w:tc>
          <w:tcPr>
            <w:tcW w:type="dxa" w:w="223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강사 답안과 평가표</w:t>
            </w:r>
          </w:p>
        </w:tc>
        <w:tc>
          <w:tcPr>
            <w:tcW w:type="dxa" w:w="61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9·12·13장 모범 답안, 팀 60점·개인 40점 평가와 재평가 기준</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진행자</w:t>
            </w:r>
          </w:p>
        </w:tc>
      </w:tr>
      <w:tr>
        <w:trPr>
          <w:cantSplit/>
        </w:trPr>
        <w:tc>
          <w:tcPr>
            <w:tcW w:type="dxa" w:w="223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15분 시연과 지원</w:t>
            </w:r>
          </w:p>
        </w:tc>
        <w:tc>
          <w:tcPr>
            <w:tcW w:type="dxa" w:w="61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정상 자산 시연 리허설, 실습 문의와 기술 에스컬레이션 담당 확정</w:t>
            </w:r>
          </w:p>
        </w:tc>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진행자·코치</w:t>
            </w:r>
          </w:p>
        </w:tc>
      </w:tr>
      <w:tr>
        <w:trPr>
          <w:cantSplit/>
        </w:trPr>
        <w:tc>
          <w:tcPr>
            <w:tcW w:type="dxa" w:w="223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대체 및 전후 증거</w:t>
            </w:r>
          </w:p>
        </w:tc>
        <w:tc>
          <w:tcPr>
            <w:tcW w:type="dxa" w:w="619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범위·ID·수집 시각·변경 이력이 있는 캡처, 데이터 분류와 조치 전후 자료</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기술 코치</w:t>
            </w:r>
          </w:p>
        </w:tc>
      </w:tr>
      <w:tr>
        <w:trPr>
          <w:cantSplit/>
        </w:trPr>
        <w:tc>
          <w:tcPr>
            <w:tcW w:type="dxa" w:w="223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현장과 사전 안내</w:t>
            </w:r>
          </w:p>
        </w:tc>
        <w:tc>
          <w:tcPr>
            <w:tcW w:type="dxa" w:w="619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노트북·충전기·Wi-Fi·화면 공유·타이머·기초학습과 접속 안내</w:t>
            </w:r>
          </w:p>
        </w:tc>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운영 담당</w:t>
            </w:r>
          </w:p>
        </w:tc>
      </w:tr>
    </w:tbl>
    <w:p>
      <w:pPr>
        <w:spacing w:after="60" w:before="0" w:line="40" w:lineRule="exact"/>
      </w:pPr>
      <w:r>
        <w:rPr>
          <w:rFonts w:ascii="Noto Sans CJK KR" w:hAnsi="Noto Sans CJK KR" w:eastAsia="Noto Sans CJK KR" w:cs="Noto Sans CJK KR"/>
          <w:color w:val="000000"/>
          <w:sz w:val="4"/>
        </w:rPr>
      </w:r>
    </w:p>
    <w:p>
      <w:pPr>
        <w:pStyle w:val="Heading2"/>
      </w:pPr>
      <w:r>
        <w:rPr>
          <w:color w:val="000000"/>
        </w:rPr>
        <w:t>공유 테넌트 운영 원칙</w:t>
      </w:r>
    </w:p>
    <w:p>
      <w:r>
        <w:rPr>
          <w:rFonts w:ascii="Noto Sans CJK KR" w:hAnsi="Noto Sans CJK KR" w:eastAsia="Noto Sans CJK KR" w:cs="Noto Sans CJK KR"/>
        </w:rPr>
        <w:t>공유 테넌트에서는 조회 중심 권한과 팀별 결과 저장 위치를 사용한다. 예시 이름을 실제 리소스명으로 변경하기보다 자산 대응표로 연결해 팀 간 혼선을 줄인다. 데이터 분류는 교육용 표본이나 준비된 분류 증거를 사용하고, 실제 고객 정보가 포함된 화면의 배포 범위를 통제한다.</w:t>
      </w:r>
    </w:p>
    <w:p>
      <w:r>
        <w:rPr>
          <w:rFonts w:ascii="Noto Sans CJK KR" w:hAnsi="Noto Sans CJK KR" w:eastAsia="Noto Sans CJK KR" w:cs="Noto Sans CJK KR"/>
        </w:rPr>
        <w:t>관리자와 참가자 화면을 각각 확인한다. DSPM 분류나 조치 후 재수집이 당일 제공되지 않으면 사전 증거로 분석하고 해당 검증 수준을 기록한다. 콘솔 장애 시 교육은 계속할 수 있지만, 개인 콘솔 수행 인증은 복구 후 확인한다.</w:t>
      </w:r>
    </w:p>
    <w:p>
      <w:pPr>
        <w:pStyle w:val="Heading1"/>
        <w:pageBreakBefore/>
      </w:pPr>
      <w:r>
        <w:rPr>
          <w:color w:val="000000"/>
        </w:rPr>
        <w:t>8 운영 일정과 실행 관리</w:t>
      </w:r>
    </w:p>
    <w:p>
      <w:pPr>
        <w:pStyle w:val="Heading2"/>
      </w:pPr>
      <w:r>
        <w:rPr>
          <w:color w:val="000000"/>
        </w:rPr>
        <w:t>행사 전 준비 일정</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472"/>
        <w:gridCol w:w="3384"/>
      </w:tblGrid>
      <w:tr>
        <w:trPr>
          <w:cantSplit/>
          <w:tblHeader/>
        </w:trPr>
        <w:tc>
          <w:tcPr>
            <w:tcW w:type="dxa" w:w="122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시점</w:t>
            </w:r>
          </w:p>
        </w:tc>
        <w:tc>
          <w:tcPr>
            <w:tcW w:type="dxa" w:w="547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주요 작업</w:t>
            </w:r>
          </w:p>
        </w:tc>
        <w:tc>
          <w:tcPr>
            <w:tcW w:type="dxa" w:w="338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완료 확인</w:t>
            </w:r>
          </w:p>
        </w:tc>
      </w:tr>
      <w:tr>
        <w:trPr>
          <w:cantSplit/>
        </w:trPr>
        <w:tc>
          <w:tcPr>
            <w:tcW w:type="dxa" w:w="122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D-7</w:t>
            </w:r>
          </w:p>
        </w:tc>
        <w:tc>
          <w:tcPr>
            <w:tcW w:type="dxa" w:w="54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고객 설정·성공기준·실제 자산 매핑·A와 B·CVE와 모범 판단 확정</w:t>
            </w:r>
          </w:p>
        </w:tc>
        <w:tc>
          <w:tcPr>
            <w:tcW w:type="dxa" w:w="33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실제 데이터가 시나리오의 관계와 판단을 뒷받침한다.</w:t>
            </w:r>
          </w:p>
        </w:tc>
      </w:tr>
      <w:tr>
        <w:trPr>
          <w:cantSplit/>
        </w:trPr>
        <w:tc>
          <w:tcPr>
            <w:tcW w:type="dxa" w:w="122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D-3</w:t>
            </w:r>
          </w:p>
        </w:tc>
        <w:tc>
          <w:tcPr>
            <w:tcW w:type="dxa" w:w="54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참가자 계정·수집·권한 확인, 워크북과 역할 카드 분리, 지원 경로 확정</w:t>
            </w:r>
          </w:p>
        </w:tc>
        <w:tc>
          <w:tcPr>
            <w:tcW w:type="dxa" w:w="33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참가자 화면으로 자료와 실습을 수행할 수 있다.</w:t>
            </w:r>
          </w:p>
        </w:tc>
      </w:tr>
      <w:tr>
        <w:trPr>
          <w:cantSplit/>
        </w:trPr>
        <w:tc>
          <w:tcPr>
            <w:tcW w:type="dxa" w:w="122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D-1</w:t>
            </w:r>
          </w:p>
        </w:tc>
        <w:tc>
          <w:tcPr>
            <w:tcW w:type="dxa" w:w="547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4시간 리허설, 2인 채점 기준 맞춤, 전후 증거·장애 대응 점검</w:t>
            </w:r>
          </w:p>
        </w:tc>
        <w:tc>
          <w:tcPr>
            <w:tcW w:type="dxa" w:w="33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시간·증거·채점과 대체 경로를 확인한다.</w:t>
            </w:r>
          </w:p>
        </w:tc>
      </w:tr>
      <w:tr>
        <w:trPr>
          <w:cantSplit/>
        </w:trPr>
        <w:tc>
          <w:tcPr>
            <w:tcW w:type="dxa" w:w="122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행사 당일</w:t>
            </w:r>
          </w:p>
        </w:tc>
        <w:tc>
          <w:tcPr>
            <w:tcW w:type="dxa" w:w="547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역할 교대·개인 관찰·상황 카드·산출물·평가 기록 수집</w:t>
            </w:r>
          </w:p>
        </w:tc>
        <w:tc>
          <w:tcPr>
            <w:tcW w:type="dxa" w:w="33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240분 내 팀·개인 수행을 확인한다.</w:t>
            </w:r>
          </w:p>
        </w:tc>
      </w:tr>
    </w:tbl>
    <w:p>
      <w:pPr>
        <w:spacing w:after="60" w:before="0" w:line="40" w:lineRule="exact"/>
      </w:pPr>
      <w:r>
        <w:rPr>
          <w:rFonts w:ascii="Noto Sans CJK KR" w:hAnsi="Noto Sans CJK KR" w:eastAsia="Noto Sans CJK KR" w:cs="Noto Sans CJK KR"/>
          <w:color w:val="000000"/>
          <w:sz w:val="4"/>
        </w:rPr>
      </w:r>
    </w:p>
    <w:p>
      <w:pPr>
        <w:pStyle w:val="Heading2"/>
      </w:pPr>
      <w:r>
        <w:rPr>
          <w:color w:val="000000"/>
        </w:rPr>
        <w:t>운영 역할</w:t>
      </w:r>
    </w:p>
    <w:p>
      <w:r>
        <w:rPr>
          <w:rFonts w:ascii="Noto Sans CJK KR" w:hAnsi="Noto Sans CJK KR" w:eastAsia="Noto Sans CJK KR" w:cs="Noto Sans CJK KR"/>
        </w:rPr>
        <w:t>Wiz PSA는 프로그램과 후속 지원을 관리하며 진행자를 겸할 수 있다. 진행자와 기술 코치는 고객 역할과 평가를 분담한다. 실습 관찰 대상은 사전에 각 6~8명으로 나누고, 역할극 응대 시간과 개인 관찰 시간이 겹치지 않게 조정한다. 기술 코치는 테넌트와 대체 증거를 관리한다.</w:t>
      </w:r>
    </w:p>
    <w:p>
      <w:pPr>
        <w:pStyle w:val="Heading2"/>
      </w:pPr>
      <w:r>
        <w:rPr>
          <w:color w:val="000000"/>
        </w:rPr>
        <w:t>주요 운영 상황 대응</w:t>
      </w:r>
    </w:p>
    <w:p>
      <w:r>
        <w:rPr>
          <w:rFonts w:ascii="Noto Sans CJK KR" w:hAnsi="Noto Sans CJK KR" w:eastAsia="Noto Sans CJK KR" w:cs="Noto Sans CJK KR"/>
        </w:rPr>
        <w:t>권한·로그인 문제는 증거와 함께 코치가 확인한다. 복구 전에는 팀 기록과 분석에 참여하게 하고, 복구 후 본인 계정으로 개인 과제를 수행한다. 데이터가 달라지면 사전 캡처의 시점과 범위를 명시한다. 시나리오와 다른 실제 근거가 나오면 모범 답안을 강요하지 않는다.</w:t>
      </w:r>
    </w:p>
    <w:p>
      <w:r>
        <w:rPr>
          <w:rFonts w:ascii="Noto Sans CJK KR" w:hAnsi="Noto Sans CJK KR" w:eastAsia="Noto Sans CJK KR" w:cs="Noto Sans CJK KR"/>
        </w:rPr>
        <w:t>느린 팀은 A와 B의 필수 증거와 S1~S3 결과부터 완성하게 한다. 발표는 팀당 10분을 유지하고 추가 질문을 별도 기록한다. 코치는 팀 점수와 개인 점수를 구분해 기록하고, 점수 차이가 크면 해당 증거를 근거로 공동 검토한다.</w:t>
      </w:r>
    </w:p>
    <w:p>
      <w:pPr>
        <w:pStyle w:val="Heading2"/>
      </w:pPr>
      <w:r>
        <w:rPr>
          <w:color w:val="000000"/>
        </w:rPr>
        <w:t>파일럿 이후 적용</w:t>
      </w:r>
    </w:p>
    <w:p>
      <w:r>
        <w:t>행사 종료 후 7일 내 개인 보완을 정리하고 실제 POV 섀도잉과 파트너 주도 관찰 평가를 연결한다. PSA는 섀도잉 기록, 실제 수행 증거와 평가 결과를 관리한다. 참고 모델의 Wiz SE 주도 POV 2회 섀도잉과 최종 독립 수행 인정은 Dojo 통과와 별도로 적용한다.</w:t>
      </w:r>
    </w:p>
    <w:p>
      <w:r>
        <w:rPr>
          <w:rFonts w:ascii="Noto Sans CJK KR" w:hAnsi="Noto Sans CJK KR" w:eastAsia="Noto Sans CJK KR" w:cs="Noto Sans CJK KR"/>
        </w:rPr>
        <w:t>행사 일정·인원·언어·운영진을 확정한 뒤 D-7 점검을 시작한다. 첫 과제는 보유 테넌트에 위험 A와 B를 연결할 수 있는지 확인하는 것이다.</w:t>
      </w:r>
    </w:p>
    <w:p>
      <w:pPr>
        <w:pStyle w:val="Heading2"/>
        <w:keepNext/>
        <w:spacing w:before="160"/>
      </w:pPr>
      <w:r>
        <w:rPr>
          <w:rFonts w:ascii="Noto Sans CJK KR" w:hAnsi="Noto Sans CJK KR" w:eastAsia="Noto Sans CJK KR" w:cs="Noto Sans CJK KR"/>
          <w:color w:val="000000"/>
        </w:rPr>
        <w:t>참고 자료와 근거</w:t>
      </w:r>
    </w:p>
    <w:p>
      <w:pPr>
        <w:spacing w:after="60"/>
      </w:pPr>
      <w:r>
        <w:rPr>
          <w:rFonts w:ascii="Noto Sans CJK KR" w:hAnsi="Noto Sans CJK KR" w:eastAsia="Noto Sans CJK KR" w:cs="Noto Sans CJK KR"/>
        </w:rPr>
      </w:r>
      <w:hyperlink r:id="rId10">
        <w:r>
          <w:rPr>
            <w:rFonts w:ascii="Noto Sans CJK KR" w:hAnsi="Noto Sans CJK KR" w:eastAsia="Noto Sans CJK KR"/>
            <w:color w:val="245C8B"/>
            <w:sz w:val="18"/>
          </w:rPr>
          <w:t>[1] Wiz How to Evaluate Wiz Common FAQs</w:t>
        </w:r>
      </w:hyperlink>
    </w:p>
    <w:p>
      <w:pPr>
        <w:spacing w:after="60"/>
      </w:pPr>
      <w:hyperlink r:id="rId12">
        <w:r>
          <w:rPr>
            <w:rFonts w:ascii="Noto Sans CJK KR" w:hAnsi="Noto Sans CJK KR" w:eastAsia="Noto Sans CJK KR"/>
            <w:color w:val="245C8B"/>
            <w:sz w:val="18"/>
          </w:rPr>
          <w:t>[2] Wiz The anatomy of a Toxic Combination of Risk</w:t>
        </w:r>
      </w:hyperlink>
    </w:p>
    <w:p>
      <w:pPr>
        <w:spacing w:after="60"/>
      </w:pPr>
      <w:hyperlink r:id="rId13">
        <w:r>
          <w:rPr>
            <w:rFonts w:ascii="Noto Sans CJK KR" w:hAnsi="Noto Sans CJK KR" w:eastAsia="Noto Sans CJK KR"/>
            <w:color w:val="245C8B"/>
            <w:sz w:val="18"/>
          </w:rPr>
          <w:t>[3] AWS IAM Policy evaluation logic</w:t>
        </w:r>
      </w:hyperlink>
    </w:p>
    <w:p>
      <w:r>
        <w:rPr>
          <w:rFonts w:ascii="Noto Sans CJK KR" w:hAnsi="Noto Sans CJK KR" w:eastAsia="Noto Sans CJK KR" w:cs="Noto Sans CJK KR"/>
          <w:sz w:val="18"/>
        </w:rPr>
        <w:t>공식 자료는 기술 원칙의 근거이며, 고객 설정·수치·교육 시간·인증 점수는 본 프로그램의 제안이다. 확인일 2026년 9월 9일.</w:t>
      </w:r>
    </w:p>
    <w:p>
      <w:pPr>
        <w:pStyle w:val="Heading1"/>
        <w:keepNext/>
        <w:pageBreakBefore/>
      </w:pPr>
      <w:r>
        <w:rPr>
          <w:rFonts w:ascii="Noto Sans CJK KR" w:hAnsi="Noto Sans CJK KR" w:eastAsia="Noto Sans CJK KR" w:cs="Noto Sans CJK KR"/>
          <w:color w:val="000000"/>
        </w:rPr>
        <w:t>9 작성된 POV 실행 계획 예시</w:t>
      </w:r>
    </w:p>
    <w:p>
      <w:r>
        <w:rPr>
          <w:rFonts w:ascii="Noto Sans CJK KR" w:hAnsi="Noto Sans CJK KR" w:eastAsia="Noto Sans CJK KR" w:cs="Noto Sans CJK KR"/>
        </w:rPr>
        <w:t>고객은 하늘커머스이며 평가 대상은 주문 API와 고객 데이터 접근 위험이다. 6주 뒤 서비스 확대 전, 보안·플랫폼팀이 먼저 처리할 위험과 실행 계획을 합의한다. CISO는 POV 10영업일째 기술 결과를 수용하고 도입 검토의 다음 단계를 결정한다.</w:t>
      </w:r>
    </w:p>
    <w:p>
      <w:pPr>
        <w:pStyle w:val="Heading2"/>
        <w:keepNext/>
      </w:pPr>
      <w:r>
        <w:rPr>
          <w:rFonts w:ascii="Noto Sans CJK KR" w:hAnsi="Noto Sans CJK KR" w:eastAsia="Noto Sans CJK KR" w:cs="Noto Sans CJK KR"/>
          <w:color w:val="000000"/>
        </w:rPr>
        <w:t>범위와 책임</w:t>
      </w:r>
    </w:p>
    <w:p>
      <w:r>
        <w:rPr>
          <w:rFonts w:ascii="Noto Sans CJK KR" w:hAnsi="Noto Sans CJK KR" w:eastAsia="Noto Sans CJK KR" w:cs="Noto Sans CJK KR"/>
        </w:rPr>
        <w:t>AWS 운영 1계정·비운영 1계정과 서울·싱가포르 리전의 핵심 자산 8개를 대조한다. 핵심 서비스의 위험 A와 개발 배치 B를 검증한다. 런타임 사고 대응, CI/CD 개선, 규제 적합성 인증과 전체 도구 교체는 이번 평가 범위에서 제외한다. 파트너 SA가 수행하고, 보안 리드가 근거를 검증하며, 플랫폼 리드가 조치를 책임진다.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6912"/>
        <w:gridCol w:w="1656"/>
      </w:tblGrid>
      <w:tr>
        <w:trPr>
          <w:cantSplit/>
          <w:tblHeader/>
        </w:trPr>
        <w:tc>
          <w:tcPr>
            <w:tcW w:type="dxa" w:w="151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성공기준</w:t>
            </w:r>
          </w:p>
        </w:tc>
        <w:tc>
          <w:tcPr>
            <w:tcW w:type="dxa" w:w="691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검증 방법과 수용 조건</w:t>
            </w:r>
          </w:p>
        </w:tc>
        <w:tc>
          <w:tcPr>
            <w:tcW w:type="dxa" w:w="165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고객 수용자</w:t>
            </w:r>
          </w:p>
        </w:tc>
      </w:tr>
      <w:tr>
        <w:trPr>
          <w:cantSplit/>
        </w:trPr>
        <w:tc>
          <w:tcPr>
            <w:tcW w:type="dxa" w:w="15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S1 가시성</w:t>
            </w:r>
          </w:p>
        </w:tc>
        <w:tc>
          <w:tcPr>
            <w:tcW w:type="dxa" w:w="69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기준 자산 목록 8개를 실제 ID와 대조한다. 8/8개 확인 시 충족, 미확인 항목이 남으면 일부 충족과 후속 검증을 기록한다.</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보안 리드</w:t>
            </w:r>
          </w:p>
        </w:tc>
      </w:tr>
      <w:tr>
        <w:trPr>
          <w:cantSplit/>
        </w:trPr>
        <w:tc>
          <w:tcPr>
            <w:tcW w:type="dxa" w:w="151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S2 우선순위</w:t>
            </w:r>
          </w:p>
        </w:tc>
        <w:tc>
          <w:tcPr>
            <w:tcW w:type="dxa" w:w="691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A·B를 노출·취약점·유효 권한·데이터·업무 중요도로 비교한다. 근거와 제약을 제시하고 고객이 조치 순서를 수용한다.</w:t>
            </w:r>
          </w:p>
        </w:tc>
        <w:tc>
          <w:tcPr>
            <w:tcW w:type="dxa" w:w="165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보안 리드</w:t>
            </w:r>
          </w:p>
        </w:tc>
      </w:tr>
      <w:tr>
        <w:trPr>
          <w:cantSplit/>
        </w:trPr>
        <w:tc>
          <w:tcPr>
            <w:tcW w:type="dxa" w:w="15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S3 실행 가능성</w:t>
            </w:r>
          </w:p>
        </w:tc>
        <w:tc>
          <w:tcPr>
            <w:tcW w:type="dxa" w:w="69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두 위험의 담당자·기한·변경 영향·재검증 기준을 합의한다. 실행 계획의 합의와 실제 조치 효과의 검증 결과를 따로 기록한다.</w:t>
            </w:r>
          </w:p>
        </w:tc>
        <w:tc>
          <w:tcPr>
            <w:tcW w:type="dxa" w:w="165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플랫폼 리드</w:t>
            </w:r>
          </w:p>
        </w:tc>
      </w:tr>
    </w:tbl>
    <w:p>
      <w:pPr>
        <w:spacing w:after="40" w:line="60" w:lineRule="exact"/>
      </w:pPr>
    </w:p>
    <w:p>
      <w:pPr>
        <w:pStyle w:val="Heading2"/>
        <w:keepNext/>
      </w:pPr>
      <w:r>
        <w:rPr>
          <w:rFonts w:ascii="Noto Sans CJK KR" w:hAnsi="Noto Sans CJK KR" w:eastAsia="Noto Sans CJK KR" w:cs="Noto Sans CJK KR"/>
          <w:color w:val="000000"/>
        </w:rPr>
        <w:t>시작 판단과 주요 마일스톤</w:t>
      </w:r>
    </w:p>
    <w:p>
      <w:r>
        <w:rPr>
          <w:rFonts w:ascii="Noto Sans CJK KR" w:hAnsi="Noto Sans CJK KR" w:eastAsia="Noto Sans CJK KR" w:cs="Noto Sans CJK KR"/>
        </w:rPr>
        <w:t>Go는 S1~S3, 범위 접근, 고객 검증자·조치 책임자와 결과보고 일정이 합의되었을 때 내린다. 하나라도 필수 조건이 빠지면 보완 책임자와 재확인 시점을 정하고 No Go로 남긴다. 아래는 Go 이후의 10영업일 운영 예시이다.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552"/>
        <w:gridCol w:w="2376"/>
      </w:tblGrid>
      <w:tr>
        <w:trPr>
          <w:cantSplit/>
          <w:tblHeader/>
        </w:trPr>
        <w:tc>
          <w:tcPr>
            <w:tcW w:type="dxa" w:w="115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시점</w:t>
            </w:r>
          </w:p>
        </w:tc>
        <w:tc>
          <w:tcPr>
            <w:tcW w:type="dxa" w:w="655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마일스톤과 완료 증거</w:t>
            </w:r>
          </w:p>
        </w:tc>
        <w:tc>
          <w:tcPr>
            <w:tcW w:type="dxa" w:w="237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고객 접점</w:t>
            </w:r>
          </w:p>
        </w:tc>
      </w:tr>
      <w:tr>
        <w:trPr>
          <w:cantSplit/>
        </w:trPr>
        <w:tc>
          <w:tcPr>
            <w:tcW w:type="dxa" w:w="115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D0</w:t>
            </w:r>
          </w:p>
        </w:tc>
        <w:tc>
          <w:tcPr>
            <w:tcW w:type="dxa" w:w="655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POV 계획과 범위, 성공기준, 시작 판단 합의</w:t>
            </w:r>
          </w:p>
        </w:tc>
        <w:tc>
          <w:tcPr>
            <w:tcW w:type="dxa" w:w="237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킥오프</w:t>
            </w:r>
          </w:p>
        </w:tc>
      </w:tr>
      <w:tr>
        <w:trPr>
          <w:cantSplit/>
        </w:trPr>
        <w:tc>
          <w:tcPr>
            <w:tcW w:type="dxa" w:w="115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D1</w:t>
            </w:r>
          </w:p>
        </w:tc>
        <w:tc>
          <w:tcPr>
            <w:tcW w:type="dxa" w:w="655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핵심 자산 대조, 누락·수집 상태와 초기 발견 기록</w:t>
            </w:r>
          </w:p>
        </w:tc>
        <w:tc>
          <w:tcPr>
            <w:tcW w:type="dxa" w:w="237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첫 24시간 보고</w:t>
            </w:r>
          </w:p>
        </w:tc>
      </w:tr>
      <w:tr>
        <w:trPr>
          <w:cantSplit/>
        </w:trPr>
        <w:tc>
          <w:tcPr>
            <w:tcW w:type="dxa" w:w="115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D3</w:t>
            </w:r>
          </w:p>
        </w:tc>
        <w:tc>
          <w:tcPr>
            <w:tcW w:type="dxa" w:w="655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A·B 근거와 우선순위 검토, 미확인 조건 정리</w:t>
            </w:r>
          </w:p>
        </w:tc>
        <w:tc>
          <w:tcPr>
            <w:tcW w:type="dxa" w:w="237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중간 검토</w:t>
            </w:r>
          </w:p>
        </w:tc>
      </w:tr>
      <w:tr>
        <w:trPr>
          <w:cantSplit/>
        </w:trPr>
        <w:tc>
          <w:tcPr>
            <w:tcW w:type="dxa" w:w="115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D5~D7</w:t>
            </w:r>
          </w:p>
        </w:tc>
        <w:tc>
          <w:tcPr>
            <w:tcW w:type="dxa" w:w="655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조치 계획 합의, 가능한 항목 변경과 전후 확인</w:t>
            </w:r>
          </w:p>
        </w:tc>
        <w:tc>
          <w:tcPr>
            <w:tcW w:type="dxa" w:w="237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플랫폼 검증</w:t>
            </w:r>
          </w:p>
        </w:tc>
      </w:tr>
      <w:tr>
        <w:trPr>
          <w:cantSplit/>
        </w:trPr>
        <w:tc>
          <w:tcPr>
            <w:tcW w:type="dxa" w:w="115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D10</w:t>
            </w:r>
          </w:p>
        </w:tc>
        <w:tc>
          <w:tcPr>
            <w:tcW w:type="dxa" w:w="655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S1~S3 판정, 잔여 과제·책임자·다음 결정 합의</w:t>
            </w:r>
          </w:p>
        </w:tc>
        <w:tc>
          <w:tcPr>
            <w:tcW w:type="dxa" w:w="237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결과보고</w:t>
            </w:r>
          </w:p>
        </w:tc>
      </w:tr>
    </w:tbl>
    <w:p>
      <w:pPr>
        <w:spacing w:after="40" w:line="60" w:lineRule="exact"/>
      </w:pPr>
    </w:p>
    <w:p>
      <w:r>
        <w:rPr>
          <w:rFonts w:ascii="Noto Sans CJK KR" w:hAnsi="Noto Sans CJK KR" w:eastAsia="Noto Sans CJK KR" w:cs="Noto Sans CJK KR"/>
        </w:rPr>
        <w:t>사업 가치의 근거는 중요 데이터 접근 위험의 식별, 합의된 조치 순서와 실행 책임이다. 조사 시간 단축이나 비용 절감은 별도 기준선과 측정이 있을 때만 성과로 제시한다.</w:t>
      </w:r>
    </w:p>
    <w:p>
      <w:pPr>
        <w:pStyle w:val="Heading1"/>
        <w:keepNext/>
        <w:pageBreakBefore/>
      </w:pPr>
      <w:r>
        <w:rPr>
          <w:rFonts w:ascii="Noto Sans CJK KR" w:hAnsi="Noto Sans CJK KR" w:eastAsia="Noto Sans CJK KR" w:cs="Noto Sans CJK KR"/>
          <w:color w:val="000000"/>
        </w:rPr>
        <w:t>10 대표 아키텍처와 실습 데이터</w:t>
      </w:r>
    </w:p>
    <w:p>
      <w:r>
        <w:rPr>
          <w:rFonts w:ascii="Noto Sans CJK KR" w:hAnsi="Noto Sans CJK KR" w:eastAsia="Noto Sans CJK KR" w:cs="Noto Sans CJK KR"/>
        </w:rPr>
        <w:t>고객 환경은 아래 교육용 구조로 통일한다. 위험 A는 외부 운영 API의 취약점과 연결된 역할이 고객 데이터 접근으로 이어지는지 검증한다. 버킷의 공개 여부와 역할을 통한 접근 권한은 각각 확인한다. [2][3]</w:t>
      </w:r>
    </w:p>
    <w:p>
      <w:pPr>
        <w:spacing w:line="240" w:lineRule="auto"/>
      </w:pPr>
      <w:r>
        <w:rPr>
          <w:rFonts w:ascii="Noto Sans CJK KR" w:hAnsi="Noto Sans CJK KR" w:eastAsia="Noto Sans CJK KR" w:cs="Noto Sans CJK KR"/>
        </w:rPr>
        <w:drawing>
          <wp:inline xmlns:a="http://schemas.openxmlformats.org/drawingml/2006/main" xmlns:pic="http://schemas.openxmlformats.org/drawingml/2006/picture">
            <wp:extent cx="6400800" cy="2240280"/>
            <wp:docPr id="1" name="Picture 1" descr="하늘커머스 AWS 아키텍처. 운영 API와 IAM 역할 및 비공개 고객 데이터 버킷의 관계, 비교용 개발 배치, 싱가포르 표본 자산을 표시한다."/>
            <wp:cNvGraphicFramePr>
              <a:graphicFrameLocks noChangeAspect="1"/>
            </wp:cNvGraphicFramePr>
            <a:graphic>
              <a:graphicData uri="http://schemas.openxmlformats.org/drawingml/2006/picture">
                <pic:pic>
                  <pic:nvPicPr>
                    <pic:cNvPr id="0" name="scenario_architecture.png"/>
                    <pic:cNvPicPr/>
                  </pic:nvPicPr>
                  <pic:blipFill>
                    <a:blip r:embed="rId14"/>
                    <a:stretch>
                      <a:fillRect/>
                    </a:stretch>
                  </pic:blipFill>
                  <pic:spPr>
                    <a:xfrm>
                      <a:off x="0" y="0"/>
                      <a:ext cx="6400800" cy="2240280"/>
                    </a:xfrm>
                    <a:prstGeom prst="rect"/>
                  </pic:spPr>
                </pic:pic>
              </a:graphicData>
            </a:graphic>
          </wp:inline>
        </w:drawing>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096"/>
        <w:gridCol w:w="6264"/>
      </w:tblGrid>
      <w:tr>
        <w:trPr>
          <w:cantSplit/>
          <w:tblHeader/>
        </w:trPr>
        <w:tc>
          <w:tcPr>
            <w:tcW w:type="dxa" w:w="720"/>
            <w:vAlign w:val="center"/>
            <w:tcMar>
              <w:top w:w="85" w:type="dxa"/>
              <w:bottom w:w="85" w:type="dxa"/>
              <w:left w:w="100" w:type="dxa"/>
              <w:right w:w="100" w:type="dxa"/>
            </w:tcMar>
            <w:shd w:fill="233F56"/>
          </w:tcPr>
          <w:p>
            <w:pPr>
              <w:spacing w:before="0" w:after="0" w:line="271" w:lineRule="auto"/>
              <w:jc w:val="center"/>
            </w:pPr>
            <w:r>
              <w:rPr>
                <w:rFonts w:ascii="Noto Sans CJK KR" w:hAnsi="Noto Sans CJK KR" w:eastAsia="Noto Sans CJK KR" w:cs="Noto Sans CJK KR"/>
                <w:b/>
                <w:color w:val="FFFFFF"/>
                <w:sz w:val="20"/>
              </w:rPr>
              <w:t>번호</w:t>
            </w:r>
          </w:p>
        </w:tc>
        <w:tc>
          <w:tcPr>
            <w:tcW w:type="dxa" w:w="3096"/>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교육용 자산 별칭</w:t>
            </w:r>
          </w:p>
        </w:tc>
        <w:tc>
          <w:tcPr>
            <w:tcW w:type="dxa" w:w="626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필수 근거 또는 사용 목적</w:t>
            </w:r>
          </w:p>
        </w:tc>
      </w:tr>
      <w:tr>
        <w:trPr>
          <w:cantSplit/>
        </w:trPr>
        <w:tc>
          <w:tcPr>
            <w:tcW w:type="dxa" w:w="720"/>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01</w:t>
            </w:r>
          </w:p>
        </w:tc>
        <w:tc>
          <w:tcPr>
            <w:tcW w:type="dxa" w:w="309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commerce-api-prod</w:t>
            </w:r>
          </w:p>
        </w:tc>
        <w:tc>
          <w:tcPr>
            <w:tcW w:type="dxa" w:w="626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외부 도달 경로와 실제 적용되는 취약점 근거</w:t>
            </w:r>
          </w:p>
        </w:tc>
      </w:tr>
      <w:tr>
        <w:trPr>
          <w:cantSplit/>
        </w:trPr>
        <w:tc>
          <w:tcPr>
            <w:tcW w:type="dxa" w:w="720"/>
            <w:vAlign w:val="center"/>
            <w:tcMar>
              <w:top w:w="85" w:type="dxa"/>
              <w:bottom w:w="85" w:type="dxa"/>
              <w:left w:w="100" w:type="dxa"/>
              <w:right w:w="100" w:type="dxa"/>
            </w:tcMar>
            <w:shd w:fill="F1F5F8"/>
          </w:tcPr>
          <w:p>
            <w:pPr>
              <w:spacing w:before="0" w:after="0" w:line="271" w:lineRule="auto"/>
              <w:jc w:val="center"/>
            </w:pPr>
            <w:r>
              <w:rPr>
                <w:rFonts w:ascii="Noto Sans CJK KR" w:hAnsi="Noto Sans CJK KR" w:eastAsia="Noto Sans CJK KR" w:cs="Noto Sans CJK KR"/>
                <w:b w:val="0"/>
                <w:color w:val="000000"/>
                <w:sz w:val="20"/>
              </w:rPr>
              <w:t>02</w:t>
            </w:r>
          </w:p>
        </w:tc>
        <w:tc>
          <w:tcPr>
            <w:tcW w:type="dxa" w:w="309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sg-api-prod</w:t>
            </w:r>
          </w:p>
        </w:tc>
        <w:tc>
          <w:tcPr>
            <w:tcW w:type="dxa" w:w="626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인터넷 도달에 관련된 규칙과 네트워크 경로</w:t>
            </w:r>
          </w:p>
        </w:tc>
      </w:tr>
      <w:tr>
        <w:trPr>
          <w:cantSplit/>
        </w:trPr>
        <w:tc>
          <w:tcPr>
            <w:tcW w:type="dxa" w:w="720"/>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03</w:t>
            </w:r>
          </w:p>
        </w:tc>
        <w:tc>
          <w:tcPr>
            <w:tcW w:type="dxa" w:w="309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role-commerce-api</w:t>
            </w:r>
          </w:p>
        </w:tc>
        <w:tc>
          <w:tcPr>
            <w:tcW w:type="dxa" w:w="626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EC2 역할 연결과 고객 데이터에 대한 유효 권한</w:t>
            </w:r>
          </w:p>
        </w:tc>
      </w:tr>
      <w:tr>
        <w:trPr>
          <w:cantSplit/>
        </w:trPr>
        <w:tc>
          <w:tcPr>
            <w:tcW w:type="dxa" w:w="720"/>
            <w:vAlign w:val="center"/>
            <w:tcMar>
              <w:top w:w="85" w:type="dxa"/>
              <w:bottom w:w="85" w:type="dxa"/>
              <w:left w:w="100" w:type="dxa"/>
              <w:right w:w="100" w:type="dxa"/>
            </w:tcMar>
            <w:shd w:fill="F1F5F8"/>
          </w:tcPr>
          <w:p>
            <w:pPr>
              <w:spacing w:before="0" w:after="0" w:line="271" w:lineRule="auto"/>
              <w:jc w:val="center"/>
            </w:pPr>
            <w:r>
              <w:rPr>
                <w:rFonts w:ascii="Noto Sans CJK KR" w:hAnsi="Noto Sans CJK KR" w:eastAsia="Noto Sans CJK KR" w:cs="Noto Sans CJK KR"/>
                <w:b w:val="0"/>
                <w:color w:val="000000"/>
                <w:sz w:val="20"/>
              </w:rPr>
              <w:t>04</w:t>
            </w:r>
          </w:p>
        </w:tc>
        <w:tc>
          <w:tcPr>
            <w:tcW w:type="dxa" w:w="309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customer-export</w:t>
            </w:r>
          </w:p>
        </w:tc>
        <w:tc>
          <w:tcPr>
            <w:tcW w:type="dxa" w:w="626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고객 정보의 교육용 분류 증거와 버킷 접근 조건</w:t>
            </w:r>
          </w:p>
        </w:tc>
      </w:tr>
      <w:tr>
        <w:trPr>
          <w:cantSplit/>
        </w:trPr>
        <w:tc>
          <w:tcPr>
            <w:tcW w:type="dxa" w:w="720"/>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05</w:t>
            </w:r>
          </w:p>
        </w:tc>
        <w:tc>
          <w:tcPr>
            <w:tcW w:type="dxa" w:w="309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batch-dev</w:t>
            </w:r>
          </w:p>
        </w:tc>
        <w:tc>
          <w:tcPr>
            <w:tcW w:type="dxa" w:w="626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높은 취약점 심각도와 내부 개발 서비스 맥락</w:t>
            </w:r>
          </w:p>
        </w:tc>
      </w:tr>
      <w:tr>
        <w:trPr>
          <w:cantSplit/>
        </w:trPr>
        <w:tc>
          <w:tcPr>
            <w:tcW w:type="dxa" w:w="720"/>
            <w:vAlign w:val="center"/>
            <w:tcMar>
              <w:top w:w="85" w:type="dxa"/>
              <w:bottom w:w="85" w:type="dxa"/>
              <w:left w:w="100" w:type="dxa"/>
              <w:right w:w="100" w:type="dxa"/>
            </w:tcMar>
            <w:shd w:fill="F1F5F8"/>
          </w:tcPr>
          <w:p>
            <w:pPr>
              <w:spacing w:before="0" w:after="0" w:line="271" w:lineRule="auto"/>
              <w:jc w:val="center"/>
            </w:pPr>
            <w:r>
              <w:rPr>
                <w:rFonts w:ascii="Noto Sans CJK KR" w:hAnsi="Noto Sans CJK KR" w:eastAsia="Noto Sans CJK KR" w:cs="Noto Sans CJK KR"/>
                <w:b w:val="0"/>
                <w:color w:val="000000"/>
                <w:sz w:val="20"/>
              </w:rPr>
              <w:t>06</w:t>
            </w:r>
          </w:p>
        </w:tc>
        <w:tc>
          <w:tcPr>
            <w:tcW w:type="dxa" w:w="309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role-batch-dev</w:t>
            </w:r>
          </w:p>
        </w:tc>
        <w:tc>
          <w:tcPr>
            <w:tcW w:type="dxa" w:w="626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중요 데이터 접근 권한이 없는지 확인할 근거</w:t>
            </w:r>
          </w:p>
        </w:tc>
      </w:tr>
      <w:tr>
        <w:trPr>
          <w:cantSplit/>
        </w:trPr>
        <w:tc>
          <w:tcPr>
            <w:tcW w:type="dxa" w:w="720"/>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07</w:t>
            </w:r>
          </w:p>
        </w:tc>
        <w:tc>
          <w:tcPr>
            <w:tcW w:type="dxa" w:w="3096"/>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report-worker-sg</w:t>
            </w:r>
          </w:p>
        </w:tc>
        <w:tc>
          <w:tcPr>
            <w:tcW w:type="dxa" w:w="626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정상 자산 시연과 싱가포르 범위 확인</w:t>
            </w:r>
          </w:p>
        </w:tc>
      </w:tr>
      <w:tr>
        <w:trPr>
          <w:cantSplit/>
        </w:trPr>
        <w:tc>
          <w:tcPr>
            <w:tcW w:type="dxa" w:w="720"/>
            <w:vAlign w:val="center"/>
            <w:tcMar>
              <w:top w:w="85" w:type="dxa"/>
              <w:bottom w:w="85" w:type="dxa"/>
              <w:left w:w="100" w:type="dxa"/>
              <w:right w:w="100" w:type="dxa"/>
            </w:tcMar>
            <w:shd w:fill="F1F5F8"/>
          </w:tcPr>
          <w:p>
            <w:pPr>
              <w:spacing w:before="0" w:after="0" w:line="271" w:lineRule="auto"/>
              <w:jc w:val="center"/>
            </w:pPr>
            <w:r>
              <w:rPr>
                <w:rFonts w:ascii="Noto Sans CJK KR" w:hAnsi="Noto Sans CJK KR" w:eastAsia="Noto Sans CJK KR" w:cs="Noto Sans CJK KR"/>
                <w:b w:val="0"/>
                <w:color w:val="000000"/>
                <w:sz w:val="20"/>
              </w:rPr>
              <w:t>08</w:t>
            </w:r>
          </w:p>
        </w:tc>
        <w:tc>
          <w:tcPr>
            <w:tcW w:type="dxa" w:w="3096"/>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upload-sample-sg</w:t>
            </w:r>
          </w:p>
        </w:tc>
        <w:tc>
          <w:tcPr>
            <w:tcW w:type="dxa" w:w="626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싱가포르 자산 누락 상황과 표본 대조</w:t>
            </w:r>
          </w:p>
        </w:tc>
      </w:tr>
    </w:tbl>
    <w:p>
      <w:pPr>
        <w:spacing w:after="40" w:line="60" w:lineRule="exact"/>
      </w:pPr>
    </w:p>
    <w:p>
      <w:r>
        <w:rPr>
          <w:rFonts w:ascii="Noto Sans CJK KR" w:hAnsi="Noto Sans CJK KR" w:eastAsia="Noto Sans CJK KR" w:cs="Noto Sans CJK KR"/>
        </w:rPr>
        <w:t>위 별칭은 실제 자산 ID가 아니다. D-7에 별칭, 실제 ID·Issue ID, 계정·리전, 증거 위치·수집 시각을 대응표로 만든다. 8개는 선택한 핵심 표본이며 전체 계정의 완전한 자산 수를 뜻하지 않는다.</w:t>
      </w:r>
    </w:p>
    <w:p>
      <w:r>
        <w:rPr>
          <w:rFonts w:ascii="Noto Sans CJK KR" w:hAnsi="Noto Sans CJK KR" w:eastAsia="Noto Sans CJK KR" w:cs="Noto Sans CJK KR"/>
        </w:rPr>
        <w:t>A에 적용되는 취약점, 노출 경로, 역할 연결, 유효 데이터 접근 또는 분류 근거가 없으면 해당 항목은 미검증으로 둔다. 동일 의미의 사전 캡처로 보완할 수 있으나 실제 테넌트 검증 완료로 표기하지 않는다.</w:t>
      </w:r>
    </w:p>
    <w:p>
      <w:pPr>
        <w:pStyle w:val="Heading1"/>
        <w:keepNext/>
        <w:pageBreakBefore/>
      </w:pPr>
      <w:r>
        <w:rPr>
          <w:rFonts w:ascii="Noto Sans CJK KR" w:hAnsi="Noto Sans CJK KR" w:eastAsia="Noto Sans CJK KR" w:cs="Noto Sans CJK KR"/>
          <w:color w:val="000000"/>
        </w:rPr>
        <w:t>11 진행자 고객 역할과 상황 카드</w:t>
      </w:r>
    </w:p>
    <w:p>
      <w:r>
        <w:rPr>
          <w:rFonts w:ascii="Noto Sans CJK KR" w:hAnsi="Noto Sans CJK KR" w:eastAsia="Noto Sans CJK KR" w:cs="Noto Sans CJK KR"/>
        </w:rPr>
        <w:t>이 장은 진행자용이다. 공개 브리프에는 사업과 서비스, 기존 도구와 표면적인 어려움만 넣고 아래 정보는 질문에 맞춰 공개한다. 모든 팀에 같은 답변을 사용한다.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80"/>
      </w:tblGrid>
      <w:tr>
        <w:trPr>
          <w:cantSplit/>
          <w:tblHeader/>
        </w:trPr>
        <w:tc>
          <w:tcPr>
            <w:tcW w:type="dxa" w:w="1800"/>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고객 역할</w:t>
            </w:r>
          </w:p>
        </w:tc>
        <w:tc>
          <w:tcPr>
            <w:tcW w:type="dxa" w:w="8280"/>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질문 시 공개할 정보와 기대 행동</w:t>
            </w:r>
          </w:p>
        </w:tc>
      </w:tr>
      <w:tr>
        <w:trPr>
          <w:cantSplit/>
        </w:trPr>
        <w:tc>
          <w:tcPr>
            <w:tcW w:type="dxa" w:w="180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CISO</w:t>
            </w:r>
          </w:p>
        </w:tc>
        <w:tc>
          <w:tcPr>
            <w:tcW w:type="dxa" w:w="828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왜 지금인가: 6주 뒤 대형 고객 서비스 확대. 언제 결정하나: 10영업일째 기술 결과 수용. 누가 승인하나: CISO가 기술 결과를 승인하고 구매는 후속 검토.</w:t>
              <w:br/>
              <w:t>기대 행동: 출시 일정과 데이터 위험을 평가 목적에 연결한다.</w:t>
            </w:r>
          </w:p>
        </w:tc>
      </w:tr>
      <w:tr>
        <w:trPr>
          <w:cantSplit/>
        </w:trPr>
        <w:tc>
          <w:tcPr>
            <w:tcW w:type="dxa" w:w="1800"/>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보안 리드</w:t>
            </w:r>
          </w:p>
        </w:tc>
        <w:tc>
          <w:tcPr>
            <w:tcW w:type="dxa" w:w="8280"/>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기존 과정은 취약점 목록과 계정 점검 결과를 수작업으로 대조한다. 조사 시간의 신뢰할 기준선은 없다. 가장 필요한 것은 고객 데이터로 이어지는 위험의 우선순위다.</w:t>
              <w:br/>
              <w:t>기대 행동: 추가 맥락의 가치와 측정하지 않은 성과를 구분한다.</w:t>
            </w:r>
          </w:p>
        </w:tc>
      </w:tr>
      <w:tr>
        <w:trPr>
          <w:cantSplit/>
        </w:trPr>
        <w:tc>
          <w:tcPr>
            <w:tcW w:type="dxa" w:w="180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플랫폼 리드</w:t>
            </w:r>
          </w:p>
        </w:tc>
        <w:tc>
          <w:tcPr>
            <w:tcW w:type="dxa" w:w="828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주문 API를 중단할 수 없고 한 번에 한 서비스만 변경할 수 있다. API 역할에는 고객 내보내기 데이터 읽기가 업무상 필요하지 않다. 변경은 스테이징 확인과 승인 이후 진행한다.</w:t>
              <w:br/>
              <w:t>기대 행동: 권한 축소·패치 계획과 운영 영향을 함께 검토한다.</w:t>
            </w:r>
          </w:p>
        </w:tc>
      </w:tr>
    </w:tbl>
    <w:p>
      <w:pPr>
        <w:spacing w:after="40" w:line="60" w:lineRule="exact"/>
      </w:pPr>
    </w:p>
    <w:p>
      <w:pPr>
        <w:pStyle w:val="Heading2"/>
        <w:keepNext/>
      </w:pPr>
      <w:r>
        <w:rPr>
          <w:rFonts w:ascii="Noto Sans CJK KR" w:hAnsi="Noto Sans CJK KR" w:eastAsia="Noto Sans CJK KR" w:cs="Noto Sans CJK KR"/>
          <w:color w:val="000000"/>
        </w:rPr>
        <w:t>상황 1 첫날 핵심 자산이 6개만 보임</w:t>
      </w:r>
    </w:p>
    <w:p>
      <w:r>
        <w:rPr>
          <w:rFonts w:ascii="Noto Sans CJK KR" w:hAnsi="Noto Sans CJK KR" w:eastAsia="Noto Sans CJK KR" w:cs="Noto Sans CJK KR"/>
        </w:rPr>
        <w:t>제시 시점은 13:45이다. “계정 연결은 정상인데 핵심 자산 8개 중 6개만 보입니다”라고 전달한다. 원인 카드는 서울 리전 필터가 남아 싱가포르 자산 2개가 제외된 상태다. 참가자가 필터·범위·권한·수집 시각을 확인하도록 한다. 필터 해제 후 8/8개를 대조한 증거를 제공하거나 실제로 확인한다.</w:t>
      </w:r>
    </w:p>
    <w:p>
      <w:r>
        <w:rPr>
          <w:rFonts w:ascii="Noto Sans CJK KR" w:hAnsi="Noto Sans CJK KR" w:eastAsia="Noto Sans CJK KR" w:cs="Noto Sans CJK KR"/>
        </w:rPr>
        <w:t>평가 포인트는 즉시 수집 장애로 단정하지 않는지, 누락 상태를 고객에게 정확히 보고하는지, 해결 후 같은 표본으로 재확인하는지이다. 실제 테넌트에서 다른 원인이 나오면 관찰된 사실을 우선한다.</w:t>
      </w:r>
    </w:p>
    <w:p>
      <w:pPr>
        <w:pStyle w:val="Heading2"/>
        <w:keepNext/>
      </w:pPr>
      <w:r>
        <w:rPr>
          <w:rFonts w:ascii="Noto Sans CJK KR" w:hAnsi="Noto Sans CJK KR" w:eastAsia="Noto Sans CJK KR" w:cs="Noto Sans CJK KR"/>
          <w:color w:val="000000"/>
        </w:rPr>
        <w:t>상황 2 운영 API를 중단할 수 없음</w:t>
      </w:r>
    </w:p>
    <w:p>
      <w:r>
        <w:rPr>
          <w:rFonts w:ascii="Noto Sans CJK KR" w:hAnsi="Noto Sans CJK KR" w:eastAsia="Noto Sans CJK KR" w:cs="Noto Sans CJK KR"/>
        </w:rPr>
        <w:t>제시 시점은 실습 시작 35분 후인 15:05이다. “오늘 API를 내릴 수 없으며 이번 변경 창에는 한 서비스만 다룰 수 있습니다”라고 전달한다. 모범 대응은 업무상 불필요한 데이터 접근을 먼저 줄이는 방안과 서비스 패치 계획을 함께 검토하고, 변경 책임자·검증·롤백 조건을 합의하는 것이다.</w:t>
      </w:r>
    </w:p>
    <w:p>
      <w:r>
        <w:rPr>
          <w:rFonts w:ascii="Noto Sans CJK KR" w:hAnsi="Noto Sans CJK KR" w:eastAsia="Noto Sans CJK KR" w:cs="Noto Sans CJK KR"/>
        </w:rPr>
        <w:t>평가 포인트는 과도한 서비스 차단을 바로 지시하지 않는지, 단기 조치 후에도 취약점과 잔여 위험이 남는다는 점을 설명하는지, 재수집 전후 근거를 구분하는지이다.</w:t>
      </w:r>
    </w:p>
    <w:p>
      <w:pPr>
        <w:pStyle w:val="Heading2"/>
        <w:keepNext/>
      </w:pPr>
      <w:r>
        <w:rPr>
          <w:rFonts w:ascii="Noto Sans CJK KR" w:hAnsi="Noto Sans CJK KR" w:eastAsia="Noto Sans CJK KR" w:cs="Noto Sans CJK KR"/>
          <w:color w:val="000000"/>
        </w:rPr>
        <w:t>평가의 일관성</w:t>
      </w:r>
    </w:p>
    <w:p>
      <w:r>
        <w:rPr>
          <w:rFonts w:ascii="Noto Sans CJK KR" w:hAnsi="Noto Sans CJK KR" w:eastAsia="Noto Sans CJK KR" w:cs="Noto Sans CJK KR"/>
        </w:rPr>
        <w:t>진행자는 D-1에 코치와 모범 답안을 함께 채점한다. 개인별로 관찰 시각, 본인이 연 증거, 설명한 판단과 점수를 기록한다. 사전 캡처만으로 완료한 참가자는 분석 역량을 평가하되 콘솔 수행 확인이 끝날 때까지 개인 증거 항목을 보류한다.</w:t>
      </w:r>
    </w:p>
    <w:p>
      <w:pPr>
        <w:pStyle w:val="Heading1"/>
        <w:keepNext/>
        <w:pageBreakBefore/>
      </w:pPr>
      <w:r>
        <w:rPr>
          <w:rFonts w:ascii="Noto Sans CJK KR" w:hAnsi="Noto Sans CJK KR" w:eastAsia="Noto Sans CJK KR" w:cs="Noto Sans CJK KR"/>
          <w:color w:val="000000"/>
        </w:rPr>
        <w:t>12 발견사항 기록과 재검증 예시</w:t>
      </w:r>
    </w:p>
    <w:p>
      <w:r>
        <w:rPr>
          <w:rFonts w:ascii="Noto Sans CJK KR" w:hAnsi="Noto Sans CJK KR" w:eastAsia="Noto Sans CJK KR" w:cs="Noto Sans CJK KR"/>
        </w:rPr>
        <w:t>아래는 준비된 근거가 조건을 충족했을 때의 진행자용 답안이다. 실제 운영에서는 별칭을 실제 ID로 연결하고 각 증거의 관찰 시각과 저장 위치를 채운다. 위험 A 우선이라는 결론을 외워 제출하는 것이 아니라 근거로 도출하도록 지도한다.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284"/>
        <w:gridCol w:w="4284"/>
      </w:tblGrid>
      <w:tr>
        <w:trPr>
          <w:cantSplit/>
          <w:tblHeader/>
        </w:trPr>
        <w:tc>
          <w:tcPr>
            <w:tcW w:type="dxa" w:w="1512"/>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기록 항목</w:t>
            </w:r>
          </w:p>
        </w:tc>
        <w:tc>
          <w:tcPr>
            <w:tcW w:type="dxa" w:w="428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위험 A 운영 API</w:t>
            </w:r>
          </w:p>
        </w:tc>
        <w:tc>
          <w:tcPr>
            <w:tcW w:type="dxa" w:w="4284"/>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위험 B 개발 배치</w:t>
            </w:r>
          </w:p>
        </w:tc>
      </w:tr>
      <w:tr>
        <w:trPr>
          <w:cantSplit/>
        </w:trPr>
        <w:tc>
          <w:tcPr>
            <w:tcW w:type="dxa" w:w="15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연결 기준과 자산</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S2·S3</w:t>
              <w:br/>
              <w:t>01·02·03·04</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S2·S3</w:t>
              <w:br/>
              <w:t>05·06</w:t>
            </w:r>
          </w:p>
        </w:tc>
      </w:tr>
      <w:tr>
        <w:trPr>
          <w:cantSplit/>
        </w:trPr>
        <w:tc>
          <w:tcPr>
            <w:tcW w:type="dxa" w:w="151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관찰한 사실</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외부 도달 경로, 적용 취약점, 인스턴스 역할, 고객 데이터 유효 읽기 권한과 분류 근거</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높은 취약점 심각도, 내부 개발 자산, 외부 경로와 중요 데이터 접근이 확인되지 않음</w:t>
            </w:r>
          </w:p>
        </w:tc>
      </w:tr>
      <w:tr>
        <w:trPr>
          <w:cantSplit/>
        </w:trPr>
        <w:tc>
          <w:tcPr>
            <w:tcW w:type="dxa" w:w="15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위험 해석</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서비스가 침해될 경우 역할 권한으로 고객 데이터에 접근할 가능성</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취약점 조치가 필요하나 이번 근거상 직접 노출과 중요 데이터 영향은 A보다 제한적</w:t>
            </w:r>
          </w:p>
        </w:tc>
      </w:tr>
      <w:tr>
        <w:trPr>
          <w:cantSplit/>
        </w:trPr>
        <w:tc>
          <w:tcPr>
            <w:tcW w:type="dxa" w:w="151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미검증 사항</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실제 악용과 정보 유출 발생 여부. 적용되는 정책·암호화 조건이 부족하면 유효 접근도 미검증</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다른 내부 침해를 통한 접근, 개발 서비스의 추가 의존성과 보완 통제</w:t>
            </w:r>
          </w:p>
        </w:tc>
      </w:tr>
      <w:tr>
        <w:trPr>
          <w:cantSplit/>
        </w:trPr>
        <w:tc>
          <w:tcPr>
            <w:tcW w:type="dxa" w:w="15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권고 우선순위</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1순위. 운영 서비스와 고객 데이터 접근이 연결되는 근거를 제시</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2순위. A와 같은 기준으로 비교하고 조치 일정은 계속 관리</w:t>
            </w:r>
          </w:p>
        </w:tc>
      </w:tr>
      <w:tr>
        <w:trPr>
          <w:cantSplit/>
        </w:trPr>
        <w:tc>
          <w:tcPr>
            <w:tcW w:type="dxa" w:w="151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조치와 담당</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플랫폼 리드가 API 역할의 불필요한 읽기 권한 축소를 검토하고 서비스 소유자가 패치 계획 수립</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개발 서비스 소유자가 패치·버전 갱신을 계획하고 플랫폼팀과 재검증</w:t>
            </w:r>
          </w:p>
        </w:tc>
      </w:tr>
      <w:tr>
        <w:trPr>
          <w:cantSplit/>
        </w:trPr>
        <w:tc>
          <w:tcPr>
            <w:tcW w:type="dxa" w:w="1512"/>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기한 예시</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D3 계획 수용, D5 승인된 변경 창 검토, D7 전후 검증 목표</w:t>
            </w:r>
          </w:p>
        </w:tc>
        <w:tc>
          <w:tcPr>
            <w:tcW w:type="dxa" w:w="4284"/>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D3 계획 수용, D7 변경 창 검토, D10 이전 확인 목표</w:t>
            </w:r>
          </w:p>
        </w:tc>
      </w:tr>
      <w:tr>
        <w:trPr>
          <w:cantSplit/>
        </w:trPr>
        <w:tc>
          <w:tcPr>
            <w:tcW w:type="dxa" w:w="1512"/>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재검증 기준</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같은 자산·역할·데이터의 유효 접근 재평가, 수집 시각 갱신, 서비스 정상 동작과 잔여 취약점 확인</w:t>
            </w:r>
          </w:p>
        </w:tc>
        <w:tc>
          <w:tcPr>
            <w:tcW w:type="dxa" w:w="4284"/>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같은 자산의 패치·버전 및 취약점 상태 갱신, 서비스 정상 동작 확인</w:t>
            </w:r>
          </w:p>
        </w:tc>
      </w:tr>
    </w:tbl>
    <w:p>
      <w:pPr>
        <w:spacing w:after="40" w:line="60" w:lineRule="exact"/>
      </w:pPr>
    </w:p>
    <w:p>
      <w:pPr>
        <w:pStyle w:val="Heading2"/>
        <w:keepNext/>
      </w:pPr>
      <w:r>
        <w:rPr>
          <w:rFonts w:ascii="Noto Sans CJK KR" w:hAnsi="Noto Sans CJK KR" w:eastAsia="Noto Sans CJK KR" w:cs="Noto Sans CJK KR"/>
          <w:color w:val="000000"/>
        </w:rPr>
        <w:t>증거 묶음의 최소 구성</w:t>
      </w:r>
    </w:p>
    <w:p>
      <w:r>
        <w:rPr>
          <w:rFonts w:ascii="Noto Sans CJK KR" w:hAnsi="Noto Sans CJK KR" w:eastAsia="Noto Sans CJK KR" w:cs="Noto Sans CJK KR"/>
        </w:rPr>
        <w:t>A에는 노출 경로, 취약점 적용, 역할 연결, 유효 접근과 데이터 분류 근거를 묶는다. B에는 취약점과 네트워크·권한·업무 맥락을 같은 방식으로 묶는다. 각 캡처나 조회 결과에 실제 ID, 시각, 계정·범위와 해석을 연결한다.</w:t>
      </w:r>
    </w:p>
    <w:p>
      <w:pPr>
        <w:pStyle w:val="Heading2"/>
        <w:keepNext/>
      </w:pPr>
      <w:r>
        <w:rPr>
          <w:rFonts w:ascii="Noto Sans CJK KR" w:hAnsi="Noto Sans CJK KR" w:eastAsia="Noto Sans CJK KR" w:cs="Noto Sans CJK KR"/>
          <w:color w:val="000000"/>
        </w:rPr>
        <w:t>조치 효과 판정</w:t>
      </w:r>
    </w:p>
    <w:p>
      <w:r>
        <w:rPr>
          <w:rFonts w:ascii="Noto Sans CJK KR" w:hAnsi="Noto Sans CJK KR" w:eastAsia="Noto Sans CJK KR" w:cs="Noto Sans CJK KR"/>
        </w:rPr>
        <w:t>조치 전후 자료는 같은 자산과 범위, 변경 이력과 새 수집 시각을 확인한다. A의 불필요한 접근이 제거되어도 취약점이 남으면 잔여 위험으로 기록한다. 현재 검증에서 Issue가 보이지 않는 이유가 필터·권한·범위 변경 때문인지도 점검한다. 사전 전후 자료만 해석했다면 “교육용 전후 증거 분석 완료, 고객 환경 효과 미검증”으로 적는다.</w:t>
      </w:r>
    </w:p>
    <w:p>
      <w:pPr>
        <w:pStyle w:val="Heading1"/>
        <w:keepNext/>
        <w:pageBreakBefore/>
      </w:pPr>
      <w:r>
        <w:rPr>
          <w:rFonts w:ascii="Noto Sans CJK KR" w:hAnsi="Noto Sans CJK KR" w:eastAsia="Noto Sans CJK KR" w:cs="Noto Sans CJK KR"/>
          <w:color w:val="000000"/>
        </w:rPr>
        <w:t>13 모범 결과보고와 고객 질문 대응</w:t>
      </w:r>
    </w:p>
    <w:p>
      <w:r>
        <w:rPr>
          <w:rFonts w:ascii="Noto Sans CJK KR" w:hAnsi="Noto Sans CJK KR" w:eastAsia="Noto Sans CJK KR" w:cs="Noto Sans CJK KR"/>
        </w:rPr>
        <w:t>예시는 상황 1을 해결해 8/8개를 확인하고, A·B 분석과 조치 계획을 고객 역할자가 수용했으나 실제 변경은 수행하지 않은 경우이다. 팀별 실제 결과가 다르면 해당 판정과 남은 검증을 그대로 발표한다.</w:t>
      </w:r>
    </w:p>
    <w:p>
      <w:pPr>
        <w:pStyle w:val="Heading2"/>
        <w:keepNext/>
      </w:pPr>
      <w:r>
        <w:rPr>
          <w:rFonts w:ascii="Noto Sans CJK KR" w:hAnsi="Noto Sans CJK KR" w:eastAsia="Noto Sans CJK KR" w:cs="Noto Sans CJK KR"/>
          <w:color w:val="000000"/>
        </w:rPr>
        <w:t>발표 1장 고객 목표와 범위</w:t>
      </w:r>
    </w:p>
    <w:p>
      <w:r>
        <w:rPr>
          <w:rFonts w:ascii="Noto Sans CJK KR" w:hAnsi="Noto Sans CJK KR" w:eastAsia="Noto Sans CJK KR" w:cs="Noto Sans CJK KR"/>
        </w:rPr>
        <w:t>“6주 뒤 서비스 확대에 앞서 주문 서비스에서 고객 데이터로 이어지는 위험의 우선순위와 실행 계획을 검증했습니다. 운영·비운영 2계정과 서울·싱가포르 범위의 핵심 자산 8개를 대조했습니다. 이번 결과는 합의한 서비스와 표본에 대한 검증이며 전체 환경이나 규제 적합성 인증을 의미하지 않습니다.”</w:t>
      </w:r>
    </w:p>
    <w:p>
      <w:pPr>
        <w:pStyle w:val="Heading2"/>
        <w:keepNext/>
      </w:pPr>
      <w:r>
        <w:rPr>
          <w:rFonts w:ascii="Noto Sans CJK KR" w:hAnsi="Noto Sans CJK KR" w:eastAsia="Noto Sans CJK KR" w:cs="Noto Sans CJK KR"/>
          <w:color w:val="000000"/>
        </w:rPr>
        <w:t>발표 2장 성공기준별 결과와 근거</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296"/>
        <w:gridCol w:w="7920"/>
      </w:tblGrid>
      <w:tr>
        <w:trPr>
          <w:cantSplit/>
          <w:tblHeader/>
        </w:trPr>
        <w:tc>
          <w:tcPr>
            <w:tcW w:type="dxa" w:w="864"/>
            <w:vAlign w:val="center"/>
            <w:tcMar>
              <w:top w:w="85" w:type="dxa"/>
              <w:bottom w:w="85" w:type="dxa"/>
              <w:left w:w="100" w:type="dxa"/>
              <w:right w:w="100" w:type="dxa"/>
            </w:tcMar>
            <w:shd w:fill="233F56"/>
          </w:tcPr>
          <w:p>
            <w:pPr>
              <w:spacing w:before="0" w:after="0" w:line="271" w:lineRule="auto"/>
              <w:jc w:val="center"/>
            </w:pPr>
            <w:r>
              <w:rPr>
                <w:rFonts w:ascii="Noto Sans CJK KR" w:hAnsi="Noto Sans CJK KR" w:eastAsia="Noto Sans CJK KR" w:cs="Noto Sans CJK KR"/>
                <w:b/>
                <w:color w:val="FFFFFF"/>
                <w:sz w:val="20"/>
              </w:rPr>
              <w:t>기준</w:t>
            </w:r>
          </w:p>
        </w:tc>
        <w:tc>
          <w:tcPr>
            <w:tcW w:type="dxa" w:w="1296"/>
            <w:vAlign w:val="center"/>
            <w:tcMar>
              <w:top w:w="85" w:type="dxa"/>
              <w:bottom w:w="85" w:type="dxa"/>
              <w:left w:w="100" w:type="dxa"/>
              <w:right w:w="100" w:type="dxa"/>
            </w:tcMar>
            <w:shd w:fill="233F56"/>
          </w:tcPr>
          <w:p>
            <w:pPr>
              <w:spacing w:before="0" w:after="0" w:line="271" w:lineRule="auto"/>
              <w:jc w:val="center"/>
            </w:pPr>
            <w:r>
              <w:rPr>
                <w:rFonts w:ascii="Noto Sans CJK KR" w:hAnsi="Noto Sans CJK KR" w:eastAsia="Noto Sans CJK KR" w:cs="Noto Sans CJK KR"/>
                <w:b/>
                <w:color w:val="FFFFFF"/>
                <w:sz w:val="20"/>
              </w:rPr>
              <w:t>예시 판정</w:t>
            </w:r>
          </w:p>
        </w:tc>
        <w:tc>
          <w:tcPr>
            <w:tcW w:type="dxa" w:w="7920"/>
            <w:vAlign w:val="center"/>
            <w:tcMar>
              <w:top w:w="85" w:type="dxa"/>
              <w:bottom w:w="85" w:type="dxa"/>
              <w:left w:w="100" w:type="dxa"/>
              <w:right w:w="100" w:type="dxa"/>
            </w:tcMar>
            <w:shd w:fill="233F56"/>
          </w:tcPr>
          <w:p>
            <w:pPr>
              <w:spacing w:before="0" w:after="0" w:line="271" w:lineRule="auto"/>
              <w:jc w:val="left"/>
            </w:pPr>
            <w:r>
              <w:rPr>
                <w:rFonts w:ascii="Noto Sans CJK KR" w:hAnsi="Noto Sans CJK KR" w:eastAsia="Noto Sans CJK KR" w:cs="Noto Sans CJK KR"/>
                <w:b/>
                <w:color w:val="FFFFFF"/>
                <w:sz w:val="20"/>
              </w:rPr>
              <w:t>발표할 근거</w:t>
            </w:r>
          </w:p>
        </w:tc>
      </w:tr>
      <w:tr>
        <w:trPr>
          <w:cantSplit/>
        </w:trPr>
        <w:tc>
          <w:tcPr>
            <w:tcW w:type="dxa" w:w="864"/>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S1</w:t>
            </w:r>
          </w:p>
        </w:tc>
        <w:tc>
          <w:tcPr>
            <w:tcW w:type="dxa" w:w="1296"/>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충족</w:t>
            </w:r>
          </w:p>
        </w:tc>
        <w:tc>
          <w:tcPr>
            <w:tcW w:type="dxa" w:w="792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리전 필터를 바로잡고 핵심 자산 8/8개를 대조했다. 실제 ID와 시각을 제시한다.</w:t>
            </w:r>
          </w:p>
        </w:tc>
      </w:tr>
      <w:tr>
        <w:trPr>
          <w:cantSplit/>
        </w:trPr>
        <w:tc>
          <w:tcPr>
            <w:tcW w:type="dxa" w:w="864"/>
            <w:vAlign w:val="center"/>
            <w:tcMar>
              <w:top w:w="85" w:type="dxa"/>
              <w:bottom w:w="85" w:type="dxa"/>
              <w:left w:w="100" w:type="dxa"/>
              <w:right w:w="100" w:type="dxa"/>
            </w:tcMar>
            <w:shd w:fill="F1F5F8"/>
          </w:tcPr>
          <w:p>
            <w:pPr>
              <w:spacing w:before="0" w:after="0" w:line="271" w:lineRule="auto"/>
              <w:jc w:val="center"/>
            </w:pPr>
            <w:r>
              <w:rPr>
                <w:rFonts w:ascii="Noto Sans CJK KR" w:hAnsi="Noto Sans CJK KR" w:eastAsia="Noto Sans CJK KR" w:cs="Noto Sans CJK KR"/>
                <w:b w:val="0"/>
                <w:color w:val="000000"/>
                <w:sz w:val="20"/>
              </w:rPr>
              <w:t>S2</w:t>
            </w:r>
          </w:p>
        </w:tc>
        <w:tc>
          <w:tcPr>
            <w:tcW w:type="dxa" w:w="1296"/>
            <w:vAlign w:val="center"/>
            <w:tcMar>
              <w:top w:w="85" w:type="dxa"/>
              <w:bottom w:w="85" w:type="dxa"/>
              <w:left w:w="100" w:type="dxa"/>
              <w:right w:w="100" w:type="dxa"/>
            </w:tcMar>
            <w:shd w:fill="F1F5F8"/>
          </w:tcPr>
          <w:p>
            <w:pPr>
              <w:spacing w:before="0" w:after="0" w:line="271" w:lineRule="auto"/>
              <w:jc w:val="center"/>
            </w:pPr>
            <w:r>
              <w:rPr>
                <w:rFonts w:ascii="Noto Sans CJK KR" w:hAnsi="Noto Sans CJK KR" w:eastAsia="Noto Sans CJK KR" w:cs="Noto Sans CJK KR"/>
                <w:b w:val="0"/>
                <w:color w:val="000000"/>
                <w:sz w:val="20"/>
              </w:rPr>
              <w:t>충족</w:t>
            </w:r>
          </w:p>
        </w:tc>
        <w:tc>
          <w:tcPr>
            <w:tcW w:type="dxa" w:w="7920"/>
            <w:vAlign w:val="center"/>
            <w:tcMar>
              <w:top w:w="85" w:type="dxa"/>
              <w:bottom w:w="85" w:type="dxa"/>
              <w:left w:w="100" w:type="dxa"/>
              <w:right w:w="100" w:type="dxa"/>
            </w:tcMar>
            <w:shd w:fill="F1F5F8"/>
          </w:tcPr>
          <w:p>
            <w:pPr>
              <w:spacing w:before="0" w:after="0" w:line="271" w:lineRule="auto"/>
              <w:jc w:val="left"/>
            </w:pPr>
            <w:r>
              <w:rPr>
                <w:rFonts w:ascii="Noto Sans CJK KR" w:hAnsi="Noto Sans CJK KR" w:eastAsia="Noto Sans CJK KR" w:cs="Noto Sans CJK KR"/>
                <w:b w:val="0"/>
                <w:color w:val="000000"/>
                <w:sz w:val="20"/>
              </w:rPr>
              <w:t>A는 외부 운영 API에서 고객 데이터 접근으로 이어지는 근거가 있어 B보다 우선한다. 실제 악용·유출은 확인되지 않았다.</w:t>
            </w:r>
          </w:p>
        </w:tc>
      </w:tr>
      <w:tr>
        <w:trPr>
          <w:cantSplit/>
        </w:trPr>
        <w:tc>
          <w:tcPr>
            <w:tcW w:type="dxa" w:w="864"/>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S3</w:t>
            </w:r>
          </w:p>
        </w:tc>
        <w:tc>
          <w:tcPr>
            <w:tcW w:type="dxa" w:w="1296"/>
            <w:vAlign w:val="center"/>
            <w:tcMar>
              <w:top w:w="85" w:type="dxa"/>
              <w:bottom w:w="85" w:type="dxa"/>
              <w:left w:w="100" w:type="dxa"/>
              <w:right w:w="100" w:type="dxa"/>
            </w:tcMar>
            <w:shd w:fill="FFFFFF"/>
          </w:tcPr>
          <w:p>
            <w:pPr>
              <w:spacing w:before="0" w:after="0" w:line="271" w:lineRule="auto"/>
              <w:jc w:val="center"/>
            </w:pPr>
            <w:r>
              <w:rPr>
                <w:rFonts w:ascii="Noto Sans CJK KR" w:hAnsi="Noto Sans CJK KR" w:eastAsia="Noto Sans CJK KR" w:cs="Noto Sans CJK KR"/>
                <w:b w:val="0"/>
                <w:color w:val="000000"/>
                <w:sz w:val="20"/>
              </w:rPr>
              <w:t>충족</w:t>
            </w:r>
          </w:p>
        </w:tc>
        <w:tc>
          <w:tcPr>
            <w:tcW w:type="dxa" w:w="7920"/>
            <w:vAlign w:val="center"/>
            <w:tcMar>
              <w:top w:w="85" w:type="dxa"/>
              <w:bottom w:w="85" w:type="dxa"/>
              <w:left w:w="100" w:type="dxa"/>
              <w:right w:w="100" w:type="dxa"/>
            </w:tcMar>
            <w:shd w:fill="FFFFFF"/>
          </w:tcPr>
          <w:p>
            <w:pPr>
              <w:spacing w:before="0" w:after="0" w:line="271" w:lineRule="auto"/>
              <w:jc w:val="left"/>
            </w:pPr>
            <w:r>
              <w:rPr>
                <w:rFonts w:ascii="Noto Sans CJK KR" w:hAnsi="Noto Sans CJK KR" w:eastAsia="Noto Sans CJK KR" w:cs="Noto Sans CJK KR"/>
                <w:b w:val="0"/>
                <w:color w:val="000000"/>
                <w:sz w:val="20"/>
              </w:rPr>
              <w:t>A·B의 담당자·기한·재검증 기준을 플랫폼 리드와 합의했다. 실제 조치 효과는 미검증으로 별도 관리한다.</w:t>
            </w:r>
          </w:p>
        </w:tc>
      </w:tr>
    </w:tbl>
    <w:p>
      <w:pPr>
        <w:spacing w:after="40" w:line="60" w:lineRule="exact"/>
      </w:pPr>
    </w:p>
    <w:p>
      <w:pPr>
        <w:pStyle w:val="Heading2"/>
        <w:keepNext/>
      </w:pPr>
      <w:r>
        <w:rPr>
          <w:rFonts w:ascii="Noto Sans CJK KR" w:hAnsi="Noto Sans CJK KR" w:eastAsia="Noto Sans CJK KR" w:cs="Noto Sans CJK KR"/>
          <w:color w:val="000000"/>
        </w:rPr>
        <w:t>발표 3장 실행 계획과 다음 결정</w:t>
      </w:r>
    </w:p>
    <w:p>
      <w:r>
        <w:rPr>
          <w:rFonts w:ascii="Noto Sans CJK KR" w:hAnsi="Noto Sans CJK KR" w:eastAsia="Noto Sans CJK KR" w:cs="Noto Sans CJK KR"/>
        </w:rPr>
        <w:t>“플랫폼 리드는 D5 변경 창에서 API 역할의 불필요한 데이터 접근 축소를 검토하고, 서비스 소유자는 패치를 진행합니다. 보안 리드는 D7에 접근과 잔여 위험을 재검증합니다. 개발 배치도 합의한 기한으로 조치합니다. CISO에게는 기술 결과 수용 여부와 남은 검증 일정을 확인하고, 결과를 바탕으로 도입 검토의 다음 단계를 합의하겠습니다.”</w:t>
      </w:r>
    </w:p>
    <w:p>
      <w:pPr>
        <w:pStyle w:val="Heading2"/>
        <w:keepNext/>
      </w:pPr>
      <w:r>
        <w:rPr>
          <w:rFonts w:ascii="Noto Sans CJK KR" w:hAnsi="Noto Sans CJK KR" w:eastAsia="Noto Sans CJK KR" w:cs="Noto Sans CJK KR"/>
          <w:color w:val="000000"/>
        </w:rPr>
        <w:t>고객 질문과 답변 예시</w:t>
      </w:r>
    </w:p>
    <w:p>
      <w:r>
        <w:rPr>
          <w:rFonts w:ascii="Noto Sans CJK KR" w:hAnsi="Noto Sans CJK KR" w:eastAsia="Noto Sans CJK KR" w:cs="Noto Sans CJK KR"/>
        </w:rPr>
        <w:t>기존 스캐너와 무엇이 다른가요? “취약점 결과에 외부 노출, 역할 권한, 고객 데이터와 서비스 중요도를 연결해 이번 조치 순서를 설명했습니다. 기존 도구 전체의 교체 효과나 조사 시간 절감은 이번에 측정하지 않았습니다.”</w:t>
      </w:r>
    </w:p>
    <w:p>
      <w:r>
        <w:rPr>
          <w:rFonts w:ascii="Noto Sans CJK KR" w:hAnsi="Noto Sans CJK KR" w:eastAsia="Noto Sans CJK KR" w:cs="Noto Sans CJK KR"/>
        </w:rPr>
        <w:t>S3 버킷이 비공개인데 왜 위험하죠? “버킷 공개 설정과 이 역할의 읽기 권한은 별개입니다. 이 API가 침해될 경우 그 권한이 고객 데이터 접근에 쓰일 가능성을 확인했습니다. 실제 악용이나 유출이 발생했다는 의미는 아닙니다.”</w:t>
      </w:r>
    </w:p>
    <w:p>
      <w:r>
        <w:rPr>
          <w:rFonts w:ascii="Noto Sans CJK KR" w:hAnsi="Noto Sans CJK KR" w:eastAsia="Noto Sans CJK KR" w:cs="Noto Sans CJK KR"/>
        </w:rPr>
        <w:t>이제 위험이 모두 해결됐나요? “조치 계획은 합의했으며 실제 변경 효과는 아직 검증하지 않았습니다. 같은 자산의 갱신된 접근·취약점 상태와 서비스 동작을 확인한 뒤 해결 여부를 판정하겠습니다.”</w:t>
      </w:r>
    </w:p>
    <w:p>
      <w:pPr>
        <w:pStyle w:val="Heading1"/>
        <w:pageBreakBefore/>
      </w:pPr>
      <w:r>
        <w:rPr>
          <w:color w:val="000000"/>
        </w:rPr>
        <w:t>부록 참고 이미지와 프로그램 배경</w:t>
      </w:r>
    </w:p>
    <w:p>
      <w:pPr>
        <w:pStyle w:val="Caption"/>
      </w:pPr>
      <w:r>
        <w:t>제공 자료 IMG_5131.png 중 POV Readiness 범위와 배경 슬라이드</w:t>
      </w:r>
    </w:p>
    <w:p>
      <w:pPr>
        <w:spacing w:line="240" w:lineRule="auto" w:after="100"/>
        <w:jc w:val="center"/>
      </w:pPr>
      <w:r>
        <w:drawing>
          <wp:inline xmlns:a="http://schemas.openxmlformats.org/drawingml/2006/main" xmlns:pic="http://schemas.openxmlformats.org/drawingml/2006/picture">
            <wp:extent cx="6217920" cy="3447820"/>
            <wp:docPr id="1" name="Picture 1" descr="Partner Wizard Deep Dive POV Readiness와 intended outcomes"/>
            <wp:cNvGraphicFramePr>
              <a:graphicFrameLocks noChangeAspect="1"/>
            </wp:cNvGraphicFramePr>
            <a:graphic>
              <a:graphicData uri="http://schemas.openxmlformats.org/drawingml/2006/picture">
                <pic:pic>
                  <pic:nvPicPr>
                    <pic:cNvPr id="0" name="IMG_5131.png"/>
                    <pic:cNvPicPr/>
                  </pic:nvPicPr>
                  <pic:blipFill>
                    <a:blip r:embed="rId11"/>
                    <a:srcRect t="14014" b="60400"/>
                    <a:stretch>
                      <a:fillRect/>
                    </a:stretch>
                  </pic:blipFill>
                  <pic:spPr>
                    <a:xfrm>
                      <a:off x="0" y="0"/>
                      <a:ext cx="6217920" cy="3447820"/>
                    </a:xfrm>
                    <a:prstGeom prst="rect"/>
                  </pic:spPr>
                </pic:pic>
              </a:graphicData>
            </a:graphic>
          </wp:inline>
        </w:drawing>
      </w:r>
    </w:p>
    <w:p>
      <w:pPr>
        <w:spacing w:line="240" w:lineRule="auto" w:after="100"/>
        <w:jc w:val="center"/>
      </w:pPr>
      <w:r>
        <w:drawing>
          <wp:inline xmlns:a="http://schemas.openxmlformats.org/drawingml/2006/main" xmlns:pic="http://schemas.openxmlformats.org/drawingml/2006/picture">
            <wp:extent cx="6217920" cy="3447820"/>
            <wp:docPr id="2" name="Picture 2" descr="POV Readiness Overview의 상황 문제 해결 범위와 지표"/>
            <wp:cNvGraphicFramePr>
              <a:graphicFrameLocks noChangeAspect="1"/>
            </wp:cNvGraphicFramePr>
            <a:graphic>
              <a:graphicData uri="http://schemas.openxmlformats.org/drawingml/2006/picture">
                <pic:pic>
                  <pic:nvPicPr>
                    <pic:cNvPr id="0" name="IMG_5131.png"/>
                    <pic:cNvPicPr/>
                  </pic:nvPicPr>
                  <pic:blipFill>
                    <a:blip r:embed="rId11"/>
                    <a:srcRect t="40186" b="34229"/>
                    <a:stretch>
                      <a:fillRect/>
                    </a:stretch>
                  </pic:blipFill>
                  <pic:spPr>
                    <a:xfrm>
                      <a:off x="0" y="0"/>
                      <a:ext cx="6217920" cy="3447820"/>
                    </a:xfrm>
                    <a:prstGeom prst="rect"/>
                  </pic:spPr>
                </pic:pic>
              </a:graphicData>
            </a:graphic>
          </wp:inline>
        </w:drawing>
      </w:r>
    </w:p>
    <w:p>
      <w:pPr>
        <w:pStyle w:val="Heading1"/>
        <w:pageBreakBefore/>
      </w:pPr>
      <w:r>
        <w:rPr>
          <w:color w:val="000000"/>
        </w:rPr>
        <w:t>부록 APJ 수행 단계 참고 이미지</w:t>
      </w:r>
    </w:p>
    <w:p>
      <w:pPr>
        <w:pStyle w:val="Caption"/>
      </w:pPr>
      <w:r>
        <w:t>제공 자료 IMG_5131.png 중 POV Readiness APJ approach</w:t>
      </w:r>
    </w:p>
    <w:p>
      <w:pPr>
        <w:spacing w:line="240" w:lineRule="auto" w:after="100"/>
        <w:jc w:val="center"/>
      </w:pPr>
      <w:r>
        <w:drawing>
          <wp:inline xmlns:a="http://schemas.openxmlformats.org/drawingml/2006/main" xmlns:pic="http://schemas.openxmlformats.org/drawingml/2006/picture">
            <wp:extent cx="6400800" cy="3020906"/>
            <wp:docPr id="3" name="Picture 3" descr="APJ approach 파트너 선정 필수 교육 실제 POV 2회 섀도잉 관찰 평가와 독립 수행"/>
            <wp:cNvGraphicFramePr>
              <a:graphicFrameLocks noChangeAspect="1"/>
            </wp:cNvGraphicFramePr>
            <a:graphic>
              <a:graphicData uri="http://schemas.openxmlformats.org/drawingml/2006/picture">
                <pic:pic>
                  <pic:nvPicPr>
                    <pic:cNvPr id="0" name="IMG_5131.png"/>
                    <pic:cNvPicPr/>
                  </pic:nvPicPr>
                  <pic:blipFill>
                    <a:blip r:embed="rId11"/>
                    <a:srcRect t="66357" b="11865"/>
                    <a:stretch>
                      <a:fillRect/>
                    </a:stretch>
                  </pic:blipFill>
                  <pic:spPr>
                    <a:xfrm>
                      <a:off x="0" y="0"/>
                      <a:ext cx="6400800" cy="3020906"/>
                    </a:xfrm>
                    <a:prstGeom prst="rect"/>
                  </pic:spPr>
                </pic:pic>
              </a:graphicData>
            </a:graphic>
          </wp:inline>
        </w:drawing>
      </w:r>
    </w:p>
    <w:p>
      <w:pPr>
        <w:pStyle w:val="Heading2"/>
      </w:pPr>
      <w:r>
        <w:rPr>
          <w:color w:val="000000"/>
        </w:rPr>
        <w:t>참고 모델의 운영 적용</w:t>
      </w:r>
    </w:p>
    <w:p>
      <w:r>
        <w:t>세부 절차는 파트너 선정, 담당 SE 지정, 조직별 킥오프, 필수 교육 이수, Wiz SE 주도 POV 2회 섀도잉, 파트너 주도 고객 POV와 Wiz 관찰, 수행 평가, 인정 후 독립 수행으로 이어진다. 본 기획서에서는 Dojo를 필수 교육과 실전 수행 사이의 모의 연습으로 배치한다.</w:t>
      </w:r>
    </w:p>
    <w:p>
      <w:r>
        <w:t>참고 자료의 ANZ 사례는 프로그램의 배경으로 활용한다. APJ 참가 파트너와 인원, 고객 규모별 적용 조건은 각 지역의 기회와 지원 역량을 기준으로 별도 확정한다. 참고 모델의 파트너 수를 이번 4팀 파일럿의 확정된 파트너 구성으로 해석하지 않는다.</w:t>
      </w:r>
    </w:p>
    <w:p>
      <w:r>
        <w:t>독립 수행 이후에도 파트너 AE와 SA/SE가 기회를 함께 관리하고, 복잡도가 승인 범위를 벗어나거나 기술 문제가 발생하면 사전에 합의한 Wiz 지원 경로를 사용한다. 4시간 Dojo의 합격 기준과 실제 고객 POV의 최종 인정 기준은 별도로 관리한다.</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Noto Sans CJK KR" w:hAnsi="Noto Sans CJK KR" w:eastAsia="Noto Sans CJK KR" w:cs="Noto Sans CJK KR"/>
        <w:color w:val="000000"/>
        <w:sz w:val="18"/>
      </w:rPr>
      <w:t xml:space="preserve"> / </w:t>
    </w: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0" w:lineRule="exact" w:after="120" w:before="0"/>
    </w:pPr>
    <w:rPr>
      <w:rFonts w:ascii="Noto Sans CJK KR" w:hAnsi="Noto Sans CJK KR" w:eastAsia="Noto Sans CJK KR" w:cs="Noto Sans CJK KR"/>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line="420" w:lineRule="exact"/>
      <w:outlineLvl w:val="0"/>
    </w:pPr>
    <w:rPr>
      <w:rFonts w:ascii="Noto Sans CJK KR" w:hAnsi="Noto Sans CJK KR" w:eastAsia="Noto Sans CJK KR" w:cs="Noto Sans CJK KR"/>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340" w:lineRule="exact"/>
      <w:outlineLvl w:val="1"/>
    </w:pPr>
    <w:rPr>
      <w:rFonts w:ascii="Noto Sans CJK KR" w:hAnsi="Noto Sans CJK KR" w:eastAsia="Noto Sans CJK KR" w:cs="Noto Sans CJK KR"/>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640" w:lineRule="exact"/>
      <w:contextualSpacing/>
    </w:pPr>
    <w:rPr>
      <w:rFonts w:ascii="Noto Sans CJK KR" w:hAnsi="Noto Sans CJK KR" w:eastAsia="Noto Sans CJK KR" w:cs="Noto Sans CJK KR"/>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00" w:lineRule="exact" w:after="120"/>
    </w:pPr>
    <w:rPr>
      <w:rFonts w:ascii="Noto Sans CJK KR" w:hAnsi="Noto Sans CJK KR" w:eastAsia="Noto Sans CJK KR" w:cs="Noto Sans CJK KR"/>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10" w:lineRule="exact" w:after="120"/>
      <w:contextualSpacing/>
    </w:pPr>
    <w:rPr>
      <w:rFonts w:ascii="Noto Sans CJK KR" w:hAnsi="Noto Sans CJK KR" w:eastAsia="Noto Sans CJK KR" w:cs="Noto Sans CJK KR"/>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10" w:lineRule="exact" w:after="120"/>
    </w:pPr>
    <w:rPr>
      <w:rFonts w:ascii="Noto Sans CJK KR" w:hAnsi="Noto Sans CJK KR" w:eastAsia="Noto Sans CJK KR" w:cs="Noto Sans CJK KR"/>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iz.io/academy/cloud-security/how-to-evaluate-wiz-faq" TargetMode="External"/><Relationship Id="rId11" Type="http://schemas.openxmlformats.org/officeDocument/2006/relationships/image" Target="media/image1.png"/><Relationship Id="rId12" Type="http://schemas.openxmlformats.org/officeDocument/2006/relationships/hyperlink" Target="https://www.wiz.io/blog/the-anatomy-of-a-toxic-combination-of-risk" TargetMode="External"/><Relationship Id="rId13" Type="http://schemas.openxmlformats.org/officeDocument/2006/relationships/hyperlink" Target="https://docs.aws.amazon.com/IAM/latest/UserGuide/reference_policies_evaluation-logic.html"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POV Dojo 인증 워크숍 기획서</dc:title>
  <dc:subject>APJ 파트너를 위한 4시간 POV 실습 워크숍</dc:subject>
  <dc:creator>Ian Lim</dc:creator>
  <cp:keywords>Wiz, Partner POV Dojo, APJ, POV, Workshop</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