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B1CD1" w14:textId="77777777" w:rsidR="00E751A5" w:rsidRDefault="00000000">
      <w:pPr>
        <w:pStyle w:val="Heading1"/>
      </w:pPr>
      <w:bookmarkStart w:id="0" w:name="X51b307422f1c73debee711226ef1b14dbd55f15"/>
      <w:r>
        <w:t>Certified Monotone Comparative Statics for Relational Potentials</w:t>
      </w:r>
    </w:p>
    <w:p w14:paraId="0E2D47BC" w14:textId="77777777" w:rsidR="00E751A5" w:rsidRDefault="00000000">
      <w:pPr>
        <w:pStyle w:val="Heading2"/>
      </w:pPr>
      <w:bookmarkStart w:id="1" w:name="an-auditable-theoremtocode-framework"/>
      <w:r>
        <w:t>An Auditable Theorem–to–Code Framework</w:t>
      </w:r>
    </w:p>
    <w:p w14:paraId="7A25A78C" w14:textId="77777777" w:rsidR="00E751A5" w:rsidRDefault="008E5FB0">
      <w:r>
        <w:rPr>
          <w:noProof/>
        </w:rPr>
        <w:pict w14:anchorId="12B50330">
          <v:rect id="_x0000_i1033" alt="" style="width:451.3pt;height:.05pt;mso-width-percent:0;mso-height-percent:0;mso-width-percent:0;mso-height-percent:0" o:hralign="center" o:hrstd="t" o:hr="t"/>
        </w:pict>
      </w:r>
    </w:p>
    <w:p w14:paraId="1199A52A" w14:textId="77777777" w:rsidR="00E751A5" w:rsidRDefault="00000000">
      <w:pPr>
        <w:pStyle w:val="Heading1"/>
      </w:pPr>
      <w:bookmarkStart w:id="2" w:name="abstract"/>
      <w:bookmarkEnd w:id="0"/>
      <w:bookmarkEnd w:id="1"/>
      <w:r>
        <w:t>Abstract</w:t>
      </w:r>
    </w:p>
    <w:p w14:paraId="6E0FBC53" w14:textId="77777777" w:rsidR="00B02BB7" w:rsidRPr="00B02BB7" w:rsidRDefault="00B02BB7" w:rsidP="00B02BB7">
      <w:pPr>
        <w:spacing w:before="100" w:beforeAutospacing="1" w:after="100" w:afterAutospacing="1"/>
        <w:rPr>
          <w:rFonts w:ascii="Cambria" w:eastAsia="Times New Roman" w:hAnsi="Cambria" w:cs="Times New Roman"/>
          <w:lang w:val="en-GB" w:eastAsia="en-GB"/>
        </w:rPr>
      </w:pPr>
      <w:r w:rsidRPr="00B02BB7">
        <w:rPr>
          <w:rFonts w:ascii="Cambria" w:eastAsia="Times New Roman" w:hAnsi="Cambria" w:cs="Times New Roman"/>
          <w:lang w:val="en-GB" w:eastAsia="en-GB"/>
        </w:rPr>
        <w:t>This paper develops a mathematically rigorous framework for deriving local monotone comparative statics from relational potential models while maintaining explicit traceability between mathematical statements and computational implementation. Let a relational potential</w:t>
      </w:r>
    </w:p>
    <w:p w14:paraId="6CB8BA8E" w14:textId="77777777" w:rsidR="00B02BB7" w:rsidRPr="00B02BB7" w:rsidRDefault="00B02BB7" w:rsidP="00B02BB7">
      <w:pPr>
        <w:spacing w:after="0"/>
        <w:rPr>
          <w:rFonts w:ascii="Cambria" w:eastAsia="Times New Roman" w:hAnsi="Cambria" w:cs="Times New Roman"/>
          <w:lang w:val="en-GB" w:eastAsia="en-GB"/>
        </w:rPr>
      </w:pPr>
      <m:oMathPara>
        <m:oMath>
          <m:r>
            <m:rPr>
              <m:sty m:val="p"/>
            </m:rPr>
            <w:rPr>
              <w:rFonts w:ascii="Cambria Math" w:eastAsia="Times New Roman" w:hAnsi="Cambria Math" w:cs="Times New Roman"/>
              <w:lang w:val="en-GB" w:eastAsia="en-GB"/>
            </w:rPr>
            <m:t>Φ</m:t>
          </m:r>
          <m:r>
            <w:rPr>
              <w:rFonts w:ascii="Cambria Math" w:eastAsia="Times New Roman" w:hAnsi="Cambria Math" w:cs="Times New Roman"/>
              <w:lang w:val="en-GB" w:eastAsia="en-GB"/>
            </w:rPr>
            <m:t>(w,θ)</m:t>
          </m:r>
          <m:r>
            <w:rPr>
              <w:rFonts w:ascii="Cambria" w:eastAsia="Times New Roman" w:hAnsi="Cambria" w:cs="Times New Roman"/>
              <w:i/>
              <w:lang w:val="en-GB" w:eastAsia="en-GB"/>
            </w:rPr>
            <w:br/>
          </m:r>
        </m:oMath>
      </m:oMathPara>
    </w:p>
    <w:p w14:paraId="05D9C3EA" w14:textId="77777777" w:rsidR="00B02BB7" w:rsidRPr="00B02BB7" w:rsidRDefault="00B02BB7" w:rsidP="00B02BB7">
      <w:pPr>
        <w:spacing w:before="100" w:beforeAutospacing="1" w:after="100" w:afterAutospacing="1"/>
        <w:rPr>
          <w:rFonts w:ascii="Cambria" w:eastAsia="Times New Roman" w:hAnsi="Cambria" w:cs="Times New Roman"/>
          <w:lang w:val="en-GB" w:eastAsia="en-GB"/>
        </w:rPr>
      </w:pPr>
      <w:r w:rsidRPr="00B02BB7">
        <w:rPr>
          <w:rFonts w:ascii="Cambria" w:eastAsia="Times New Roman" w:hAnsi="Cambria" w:cs="Times New Roman"/>
          <w:lang w:val="en-GB" w:eastAsia="en-GB"/>
        </w:rPr>
        <w:t xml:space="preserve">be defined on an admissible domain </w:t>
      </w:r>
      <m:oMath>
        <m:sSub>
          <m:sSubPr>
            <m:ctrlPr>
              <w:rPr>
                <w:rFonts w:ascii="Cambria Math" w:eastAsia="Times New Roman" w:hAnsi="Cambria Math" w:cs="Times New Roman"/>
                <w:lang w:val="en-GB" w:eastAsia="en-GB"/>
              </w:rPr>
            </m:ctrlPr>
          </m:sSubPr>
          <m:e>
            <m:r>
              <m:rPr>
                <m:sty m:val="p"/>
              </m:rPr>
              <w:rPr>
                <w:rFonts w:ascii="Cambria Math" w:eastAsia="Times New Roman" w:hAnsi="Cambria Math" w:cs="Times New Roman"/>
                <w:lang w:val="en-GB" w:eastAsia="en-GB"/>
              </w:rPr>
              <m:t>Ω</m:t>
            </m:r>
          </m:e>
          <m:sub>
            <m:r>
              <m:rPr>
                <m:sty m:val="p"/>
              </m:rPr>
              <w:rPr>
                <w:rFonts w:ascii="Cambria Math" w:eastAsia="Times New Roman" w:hAnsi="Cambria Math" w:cs="Times New Roman"/>
                <w:lang w:val="en-GB" w:eastAsia="en-GB"/>
              </w:rPr>
              <m:t>Φ</m:t>
            </m:r>
          </m:sub>
        </m:sSub>
        <m:r>
          <w:rPr>
            <w:rFonts w:ascii="Cambria Math" w:eastAsia="Times New Roman" w:hAnsi="Cambria Math" w:cs="Times New Roman"/>
            <w:lang w:val="en-GB" w:eastAsia="en-GB"/>
          </w:rPr>
          <m:t>⊆W×</m:t>
        </m:r>
        <m:r>
          <m:rPr>
            <m:sty m:val="p"/>
          </m:rPr>
          <w:rPr>
            <w:rFonts w:ascii="Cambria Math" w:eastAsia="Times New Roman" w:hAnsi="Cambria Math" w:cs="Times New Roman"/>
            <w:lang w:val="en-GB" w:eastAsia="en-GB"/>
          </w:rPr>
          <m:t>Θ</m:t>
        </m:r>
        <m:r>
          <w:rPr>
            <w:rFonts w:ascii="Cambria Math" w:eastAsia="Times New Roman" w:hAnsi="Cambria Math" w:cs="Times New Roman"/>
            <w:lang w:val="en-GB" w:eastAsia="en-GB"/>
          </w:rPr>
          <m:t>⊆</m:t>
        </m:r>
        <m:sSup>
          <m:sSupPr>
            <m:ctrlPr>
              <w:rPr>
                <w:rFonts w:ascii="Cambria Math" w:eastAsia="Times New Roman" w:hAnsi="Cambria Math" w:cs="Times New Roman"/>
                <w:lang w:val="en-GB" w:eastAsia="en-GB"/>
              </w:rPr>
            </m:ctrlPr>
          </m:sSupPr>
          <m:e>
            <m:r>
              <m:rPr>
                <m:scr m:val="double-struck"/>
                <m:sty m:val="p"/>
              </m:rPr>
              <w:rPr>
                <w:rFonts w:ascii="Cambria Math" w:eastAsia="Times New Roman" w:hAnsi="Cambria Math" w:cs="Times New Roman"/>
                <w:lang w:val="en-GB" w:eastAsia="en-GB"/>
              </w:rPr>
              <m:t>R</m:t>
            </m:r>
          </m:e>
          <m:sup>
            <m:r>
              <w:rPr>
                <w:rFonts w:ascii="Cambria Math" w:eastAsia="Times New Roman" w:hAnsi="Cambria Math" w:cs="Times New Roman"/>
                <w:lang w:val="en-GB" w:eastAsia="en-GB"/>
              </w:rPr>
              <m:t>n</m:t>
            </m:r>
          </m:sup>
        </m:sSup>
        <m:r>
          <w:rPr>
            <w:rFonts w:ascii="Cambria Math" w:eastAsia="Times New Roman" w:hAnsi="Cambria Math" w:cs="Times New Roman"/>
            <w:lang w:val="en-GB" w:eastAsia="en-GB"/>
          </w:rPr>
          <m:t>×</m:t>
        </m:r>
        <m:sSup>
          <m:sSupPr>
            <m:ctrlPr>
              <w:rPr>
                <w:rFonts w:ascii="Cambria Math" w:eastAsia="Times New Roman" w:hAnsi="Cambria Math" w:cs="Times New Roman"/>
                <w:lang w:val="en-GB" w:eastAsia="en-GB"/>
              </w:rPr>
            </m:ctrlPr>
          </m:sSupPr>
          <m:e>
            <m:r>
              <m:rPr>
                <m:scr m:val="double-struck"/>
                <m:sty m:val="p"/>
              </m:rPr>
              <w:rPr>
                <w:rFonts w:ascii="Cambria Math" w:eastAsia="Times New Roman" w:hAnsi="Cambria Math" w:cs="Times New Roman"/>
                <w:lang w:val="en-GB" w:eastAsia="en-GB"/>
              </w:rPr>
              <m:t>R</m:t>
            </m:r>
          </m:e>
          <m:sup>
            <m:r>
              <w:rPr>
                <w:rFonts w:ascii="Cambria Math" w:eastAsia="Times New Roman" w:hAnsi="Cambria Math" w:cs="Times New Roman"/>
                <w:lang w:val="en-GB" w:eastAsia="en-GB"/>
              </w:rPr>
              <m:t>n</m:t>
            </m:r>
          </m:sup>
        </m:sSup>
      </m:oMath>
      <w:r w:rsidRPr="00B02BB7">
        <w:rPr>
          <w:rFonts w:ascii="Cambria" w:eastAsia="Times New Roman" w:hAnsi="Cambria" w:cs="Times New Roman"/>
          <w:lang w:val="en-GB" w:eastAsia="en-GB"/>
        </w:rPr>
        <w:t>. Equilibria are defined by the stationarity condition</w:t>
      </w:r>
    </w:p>
    <w:p w14:paraId="0E3D91E5" w14:textId="77777777" w:rsidR="00B02BB7" w:rsidRPr="00B02BB7" w:rsidRDefault="00B02BB7" w:rsidP="00B02BB7">
      <w:pPr>
        <w:spacing w:after="0"/>
        <w:rPr>
          <w:rFonts w:ascii="Cambria" w:eastAsia="Times New Roman" w:hAnsi="Cambria" w:cs="Times New Roman"/>
          <w:lang w:val="en-GB" w:eastAsia="en-GB"/>
        </w:rPr>
      </w:pPr>
      <m:oMathPara>
        <m:oMath>
          <m:r>
            <w:rPr>
              <w:rFonts w:ascii="Cambria Math" w:eastAsia="Times New Roman" w:hAnsi="Cambria Math" w:cs="Times New Roman"/>
              <w:lang w:val="en-GB" w:eastAsia="en-GB"/>
            </w:rPr>
            <m:t>F(w,θ)=</m:t>
          </m:r>
          <m:sSub>
            <m:sSubPr>
              <m:ctrlPr>
                <w:rPr>
                  <w:rFonts w:ascii="Cambria Math" w:eastAsia="Times New Roman" w:hAnsi="Cambria Math" w:cs="Times New Roman"/>
                  <w:lang w:val="en-GB" w:eastAsia="en-GB"/>
                </w:rPr>
              </m:ctrlPr>
            </m:sSubPr>
            <m:e>
              <m:r>
                <m:rPr>
                  <m:sty m:val="p"/>
                </m:rPr>
                <w:rPr>
                  <w:rFonts w:ascii="Cambria Math" w:eastAsia="Times New Roman" w:hAnsi="Cambria Math" w:cs="Times New Roman"/>
                  <w:lang w:val="en-GB" w:eastAsia="en-GB"/>
                </w:rPr>
                <m:t>∇</m:t>
              </m:r>
            </m:e>
            <m:sub>
              <m:r>
                <w:rPr>
                  <w:rFonts w:ascii="Cambria Math" w:eastAsia="Times New Roman" w:hAnsi="Cambria Math" w:cs="Times New Roman"/>
                  <w:lang w:val="en-GB" w:eastAsia="en-GB"/>
                </w:rPr>
                <m:t>w</m:t>
              </m:r>
            </m:sub>
          </m:sSub>
          <m:r>
            <m:rPr>
              <m:sty m:val="p"/>
            </m:rPr>
            <w:rPr>
              <w:rFonts w:ascii="Cambria Math" w:eastAsia="Times New Roman" w:hAnsi="Cambria Math" w:cs="Times New Roman"/>
              <w:lang w:val="en-GB" w:eastAsia="en-GB"/>
            </w:rPr>
            <m:t>Φ</m:t>
          </m:r>
          <m:r>
            <w:rPr>
              <w:rFonts w:ascii="Cambria Math" w:eastAsia="Times New Roman" w:hAnsi="Cambria Math" w:cs="Times New Roman"/>
              <w:lang w:val="en-GB" w:eastAsia="en-GB"/>
            </w:rPr>
            <m:t>(w,θ)=0.</m:t>
          </m:r>
          <m:r>
            <w:rPr>
              <w:rFonts w:ascii="Cambria" w:eastAsia="Times New Roman" w:hAnsi="Cambria" w:cs="Times New Roman"/>
              <w:i/>
              <w:lang w:val="en-GB" w:eastAsia="en-GB"/>
            </w:rPr>
            <w:br/>
          </m:r>
        </m:oMath>
      </m:oMathPara>
    </w:p>
    <w:p w14:paraId="6B12C645" w14:textId="77777777" w:rsidR="00B02BB7" w:rsidRPr="00B02BB7" w:rsidRDefault="00B02BB7" w:rsidP="00B02BB7">
      <w:pPr>
        <w:spacing w:before="100" w:beforeAutospacing="1" w:after="100" w:afterAutospacing="1"/>
        <w:rPr>
          <w:rFonts w:ascii="Cambria" w:eastAsia="Times New Roman" w:hAnsi="Cambria" w:cs="Times New Roman"/>
          <w:lang w:val="en-GB" w:eastAsia="en-GB"/>
        </w:rPr>
      </w:pPr>
      <w:r w:rsidRPr="00B02BB7">
        <w:rPr>
          <w:rFonts w:ascii="Cambria" w:eastAsia="Times New Roman" w:hAnsi="Cambria" w:cs="Times New Roman"/>
          <w:lang w:val="en-GB" w:eastAsia="en-GB"/>
        </w:rPr>
        <w:t xml:space="preserve">Under standard regularity and nondegeneracy assumptions, the Implicit Function Theorem yields locally unique equilibrium branches </w:t>
      </w:r>
      <m:oMath>
        <m:sSup>
          <m:sSupPr>
            <m:ctrlPr>
              <w:rPr>
                <w:rFonts w:ascii="Cambria Math" w:eastAsia="Times New Roman" w:hAnsi="Cambria Math" w:cs="Times New Roman"/>
                <w:lang w:val="en-GB" w:eastAsia="en-GB"/>
              </w:rPr>
            </m:ctrlPr>
          </m:sSupPr>
          <m:e>
            <m:r>
              <w:rPr>
                <w:rFonts w:ascii="Cambria Math" w:eastAsia="Times New Roman" w:hAnsi="Cambria Math" w:cs="Times New Roman"/>
                <w:lang w:val="en-GB" w:eastAsia="en-GB"/>
              </w:rPr>
              <m:t>w</m:t>
            </m:r>
          </m:e>
          <m:sup>
            <m:r>
              <w:rPr>
                <w:rFonts w:ascii="Cambria Math" w:eastAsia="Times New Roman" w:hAnsi="Cambria Math" w:cs="Times New Roman"/>
                <w:lang w:val="en-GB" w:eastAsia="en-GB"/>
              </w:rPr>
              <m:t>*</m:t>
            </m:r>
          </m:sup>
        </m:sSup>
        <m:r>
          <w:rPr>
            <w:rFonts w:ascii="Cambria Math" w:eastAsia="Times New Roman" w:hAnsi="Cambria Math" w:cs="Times New Roman"/>
            <w:lang w:val="en-GB" w:eastAsia="en-GB"/>
          </w:rPr>
          <m:t>(θ)</m:t>
        </m:r>
      </m:oMath>
      <w:r w:rsidRPr="00B02BB7">
        <w:rPr>
          <w:rFonts w:ascii="Cambria" w:eastAsia="Times New Roman" w:hAnsi="Cambria" w:cs="Times New Roman"/>
          <w:lang w:val="en-GB" w:eastAsia="en-GB"/>
        </w:rPr>
        <w:t>.</w:t>
      </w:r>
    </w:p>
    <w:p w14:paraId="4A4D3B3A" w14:textId="77777777" w:rsidR="00B02BB7" w:rsidRPr="00B02BB7" w:rsidRDefault="00B02BB7" w:rsidP="00B02BB7">
      <w:pPr>
        <w:spacing w:before="100" w:beforeAutospacing="1" w:after="100" w:afterAutospacing="1"/>
        <w:rPr>
          <w:rFonts w:ascii="Cambria" w:eastAsia="Times New Roman" w:hAnsi="Cambria" w:cs="Times New Roman"/>
          <w:lang w:val="en-GB" w:eastAsia="en-GB"/>
        </w:rPr>
      </w:pPr>
      <w:r w:rsidRPr="00B02BB7">
        <w:rPr>
          <w:rFonts w:ascii="Cambria" w:eastAsia="Times New Roman" w:hAnsi="Cambria" w:cs="Times New Roman"/>
          <w:lang w:val="en-GB" w:eastAsia="en-GB"/>
        </w:rPr>
        <w:t>The principal result is a local weak ordering theorem: if parameters increase coordinatewise and the connecting parameter segment remains inside a certified admissible region on which the equilibrium response Jacobian is entrywise nonnegative, then the corresponding equilibria are weakly ordered in the same direction. The proof proceeds through a layered theorem pipeline linking structural properties of the Hessian of the potential to positivity of the equilibrium response operator.</w:t>
      </w:r>
    </w:p>
    <w:p w14:paraId="0FE60B25" w14:textId="77777777" w:rsidR="00B02BB7" w:rsidRPr="00B02BB7" w:rsidRDefault="00B02BB7" w:rsidP="00B02BB7">
      <w:pPr>
        <w:spacing w:before="100" w:beforeAutospacing="1" w:after="100" w:afterAutospacing="1"/>
        <w:rPr>
          <w:rFonts w:ascii="Cambria" w:eastAsia="Times New Roman" w:hAnsi="Cambria" w:cs="Times New Roman"/>
          <w:lang w:val="en-GB" w:eastAsia="en-GB"/>
        </w:rPr>
      </w:pPr>
      <w:r w:rsidRPr="00B02BB7">
        <w:rPr>
          <w:rFonts w:ascii="Cambria" w:eastAsia="Times New Roman" w:hAnsi="Cambria" w:cs="Times New Roman"/>
          <w:lang w:val="en-GB" w:eastAsia="en-GB"/>
        </w:rPr>
        <w:t>To illustrate the practical implications of the framework, we discuss its application to the Affinity platform, a system designed to model and guide the evolution of relational networks. In contrast to conventional predictive recommendation systems, which provide probabilistic estimates of user behaviour, the present framework provides structural guarantees about equilibrium responses to interventions. When the certification conditions are satisfied, interventions that increase structural opportunity cannot reduce predicted relational connectivity.</w:t>
      </w:r>
    </w:p>
    <w:p w14:paraId="07465393" w14:textId="77777777" w:rsidR="00B02BB7" w:rsidRPr="00B02BB7" w:rsidRDefault="00B02BB7" w:rsidP="00B02BB7">
      <w:pPr>
        <w:spacing w:before="100" w:beforeAutospacing="1" w:after="100" w:afterAutospacing="1"/>
        <w:rPr>
          <w:rFonts w:ascii="Cambria" w:eastAsia="Times New Roman" w:hAnsi="Cambria" w:cs="Times New Roman"/>
          <w:lang w:val="en-GB" w:eastAsia="en-GB"/>
        </w:rPr>
      </w:pPr>
      <w:r w:rsidRPr="00B02BB7">
        <w:rPr>
          <w:rFonts w:ascii="Cambria" w:eastAsia="Times New Roman" w:hAnsi="Cambria" w:cs="Times New Roman"/>
          <w:b/>
          <w:bCs/>
          <w:lang w:val="en-GB" w:eastAsia="en-GB"/>
        </w:rPr>
        <w:t>Keywords:</w:t>
      </w:r>
      <w:r w:rsidRPr="00B02BB7">
        <w:rPr>
          <w:rFonts w:ascii="Cambria" w:eastAsia="Times New Roman" w:hAnsi="Cambria" w:cs="Times New Roman"/>
          <w:lang w:val="en-GB" w:eastAsia="en-GB"/>
        </w:rPr>
        <w:t xml:space="preserve"> comparative statics; relational potentials; monotone comparative statics; equilibrium models; network systems; computational verification.</w:t>
      </w:r>
    </w:p>
    <w:p w14:paraId="0F442650" w14:textId="77777777" w:rsidR="00E751A5" w:rsidRDefault="008E5FB0">
      <w:r>
        <w:rPr>
          <w:noProof/>
        </w:rPr>
        <w:lastRenderedPageBreak/>
        <w:pict w14:anchorId="2534FCB8">
          <v:rect id="_x0000_i1032" alt="" style="width:451.3pt;height:.05pt;mso-width-percent:0;mso-height-percent:0;mso-width-percent:0;mso-height-percent:0" o:hralign="center" o:hrstd="t" o:hr="t"/>
        </w:pict>
      </w:r>
    </w:p>
    <w:p w14:paraId="447E80DC" w14:textId="77777777" w:rsidR="00E751A5" w:rsidRDefault="00000000">
      <w:pPr>
        <w:pStyle w:val="Heading1"/>
      </w:pPr>
      <w:bookmarkStart w:id="3" w:name="introduction"/>
      <w:bookmarkEnd w:id="2"/>
      <w:r>
        <w:t>1. Introduction</w:t>
      </w:r>
    </w:p>
    <w:p w14:paraId="442261CC" w14:textId="77777777" w:rsidR="00E751A5" w:rsidRDefault="00000000">
      <w:pPr>
        <w:pStyle w:val="FirstParagraph"/>
      </w:pPr>
      <w:r>
        <w:t>Comparative statics investigates how equilibrium states respond to parameter variation.</w:t>
      </w:r>
      <w:r>
        <w:br/>
        <w:t>In potential-based equilibrium models, equilibrium responses can be analysed using derivatives of equilibrium branches with respect to parameters.</w:t>
      </w:r>
    </w:p>
    <w:p w14:paraId="760E9BD5" w14:textId="77777777" w:rsidR="00E751A5" w:rsidRDefault="00000000">
      <w:pPr>
        <w:pStyle w:val="BodyText"/>
      </w:pPr>
      <w:r>
        <w:t>When the equilibrium response operator is entrywise nonnegative, parameter increases propagate monotonically to equilibrium states.</w:t>
      </w:r>
    </w:p>
    <w:p w14:paraId="297D3A95" w14:textId="77777777" w:rsidR="00E751A5" w:rsidRDefault="00000000">
      <w:pPr>
        <w:pStyle w:val="BodyText"/>
      </w:pPr>
      <w:r>
        <w:t>The framework proceeds through a sequence of operator-theoretic results culminating in a local weak ordering theorem.</w:t>
      </w:r>
    </w:p>
    <w:p w14:paraId="443D37E0" w14:textId="77777777" w:rsidR="00E751A5" w:rsidRDefault="008E5FB0">
      <w:r>
        <w:rPr>
          <w:noProof/>
        </w:rPr>
        <w:pict w14:anchorId="7766C100">
          <v:rect id="_x0000_i1031" alt="" style="width:451.3pt;height:.05pt;mso-width-percent:0;mso-height-percent:0;mso-width-percent:0;mso-height-percent:0" o:hralign="center" o:hrstd="t" o:hr="t"/>
        </w:pict>
      </w:r>
    </w:p>
    <w:p w14:paraId="7B956CBB" w14:textId="77777777" w:rsidR="00E751A5" w:rsidRDefault="00000000">
      <w:pPr>
        <w:pStyle w:val="Heading1"/>
      </w:pPr>
      <w:bookmarkStart w:id="4" w:name="framework"/>
      <w:bookmarkEnd w:id="3"/>
      <w:r>
        <w:t>2. Framework</w:t>
      </w:r>
    </w:p>
    <w:p w14:paraId="2E793267" w14:textId="77777777" w:rsidR="00E751A5" w:rsidRDefault="00000000">
      <w:pPr>
        <w:pStyle w:val="FirstParagraph"/>
      </w:pPr>
      <w:r>
        <w:t>Let</w:t>
      </w:r>
    </w:p>
    <w:p w14:paraId="7A8F659E" w14:textId="77777777" w:rsidR="00E751A5" w:rsidRDefault="00000000">
      <w:pPr>
        <w:pStyle w:val="BodyText"/>
      </w:pPr>
      <m:oMath>
        <m: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denote the state space and</w:t>
      </w:r>
      <w:r>
        <w:br/>
      </w:r>
      <m:oMath>
        <m:r>
          <w:rPr>
            <w:rFonts w:ascii="Cambria Math" w:hAnsi="Cambria Math"/>
          </w:rPr>
          <m:t>Θ</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denote the parameter space.</w:t>
      </w:r>
    </w:p>
    <w:p w14:paraId="6A3A542F" w14:textId="77777777" w:rsidR="00E751A5" w:rsidRDefault="00000000">
      <w:pPr>
        <w:pStyle w:val="BodyText"/>
      </w:pPr>
      <w:r>
        <w:t xml:space="preserve">A </w:t>
      </w:r>
      <w:r>
        <w:rPr>
          <w:b/>
          <w:bCs/>
        </w:rPr>
        <w:t>relational potential</w:t>
      </w:r>
      <w:r>
        <w:t xml:space="preserve"> is a function</w:t>
      </w:r>
    </w:p>
    <w:p w14:paraId="5ABC7D98" w14:textId="77777777" w:rsidR="00E751A5" w:rsidRDefault="00000000">
      <w:pPr>
        <w:pStyle w:val="BodyText"/>
      </w:pPr>
      <m:oMathPara>
        <m:oMathParaPr>
          <m:jc m:val="center"/>
        </m:oMathParaPr>
        <m:oMath>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Φ</m:t>
              </m:r>
            </m:sub>
          </m:sSub>
          <m:r>
            <m:rPr>
              <m:scr m:val="double-struck"/>
              <m:sty m:val="p"/>
            </m:rPr>
            <w:rPr>
              <w:rFonts w:ascii="Cambria Math" w:hAnsi="Cambria Math"/>
            </w:rPr>
            <m:t>→R,</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Φ</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Θ</m:t>
          </m:r>
          <m:r>
            <m:rPr>
              <m:sty m:val="p"/>
            </m:rPr>
            <w:rPr>
              <w:rFonts w:ascii="Cambria Math" w:hAnsi="Cambria Math"/>
            </w:rPr>
            <m:t>.</m:t>
          </m:r>
        </m:oMath>
      </m:oMathPara>
    </w:p>
    <w:p w14:paraId="0C2B06FD" w14:textId="77777777" w:rsidR="00E751A5" w:rsidRDefault="00000000">
      <w:pPr>
        <w:pStyle w:val="FirstParagraph"/>
      </w:pPr>
      <w:r>
        <w:t>Define the equilibrium operator</w:t>
      </w:r>
    </w:p>
    <w:p w14:paraId="69B7D86C" w14:textId="77777777" w:rsidR="00E751A5"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θ</m:t>
              </m:r>
            </m:e>
          </m:d>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m:rPr>
                  <m:sty m:val="p"/>
                </m:rPr>
                <w:rPr>
                  <w:rFonts w:ascii="Cambria Math" w:hAnsi="Cambria Math"/>
                </w:rPr>
                <m:t>∇</m:t>
              </m:r>
            </m:e>
            <m:sub>
              <m:r>
                <w:rPr>
                  <w:rFonts w:ascii="Cambria Math" w:hAnsi="Cambria Math"/>
                </w:rPr>
                <m:t>w</m:t>
              </m:r>
            </m:sub>
          </m:sSub>
          <m:r>
            <w:rPr>
              <w:rFonts w:ascii="Cambria Math" w:hAnsi="Cambria Math"/>
            </w:rPr>
            <m:t>Φ</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θ</m:t>
              </m:r>
            </m:e>
          </m:d>
          <m:r>
            <m:rPr>
              <m:sty m:val="p"/>
            </m:rPr>
            <w:rPr>
              <w:rFonts w:ascii="Cambria Math" w:hAnsi="Cambria Math"/>
            </w:rPr>
            <m:t>.</m:t>
          </m:r>
        </m:oMath>
      </m:oMathPara>
    </w:p>
    <w:p w14:paraId="4CF69022" w14:textId="77777777" w:rsidR="00E751A5" w:rsidRDefault="00000000">
      <w:pPr>
        <w:pStyle w:val="FirstParagraph"/>
      </w:pPr>
      <w:r>
        <w:t xml:space="preserve">An equilibrium </w:t>
      </w: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d>
          <m:dPr>
            <m:ctrlPr>
              <w:rPr>
                <w:rFonts w:ascii="Cambria Math" w:hAnsi="Cambria Math"/>
              </w:rPr>
            </m:ctrlPr>
          </m:dPr>
          <m:e>
            <m:r>
              <w:rPr>
                <w:rFonts w:ascii="Cambria Math" w:hAnsi="Cambria Math"/>
              </w:rPr>
              <m:t>θ</m:t>
            </m:r>
          </m:e>
        </m:d>
      </m:oMath>
      <w:r>
        <w:t xml:space="preserve"> satisfies</w:t>
      </w:r>
    </w:p>
    <w:p w14:paraId="2A044D95" w14:textId="77777777" w:rsidR="00E751A5" w:rsidRDefault="00000000">
      <w:pPr>
        <w:pStyle w:val="BodyText"/>
      </w:pPr>
      <m:oMathPara>
        <m:oMathParaPr>
          <m:jc m:val="center"/>
        </m:oMathParaPr>
        <m:oMath>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w</m:t>
                  </m:r>
                </m:e>
                <m:sup>
                  <m:r>
                    <m:rPr>
                      <m:sty m:val="p"/>
                    </m:rPr>
                    <w:rPr>
                      <w:rFonts w:ascii="Cambria Math" w:hAnsi="Cambria Math"/>
                    </w:rPr>
                    <m:t>*</m:t>
                  </m:r>
                </m:sup>
              </m:sSup>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02210FD2" w14:textId="77777777" w:rsidR="00E751A5" w:rsidRDefault="00000000">
      <w:pPr>
        <w:pStyle w:val="FirstParagraph"/>
      </w:pPr>
      <w:r>
        <w:t>Define derivative objects</w:t>
      </w:r>
    </w:p>
    <w:p w14:paraId="496891BA" w14:textId="77777777" w:rsidR="00E751A5" w:rsidRDefault="00000000">
      <w:pPr>
        <w:pStyle w:val="BodyText"/>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θ</m:t>
              </m:r>
            </m:e>
          </m:d>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ww</m:t>
              </m:r>
            </m:sub>
            <m:sup>
              <m:r>
                <w:rPr>
                  <w:rFonts w:ascii="Cambria Math" w:hAnsi="Cambria Math"/>
                </w:rPr>
                <m:t>2</m:t>
              </m:r>
            </m:sup>
          </m:sSubSup>
          <m:r>
            <w:rPr>
              <w:rFonts w:ascii="Cambria Math" w:hAnsi="Cambria Math"/>
            </w:rPr>
            <m:t>Φ</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wθ</m:t>
              </m:r>
            </m:sub>
          </m:sSub>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w</m:t>
                  </m:r>
                </m:sub>
              </m:sSub>
              <m:r>
                <w:rPr>
                  <w:rFonts w:ascii="Cambria Math" w:hAnsi="Cambria Math"/>
                </w:rPr>
                <m:t>Φ</m:t>
              </m:r>
            </m:e>
          </m:d>
          <m:r>
            <m:rPr>
              <m:sty m:val="p"/>
            </m:rPr>
            <w:rPr>
              <w:rFonts w:ascii="Cambria Math" w:hAnsi="Cambria Math"/>
            </w:rPr>
            <m:t>.</m:t>
          </m:r>
        </m:oMath>
      </m:oMathPara>
    </w:p>
    <w:p w14:paraId="4BAB6D61" w14:textId="77777777" w:rsidR="00E751A5" w:rsidRDefault="00000000">
      <w:pPr>
        <w:pStyle w:val="FirstParagraph"/>
      </w:pPr>
      <w:r>
        <w:t>Define the coupling operator</w:t>
      </w:r>
    </w:p>
    <w:p w14:paraId="0A9006CC" w14:textId="77777777" w:rsidR="00E751A5" w:rsidRDefault="00000000">
      <w:pPr>
        <w:pStyle w:val="BodyText"/>
      </w:pPr>
      <m:oMathPara>
        <m:oMathParaPr>
          <m:jc m:val="center"/>
        </m:oMathParaPr>
        <m:oMath>
          <m:r>
            <w:rPr>
              <w:rFonts w:ascii="Cambria Math" w:hAnsi="Cambria Math"/>
            </w:rPr>
            <m:t>C</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θ</m:t>
              </m:r>
            </m:e>
          </m:d>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θ</m:t>
              </m:r>
            </m:e>
          </m:d>
          <m:r>
            <m:rPr>
              <m:sty m:val="p"/>
            </m:rPr>
            <w:rPr>
              <w:rFonts w:ascii="Cambria Math" w:hAnsi="Cambria Math"/>
            </w:rPr>
            <m:t>.</m:t>
          </m:r>
        </m:oMath>
      </m:oMathPara>
    </w:p>
    <w:p w14:paraId="52616A71" w14:textId="77777777" w:rsidR="00E751A5" w:rsidRDefault="008E5FB0">
      <w:r>
        <w:rPr>
          <w:noProof/>
        </w:rPr>
        <w:pict w14:anchorId="75C59C14">
          <v:rect id="_x0000_i1030" alt="" style="width:451.3pt;height:.05pt;mso-width-percent:0;mso-height-percent:0;mso-width-percent:0;mso-height-percent:0" o:hralign="center" o:hrstd="t" o:hr="t"/>
        </w:pict>
      </w:r>
    </w:p>
    <w:p w14:paraId="7E3D62F0" w14:textId="77777777" w:rsidR="00E751A5" w:rsidRDefault="00000000">
      <w:pPr>
        <w:pStyle w:val="Heading1"/>
      </w:pPr>
      <w:bookmarkStart w:id="5" w:name="assumptions"/>
      <w:bookmarkEnd w:id="4"/>
      <w:r>
        <w:t>3. Assumptions</w:t>
      </w:r>
    </w:p>
    <w:p w14:paraId="140994FD" w14:textId="77777777" w:rsidR="00E751A5" w:rsidRDefault="00000000">
      <w:pPr>
        <w:pStyle w:val="FirstParagraph"/>
      </w:pPr>
      <w:r>
        <w:rPr>
          <w:b/>
          <w:bCs/>
        </w:rPr>
        <w:t>A1 (Regularity).</w:t>
      </w:r>
      <w:r>
        <w:br/>
      </w:r>
      <m:oMath>
        <m:r>
          <w:rPr>
            <w:rFonts w:ascii="Cambria Math" w:hAnsi="Cambria Math"/>
          </w:rPr>
          <m:t>Φ</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w</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Φ</m:t>
                </m:r>
              </m:sub>
            </m:sSub>
          </m:e>
        </m:d>
      </m:oMath>
      <w:r>
        <w:t xml:space="preserve"> and </w:t>
      </w:r>
      <m:oMath>
        <m:r>
          <w:rPr>
            <w:rFonts w:ascii="Cambria Math" w:hAnsi="Cambria Math"/>
          </w:rPr>
          <m:t>Φ</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θ</m:t>
            </m:r>
          </m:sub>
          <m:sup>
            <m:r>
              <w:rPr>
                <w:rFonts w:ascii="Cambria Math" w:hAnsi="Cambria Math"/>
              </w:rPr>
              <m:t>1</m:t>
            </m:r>
          </m:sup>
        </m:sSubSup>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Φ</m:t>
                </m:r>
              </m:sub>
            </m:sSub>
          </m:e>
        </m:d>
      </m:oMath>
      <w:r>
        <w:t>.</w:t>
      </w:r>
    </w:p>
    <w:p w14:paraId="4EA574DE" w14:textId="77777777" w:rsidR="00E751A5" w:rsidRDefault="00000000">
      <w:pPr>
        <w:pStyle w:val="BodyText"/>
      </w:pPr>
      <w:r>
        <w:rPr>
          <w:b/>
          <w:bCs/>
        </w:rPr>
        <w:lastRenderedPageBreak/>
        <w:t>A2 (Equilibrium stationarity).</w:t>
      </w:r>
      <w:r>
        <w:br/>
      </w:r>
      <m:oMath>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w</m:t>
                </m:r>
              </m:e>
              <m:sup>
                <m:r>
                  <m:rPr>
                    <m:sty m:val="p"/>
                  </m:rPr>
                  <w:rPr>
                    <w:rFonts w:ascii="Cambria Math" w:hAnsi="Cambria Math"/>
                  </w:rPr>
                  <m:t>*</m:t>
                </m:r>
              </m:sup>
            </m:sSup>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0</m:t>
        </m:r>
      </m:oMath>
      <w:r>
        <w:t>.</w:t>
      </w:r>
    </w:p>
    <w:p w14:paraId="3C814303" w14:textId="77777777" w:rsidR="00E751A5" w:rsidRDefault="00000000">
      <w:pPr>
        <w:pStyle w:val="BodyText"/>
      </w:pPr>
      <w:r>
        <w:rPr>
          <w:b/>
          <w:bCs/>
        </w:rPr>
        <w:t>A3 (Interior nondegeneracy).</w:t>
      </w:r>
      <w:r>
        <w:br/>
      </w:r>
      <m:oMath>
        <m:r>
          <w:rPr>
            <w:rFonts w:ascii="Cambria Math" w:hAnsi="Cambria Math"/>
          </w:rPr>
          <m:t>H</m:t>
        </m:r>
        <m:d>
          <m:dPr>
            <m:ctrlPr>
              <w:rPr>
                <w:rFonts w:ascii="Cambria Math" w:hAnsi="Cambria Math"/>
              </w:rPr>
            </m:ctrlPr>
          </m:dPr>
          <m:e>
            <m:sSup>
              <m:sSupPr>
                <m:ctrlPr>
                  <w:rPr>
                    <w:rFonts w:ascii="Cambria Math" w:hAnsi="Cambria Math"/>
                  </w:rPr>
                </m:ctrlPr>
              </m:sSupPr>
              <m:e>
                <m:r>
                  <w:rPr>
                    <w:rFonts w:ascii="Cambria Math" w:hAnsi="Cambria Math"/>
                  </w:rPr>
                  <m:t>w</m:t>
                </m:r>
              </m:e>
              <m:sup>
                <m:r>
                  <m:rPr>
                    <m:sty m:val="p"/>
                  </m:rPr>
                  <w:rPr>
                    <w:rFonts w:ascii="Cambria Math" w:hAnsi="Cambria Math"/>
                  </w:rPr>
                  <m:t>*</m:t>
                </m:r>
              </m:sup>
            </m:sSup>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θ</m:t>
            </m:r>
          </m:e>
        </m:d>
      </m:oMath>
      <w:r>
        <w:t xml:space="preserve"> is nonsingular.</w:t>
      </w:r>
    </w:p>
    <w:p w14:paraId="45F4A62D" w14:textId="77777777" w:rsidR="00E751A5" w:rsidRDefault="008E5FB0">
      <w:r>
        <w:rPr>
          <w:noProof/>
        </w:rPr>
        <w:pict w14:anchorId="7CE75EBB">
          <v:rect id="_x0000_i1029" alt="" style="width:451.3pt;height:.05pt;mso-width-percent:0;mso-height-percent:0;mso-width-percent:0;mso-height-percent:0" o:hralign="center" o:hrstd="t" o:hr="t"/>
        </w:pict>
      </w:r>
    </w:p>
    <w:p w14:paraId="5597EF41" w14:textId="77777777" w:rsidR="00E751A5" w:rsidRDefault="00000000">
      <w:pPr>
        <w:pStyle w:val="Heading1"/>
      </w:pPr>
      <w:bookmarkStart w:id="6" w:name="theorem-dependency-structure"/>
      <w:bookmarkEnd w:id="5"/>
      <w:r>
        <w:t>4. Theorem Dependency Structure</w:t>
      </w:r>
    </w:p>
    <w:p w14:paraId="40C26176" w14:textId="77777777" w:rsidR="00E751A5" w:rsidRDefault="00000000">
      <w:pPr>
        <w:pStyle w:val="FirstParagraph"/>
      </w:pPr>
      <w:r>
        <w:t>The framework follows a layered theorem pipeline:</w:t>
      </w:r>
    </w:p>
    <w:p w14:paraId="7C21C554" w14:textId="77777777" w:rsidR="00E751A5" w:rsidRDefault="00000000">
      <w:pPr>
        <w:pStyle w:val="SourceCode"/>
      </w:pPr>
      <w:r>
        <w:rPr>
          <w:rStyle w:val="VerbatimChar"/>
        </w:rPr>
        <w:t>A1 → A2 → A3</w:t>
      </w:r>
      <w:r>
        <w:br/>
      </w:r>
      <w:r>
        <w:rPr>
          <w:rStyle w:val="VerbatimChar"/>
        </w:rPr>
        <w:t xml:space="preserve">      ↓</w:t>
      </w:r>
      <w:r>
        <w:br/>
      </w:r>
      <w:r>
        <w:rPr>
          <w:rStyle w:val="VerbatimChar"/>
        </w:rPr>
        <w:t xml:space="preserve">     B1 → B2</w:t>
      </w:r>
      <w:r>
        <w:br/>
      </w:r>
      <w:r>
        <w:rPr>
          <w:rStyle w:val="VerbatimChar"/>
        </w:rPr>
        <w:t xml:space="preserve">      ↓</w:t>
      </w:r>
      <w:r>
        <w:br/>
      </w:r>
      <w:r>
        <w:rPr>
          <w:rStyle w:val="VerbatimChar"/>
        </w:rPr>
        <w:t xml:space="preserve">     S1 → S2 → S3</w:t>
      </w:r>
      <w:r>
        <w:br/>
      </w:r>
      <w:r>
        <w:rPr>
          <w:rStyle w:val="VerbatimChar"/>
        </w:rPr>
        <w:t xml:space="preserve">      ↓</w:t>
      </w:r>
      <w:r>
        <w:br/>
      </w:r>
      <w:r>
        <w:rPr>
          <w:rStyle w:val="VerbatimChar"/>
        </w:rPr>
        <w:t xml:space="preserve">        C1</w:t>
      </w:r>
      <w:r>
        <w:br/>
      </w:r>
      <w:r>
        <w:rPr>
          <w:rStyle w:val="VerbatimChar"/>
        </w:rPr>
        <w:t xml:space="preserve">      ↓</w:t>
      </w:r>
      <w:r>
        <w:br/>
      </w:r>
      <w:r>
        <w:rPr>
          <w:rStyle w:val="VerbatimChar"/>
        </w:rPr>
        <w:t xml:space="preserve">     D1 → D2 → D3</w:t>
      </w:r>
      <w:r>
        <w:br/>
      </w:r>
      <w:r>
        <w:rPr>
          <w:rStyle w:val="VerbatimChar"/>
        </w:rPr>
        <w:t xml:space="preserve">      ↓</w:t>
      </w:r>
      <w:r>
        <w:br/>
      </w:r>
      <w:r>
        <w:rPr>
          <w:rStyle w:val="VerbatimChar"/>
        </w:rPr>
        <w:t xml:space="preserve">     E1 → E2 → E3</w:t>
      </w:r>
    </w:p>
    <w:p w14:paraId="369C2313" w14:textId="77777777" w:rsidR="00E751A5" w:rsidRDefault="008E5FB0">
      <w:r>
        <w:rPr>
          <w:noProof/>
        </w:rPr>
        <w:pict w14:anchorId="702513E3">
          <v:rect id="_x0000_i1028" alt="" style="width:451.3pt;height:.05pt;mso-width-percent:0;mso-height-percent:0;mso-width-percent:0;mso-height-percent:0" o:hralign="center" o:hrstd="t" o:hr="t"/>
        </w:pict>
      </w:r>
    </w:p>
    <w:p w14:paraId="4E047D84" w14:textId="6E08D84D" w:rsidR="00E751A5" w:rsidRDefault="00A4402D">
      <w:pPr>
        <w:pStyle w:val="Heading1"/>
      </w:pPr>
      <w:bookmarkStart w:id="7" w:name="local-weak-ordering-theorem"/>
      <w:bookmarkEnd w:id="6"/>
      <w:r>
        <w:t>5. Local Weak Ordering Theorem</w:t>
      </w:r>
    </w:p>
    <w:p w14:paraId="1D50228C" w14:textId="77777777" w:rsidR="00E751A5" w:rsidRDefault="00000000">
      <w:pPr>
        <w:pStyle w:val="FirstParagraph"/>
      </w:pPr>
      <w:r>
        <w:t xml:space="preserve">Let </w:t>
      </w: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R</m:t>
        </m:r>
      </m:oMath>
      <w:r>
        <w:t xml:space="preserve"> and define</w:t>
      </w:r>
    </w:p>
    <w:p w14:paraId="264A166C" w14:textId="77777777" w:rsidR="00E751A5" w:rsidRDefault="00000000">
      <w:pPr>
        <w:pStyle w:val="BodyText"/>
      </w:pPr>
      <m:oMathPara>
        <m:oMathParaPr>
          <m:jc m:val="center"/>
        </m:oMathParaPr>
        <m:oMath>
          <m:r>
            <w:rPr>
              <w:rFonts w:ascii="Cambria Math" w:hAnsi="Cambria Math"/>
            </w:rPr>
            <m:t>γ</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θ</m:t>
              </m:r>
            </m:e>
          </m:d>
          <m:r>
            <m:rPr>
              <m:sty m:val="p"/>
            </m:rPr>
            <w:rPr>
              <w:rFonts w:ascii="Cambria Math" w:hAnsi="Cambria Math"/>
            </w:rPr>
            <m:t>.</m:t>
          </m:r>
        </m:oMath>
      </m:oMathPara>
    </w:p>
    <w:p w14:paraId="034B049B" w14:textId="77777777" w:rsidR="00E751A5" w:rsidRDefault="00000000">
      <w:pPr>
        <w:pStyle w:val="FirstParagraph"/>
      </w:pPr>
      <w:r>
        <w:t>Assume</w:t>
      </w:r>
    </w:p>
    <w:p w14:paraId="6FFC59D7" w14:textId="77777777" w:rsidR="00E751A5" w:rsidRDefault="00000000">
      <w:pPr>
        <w:pStyle w:val="Compact"/>
        <w:numPr>
          <w:ilvl w:val="0"/>
          <w:numId w:val="2"/>
        </w:numPr>
      </w:pPr>
      <m:oMath>
        <m:r>
          <w:rPr>
            <w:rFonts w:ascii="Cambria Math" w:hAnsi="Cambria Math"/>
          </w:rPr>
          <m:t>γ</m:t>
        </m:r>
        <m:d>
          <m:dPr>
            <m:ctrlPr>
              <w:rPr>
                <w:rFonts w:ascii="Cambria Math" w:hAnsi="Cambria Math"/>
              </w:rPr>
            </m:ctrlPr>
          </m:d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oMath>
    </w:p>
    <w:p w14:paraId="3F0F7B67" w14:textId="77777777" w:rsidR="00E751A5" w:rsidRDefault="00000000">
      <w:pPr>
        <w:pStyle w:val="Compact"/>
        <w:numPr>
          <w:ilvl w:val="0"/>
          <w:numId w:val="2"/>
        </w:numPr>
      </w:pPr>
      <m:oMath>
        <m:r>
          <w:rPr>
            <w:rFonts w:ascii="Cambria Math" w:hAnsi="Cambria Math"/>
          </w:rPr>
          <m:t>θ</m:t>
        </m:r>
        <m:r>
          <m:rPr>
            <m:sty m:val="p"/>
          </m:rPr>
          <w:rPr>
            <w:rFonts w:ascii="Cambria Math" w:hAnsi="Cambria Math"/>
          </w:rPr>
          <m:t>'≽</m:t>
        </m:r>
        <m:r>
          <w:rPr>
            <w:rFonts w:ascii="Cambria Math" w:hAnsi="Cambria Math"/>
          </w:rPr>
          <m:t>θ</m:t>
        </m:r>
      </m:oMath>
    </w:p>
    <w:p w14:paraId="4FFDF75B" w14:textId="77777777" w:rsidR="00E751A5" w:rsidRDefault="00000000">
      <w:pPr>
        <w:pStyle w:val="Compact"/>
        <w:numPr>
          <w:ilvl w:val="0"/>
          <w:numId w:val="2"/>
        </w:numPr>
      </w:pPr>
      <m:oMath>
        <m:sSub>
          <m:sSubPr>
            <m:ctrlPr>
              <w:rPr>
                <w:rFonts w:ascii="Cambria Math" w:hAnsi="Cambria Math"/>
              </w:rPr>
            </m:ctrlPr>
          </m:sSubPr>
          <m:e>
            <m:r>
              <w:rPr>
                <w:rFonts w:ascii="Cambria Math" w:hAnsi="Cambria Math"/>
              </w:rPr>
              <m:t>D</m:t>
            </m:r>
          </m:e>
          <m:sub>
            <m:r>
              <w:rPr>
                <w:rFonts w:ascii="Cambria Math" w:hAnsi="Cambria Math"/>
              </w:rPr>
              <m:t>θ</m:t>
            </m:r>
          </m:sub>
        </m:sSub>
        <m:sSup>
          <m:sSupPr>
            <m:ctrlPr>
              <w:rPr>
                <w:rFonts w:ascii="Cambria Math" w:hAnsi="Cambria Math"/>
              </w:rPr>
            </m:ctrlPr>
          </m:sSupPr>
          <m:e>
            <m:r>
              <w:rPr>
                <w:rFonts w:ascii="Cambria Math" w:hAnsi="Cambria Math"/>
              </w:rPr>
              <m:t>w</m:t>
            </m:r>
          </m:e>
          <m:sup>
            <m:r>
              <m:rPr>
                <m:sty m:val="p"/>
              </m:rPr>
              <w:rPr>
                <w:rFonts w:ascii="Cambria Math" w:hAnsi="Cambria Math"/>
              </w:rPr>
              <m:t>*</m:t>
            </m:r>
          </m:sup>
        </m:sSup>
        <m:d>
          <m:dPr>
            <m:ctrlPr>
              <w:rPr>
                <w:rFonts w:ascii="Cambria Math" w:hAnsi="Cambria Math"/>
              </w:rPr>
            </m:ctrlPr>
          </m:dPr>
          <m:e>
            <m:r>
              <w:rPr>
                <w:rFonts w:ascii="Cambria Math" w:hAnsi="Cambria Math"/>
              </w:rPr>
              <m:t>ϑ</m:t>
            </m:r>
          </m:e>
        </m:d>
        <m:r>
          <m:rPr>
            <m:sty m:val="p"/>
          </m:rPr>
          <w:rPr>
            <w:rFonts w:ascii="Cambria Math" w:hAnsi="Cambria Math"/>
          </w:rPr>
          <m:t>≥</m:t>
        </m:r>
        <m:r>
          <w:rPr>
            <w:rFonts w:ascii="Cambria Math" w:hAnsi="Cambria Math"/>
          </w:rPr>
          <m:t>0</m:t>
        </m:r>
      </m:oMath>
      <w:r>
        <w:t xml:space="preserve"> for all </w:t>
      </w:r>
      <m:oMath>
        <m:r>
          <w:rPr>
            <w:rFonts w:ascii="Cambria Math" w:hAnsi="Cambria Math"/>
          </w:rPr>
          <m:t>ϑ</m:t>
        </m:r>
        <m:r>
          <m:rPr>
            <m:sty m:val="p"/>
          </m:rPr>
          <w:rPr>
            <w:rFonts w:ascii="Cambria Math" w:hAnsi="Cambria Math"/>
          </w:rPr>
          <m:t>∈</m:t>
        </m:r>
        <m:r>
          <w:rPr>
            <w:rFonts w:ascii="Cambria Math" w:hAnsi="Cambria Math"/>
          </w:rPr>
          <m:t>R</m:t>
        </m:r>
      </m:oMath>
    </w:p>
    <w:p w14:paraId="5D074F33" w14:textId="77777777" w:rsidR="00E751A5" w:rsidRDefault="00000000">
      <w:pPr>
        <w:pStyle w:val="FirstParagraph"/>
      </w:pPr>
      <w:r>
        <w:t>Then</w:t>
      </w:r>
    </w:p>
    <w:p w14:paraId="7C763C01" w14:textId="77777777" w:rsidR="00E751A5" w:rsidRDefault="00000000">
      <w:pPr>
        <w:pStyle w:val="BodyText"/>
      </w:pPr>
      <m:oMathPara>
        <m:oMathParaPr>
          <m:jc m:val="center"/>
        </m:oMathParaP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d>
            <m:dPr>
              <m:ctrlPr>
                <w:rPr>
                  <w:rFonts w:ascii="Cambria Math" w:hAnsi="Cambria Math"/>
                </w:rPr>
              </m:ctrlPr>
            </m:dPr>
            <m:e>
              <m:r>
                <w:rPr>
                  <w:rFonts w:ascii="Cambria Math" w:hAnsi="Cambria Math"/>
                </w:rPr>
                <m:t>θ</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d>
            <m:dPr>
              <m:ctrlPr>
                <w:rPr>
                  <w:rFonts w:ascii="Cambria Math" w:hAnsi="Cambria Math"/>
                </w:rPr>
              </m:ctrlPr>
            </m:dPr>
            <m:e>
              <m:r>
                <w:rPr>
                  <w:rFonts w:ascii="Cambria Math" w:hAnsi="Cambria Math"/>
                </w:rPr>
                <m:t>θ</m:t>
              </m:r>
            </m:e>
          </m:d>
          <m:r>
            <m:rPr>
              <m:sty m:val="p"/>
            </m:rPr>
            <w:rPr>
              <w:rFonts w:ascii="Cambria Math" w:hAnsi="Cambria Math"/>
            </w:rPr>
            <m:t>.</m:t>
          </m:r>
        </m:oMath>
      </m:oMathPara>
    </w:p>
    <w:p w14:paraId="5EE8E274" w14:textId="77777777" w:rsidR="00E751A5" w:rsidRDefault="00000000">
      <w:pPr>
        <w:pStyle w:val="Heading3"/>
      </w:pPr>
      <w:bookmarkStart w:id="8" w:name="proof"/>
      <w:r>
        <w:t>Proof</w:t>
      </w:r>
    </w:p>
    <w:p w14:paraId="27447228" w14:textId="77777777" w:rsidR="00E751A5" w:rsidRDefault="00000000">
      <w:pPr>
        <w:pStyle w:val="FirstParagraph"/>
      </w:pPr>
      <m:oMathPara>
        <m:oMathParaPr>
          <m:jc m:val="center"/>
        </m:oMathParaP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d>
            <m:dPr>
              <m:ctrlPr>
                <w:rPr>
                  <w:rFonts w:ascii="Cambria Math" w:hAnsi="Cambria Math"/>
                </w:rPr>
              </m:ctrlPr>
            </m:dPr>
            <m:e>
              <m:r>
                <w:rPr>
                  <w:rFonts w:ascii="Cambria Math" w:hAnsi="Cambria Math"/>
                </w:rPr>
                <m:t>θ</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d>
            <m:dPr>
              <m:ctrlPr>
                <w:rPr>
                  <w:rFonts w:ascii="Cambria Math" w:hAnsi="Cambria Math"/>
                </w:rPr>
              </m:ctrlPr>
            </m:dPr>
            <m:e>
              <m:r>
                <w:rPr>
                  <w:rFonts w:ascii="Cambria Math" w:hAnsi="Cambria Math"/>
                </w:rPr>
                <m:t>θ</m:t>
              </m:r>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sSub>
                <m:sSubPr>
                  <m:ctrlPr>
                    <w:rPr>
                      <w:rFonts w:ascii="Cambria Math" w:hAnsi="Cambria Math"/>
                    </w:rPr>
                  </m:ctrlPr>
                </m:sSubPr>
                <m:e>
                  <m:r>
                    <w:rPr>
                      <w:rFonts w:ascii="Cambria Math" w:hAnsi="Cambria Math"/>
                    </w:rPr>
                    <m:t>D</m:t>
                  </m:r>
                </m:e>
                <m:sub>
                  <m:r>
                    <w:rPr>
                      <w:rFonts w:ascii="Cambria Math" w:hAnsi="Cambria Math"/>
                    </w:rPr>
                    <m:t>θ</m:t>
                  </m:r>
                </m:sub>
              </m:sSub>
            </m:e>
          </m:nary>
          <m:sSup>
            <m:sSupPr>
              <m:ctrlPr>
                <w:rPr>
                  <w:rFonts w:ascii="Cambria Math" w:hAnsi="Cambria Math"/>
                </w:rPr>
              </m:ctrlPr>
            </m:sSupPr>
            <m:e>
              <m:r>
                <w:rPr>
                  <w:rFonts w:ascii="Cambria Math" w:hAnsi="Cambria Math"/>
                </w:rPr>
                <m:t>w</m:t>
              </m:r>
            </m:e>
            <m:sup>
              <m:r>
                <m:rPr>
                  <m:sty m:val="p"/>
                </m:rPr>
                <w:rPr>
                  <w:rFonts w:ascii="Cambria Math" w:hAnsi="Cambria Math"/>
                </w:rPr>
                <m:t>*</m:t>
              </m:r>
            </m:sup>
          </m:sSup>
          <m:d>
            <m:dPr>
              <m:ctrlPr>
                <w:rPr>
                  <w:rFonts w:ascii="Cambria Math" w:hAnsi="Cambria Math"/>
                </w:rPr>
              </m:ctrlPr>
            </m:dPr>
            <m:e>
              <m:r>
                <w:rPr>
                  <w:rFonts w:ascii="Cambria Math" w:hAnsi="Cambria Math"/>
                </w:rPr>
                <m:t>γ</m:t>
              </m:r>
              <m:d>
                <m:dPr>
                  <m:ctrlPr>
                    <w:rPr>
                      <w:rFonts w:ascii="Cambria Math" w:hAnsi="Cambria Math"/>
                    </w:rPr>
                  </m:ctrlPr>
                </m:dPr>
                <m:e>
                  <m:r>
                    <w:rPr>
                      <w:rFonts w:ascii="Cambria Math" w:hAnsi="Cambria Math"/>
                    </w:rPr>
                    <m:t>t</m:t>
                  </m:r>
                </m:e>
              </m:d>
            </m:e>
          </m:d>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θ</m:t>
              </m:r>
            </m:e>
          </m:d>
          <m:r>
            <w:rPr>
              <w:rFonts w:ascii="Cambria Math" w:hAnsi="Cambria Math"/>
            </w:rPr>
            <m:t> dt</m:t>
          </m:r>
          <m:r>
            <m:rPr>
              <m:sty m:val="p"/>
            </m:rPr>
            <w:rPr>
              <w:rFonts w:ascii="Cambria Math" w:hAnsi="Cambria Math"/>
            </w:rPr>
            <m:t>.</m:t>
          </m:r>
        </m:oMath>
      </m:oMathPara>
    </w:p>
    <w:p w14:paraId="07DC1F3C" w14:textId="77777777" w:rsidR="00E751A5" w:rsidRDefault="00000000">
      <w:pPr>
        <w:pStyle w:val="FirstParagraph"/>
      </w:pPr>
      <w:r>
        <w:t>The integrand is entrywise nonnegative, hence the integral is nonnegative.</w:t>
      </w:r>
    </w:p>
    <w:p w14:paraId="68902745" w14:textId="77777777" w:rsidR="00E751A5" w:rsidRDefault="008E5FB0">
      <w:bookmarkStart w:id="9" w:name="references"/>
      <w:bookmarkEnd w:id="7"/>
      <w:bookmarkEnd w:id="8"/>
      <w:r>
        <w:rPr>
          <w:noProof/>
        </w:rPr>
        <w:lastRenderedPageBreak/>
        <w:pict w14:anchorId="4CE2A0C0">
          <v:rect id="_x0000_i1027" alt="" style="width:451.3pt;height:.05pt;mso-width-percent:0;mso-height-percent:0;mso-width-percent:0;mso-height-percent:0" o:hralign="center" o:hrstd="t" o:hr="t"/>
        </w:pict>
      </w:r>
    </w:p>
    <w:p w14:paraId="7D3F77B3" w14:textId="06B9714A" w:rsidR="00E751A5" w:rsidRDefault="00A4402D">
      <w:pPr>
        <w:pStyle w:val="Heading1"/>
      </w:pPr>
      <w:bookmarkStart w:id="10" w:name="X7ef9e967547aab9fc78fef10f8b825d05adda83"/>
      <w:bookmarkEnd w:id="9"/>
      <w:r>
        <w:t>6. Practical Application: Relational Network Guidance in the Affinity Platform</w:t>
      </w:r>
    </w:p>
    <w:p w14:paraId="06E014FA" w14:textId="77777777" w:rsidR="00E751A5" w:rsidRDefault="00000000">
      <w:pPr>
        <w:pStyle w:val="FirstParagraph"/>
      </w:pPr>
      <w:r>
        <w:t>The theoretical framework developed in this paper admits a natural empirical application in systems designed to support the formation and development of relational networks.</w:t>
      </w:r>
      <w:r>
        <w:br/>
        <w:t xml:space="preserve">The </w:t>
      </w:r>
      <w:r>
        <w:rPr>
          <w:b/>
          <w:bCs/>
        </w:rPr>
        <w:t>Affinity platform</w:t>
      </w:r>
      <w:r>
        <w:t xml:space="preserve"> provides an initial applied domain for such an implementation.</w:t>
      </w:r>
    </w:p>
    <w:p w14:paraId="5D91738A" w14:textId="77777777" w:rsidR="00E751A5" w:rsidRDefault="00000000">
      <w:pPr>
        <w:pStyle w:val="BodyText"/>
      </w:pPr>
      <w:r>
        <w:t>Affinity is intended to support individuals in developing relational networks by analysing weighted interaction graphs and estimating structural opportunity within those networks. The platform therefore provides a practical environment in which relational potential models can be estimated and their predictions evaluated against observed network evolution.</w:t>
      </w:r>
    </w:p>
    <w:p w14:paraId="300A623B" w14:textId="77777777" w:rsidR="00E751A5" w:rsidRDefault="00000000">
      <w:pPr>
        <w:pStyle w:val="BodyText"/>
      </w:pPr>
      <w:r>
        <w:t>The initial empirical domain consists of moderately sized student cohorts in creative disciplines where relational structure can be observed with sufficient completeness to support quantitative modelling. Such cohorts provide environments in which</w:t>
      </w:r>
    </w:p>
    <w:p w14:paraId="196736E5" w14:textId="77777777" w:rsidR="00E751A5" w:rsidRDefault="00000000">
      <w:pPr>
        <w:pStyle w:val="Compact"/>
        <w:numPr>
          <w:ilvl w:val="0"/>
          <w:numId w:val="3"/>
        </w:numPr>
      </w:pPr>
      <w:r>
        <w:t>potential ties are well defined,</w:t>
      </w:r>
    </w:p>
    <w:p w14:paraId="27B1B148" w14:textId="77777777" w:rsidR="00E751A5" w:rsidRDefault="00000000">
      <w:pPr>
        <w:pStyle w:val="Compact"/>
        <w:numPr>
          <w:ilvl w:val="0"/>
          <w:numId w:val="3"/>
        </w:numPr>
      </w:pPr>
      <w:r>
        <w:t>interaction frequencies can be observed,</w:t>
      </w:r>
    </w:p>
    <w:p w14:paraId="66EAD293" w14:textId="77777777" w:rsidR="00E751A5" w:rsidRDefault="00000000">
      <w:pPr>
        <w:pStyle w:val="Compact"/>
        <w:numPr>
          <w:ilvl w:val="0"/>
          <w:numId w:val="3"/>
        </w:numPr>
      </w:pPr>
      <w:r>
        <w:t>tie strengths can be estimated,</w:t>
      </w:r>
    </w:p>
    <w:p w14:paraId="599D2CD0" w14:textId="77777777" w:rsidR="00E751A5" w:rsidRDefault="00000000">
      <w:pPr>
        <w:pStyle w:val="Compact"/>
        <w:numPr>
          <w:ilvl w:val="0"/>
          <w:numId w:val="3"/>
        </w:numPr>
      </w:pPr>
      <w:r>
        <w:t>network evolution can be tracked over time.</w:t>
      </w:r>
    </w:p>
    <w:p w14:paraId="7DCD187A" w14:textId="77777777" w:rsidR="00E751A5" w:rsidRDefault="00000000">
      <w:pPr>
        <w:pStyle w:val="FirstParagraph"/>
      </w:pPr>
      <w:r>
        <w:t>These properties make such environments well suited for testing relational potential models.</w:t>
      </w:r>
    </w:p>
    <w:p w14:paraId="4030F642" w14:textId="791AFD97" w:rsidR="00E751A5" w:rsidRDefault="00A4402D">
      <w:pPr>
        <w:pStyle w:val="Heading2"/>
      </w:pPr>
      <w:bookmarkStart w:id="11" w:name="X4fc563116decef79feb13b0fc240e7ab264ae9e"/>
      <w:r>
        <w:t>6.1 Relational potentials in empirical networks</w:t>
      </w:r>
    </w:p>
    <w:p w14:paraId="31641838" w14:textId="77777777" w:rsidR="00E751A5" w:rsidRDefault="00000000">
      <w:pPr>
        <w:pStyle w:val="FirstParagraph"/>
      </w:pPr>
      <w:r>
        <w:t>Within the Affinity domain, individuals correspond to nodes in a relational network and weighted ties represent interaction intensity or collaboration frequency. A relational potential</w:t>
      </w:r>
    </w:p>
    <w:p w14:paraId="6801F8CE" w14:textId="77777777" w:rsidR="00E751A5" w:rsidRDefault="00000000">
      <w:pPr>
        <w:pStyle w:val="BodyText"/>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θ</m:t>
              </m:r>
            </m:e>
          </m:d>
        </m:oMath>
      </m:oMathPara>
    </w:p>
    <w:p w14:paraId="2EB2D639" w14:textId="77777777" w:rsidR="00E751A5" w:rsidRDefault="00000000">
      <w:pPr>
        <w:pStyle w:val="FirstParagraph"/>
      </w:pPr>
      <w:r>
        <w:t>can be interpreted as an aggregate structural value associated with a configuration of relationship weights (w) under environmental parameters ().</w:t>
      </w:r>
    </w:p>
    <w:p w14:paraId="1DD104F4" w14:textId="77777777" w:rsidR="00E751A5" w:rsidRDefault="00000000">
      <w:pPr>
        <w:pStyle w:val="BodyText"/>
      </w:pPr>
      <w:r>
        <w:t>Examples of parameters include</w:t>
      </w:r>
    </w:p>
    <w:p w14:paraId="76B7B99D" w14:textId="77777777" w:rsidR="00E751A5" w:rsidRDefault="00000000">
      <w:pPr>
        <w:pStyle w:val="Compact"/>
        <w:numPr>
          <w:ilvl w:val="0"/>
          <w:numId w:val="4"/>
        </w:numPr>
      </w:pPr>
      <w:r>
        <w:t>available collaboration opportunities,</w:t>
      </w:r>
    </w:p>
    <w:p w14:paraId="0158A5FD" w14:textId="77777777" w:rsidR="00E751A5" w:rsidRDefault="00000000">
      <w:pPr>
        <w:pStyle w:val="Compact"/>
        <w:numPr>
          <w:ilvl w:val="0"/>
          <w:numId w:val="4"/>
        </w:numPr>
      </w:pPr>
      <w:r>
        <w:t>institutional constraints,</w:t>
      </w:r>
    </w:p>
    <w:p w14:paraId="40E48864" w14:textId="77777777" w:rsidR="00E751A5" w:rsidRDefault="00000000">
      <w:pPr>
        <w:pStyle w:val="Compact"/>
        <w:numPr>
          <w:ilvl w:val="0"/>
          <w:numId w:val="4"/>
        </w:numPr>
      </w:pPr>
      <w:r>
        <w:t>participation incentives,</w:t>
      </w:r>
    </w:p>
    <w:p w14:paraId="1A5147FD" w14:textId="77777777" w:rsidR="00E751A5" w:rsidRDefault="00000000">
      <w:pPr>
        <w:pStyle w:val="Compact"/>
        <w:numPr>
          <w:ilvl w:val="0"/>
          <w:numId w:val="4"/>
        </w:numPr>
      </w:pPr>
      <w:r>
        <w:t>resource availability.</w:t>
      </w:r>
    </w:p>
    <w:p w14:paraId="3B4363D1" w14:textId="77777777" w:rsidR="00E751A5" w:rsidRDefault="00000000">
      <w:pPr>
        <w:pStyle w:val="FirstParagraph"/>
      </w:pPr>
      <w:r>
        <w:t>Equilibrium configurations (w^*()) represent stable relational structures predicted by the potential model.</w:t>
      </w:r>
    </w:p>
    <w:p w14:paraId="23591787" w14:textId="082224B7" w:rsidR="00E751A5" w:rsidRDefault="00A4402D">
      <w:pPr>
        <w:pStyle w:val="Heading2"/>
      </w:pPr>
      <w:bookmarkStart w:id="12" w:name="X5d189ebeacbb1a9ec885c0d24267cf8c59edaac"/>
      <w:bookmarkEnd w:id="11"/>
      <w:r>
        <w:lastRenderedPageBreak/>
        <w:t>6.2 Operational meaning of the ordering theorem</w:t>
      </w:r>
    </w:p>
    <w:p w14:paraId="2BE85E47" w14:textId="77777777" w:rsidR="00E751A5" w:rsidRDefault="00000000">
      <w:pPr>
        <w:pStyle w:val="FirstParagraph"/>
      </w:pPr>
      <w:r>
        <w:t>Suppose a change in the relational environment produces a parameter increase</w:t>
      </w:r>
    </w:p>
    <w:p w14:paraId="0C75812B" w14:textId="77777777" w:rsidR="00E751A5" w:rsidRDefault="00000000">
      <w:pPr>
        <w:pStyle w:val="BodyText"/>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oMath>
      </m:oMathPara>
    </w:p>
    <w:p w14:paraId="12E90B04" w14:textId="77777777" w:rsidR="00E751A5" w:rsidRDefault="00000000">
      <w:pPr>
        <w:pStyle w:val="FirstParagraph"/>
      </w:pPr>
      <w:r>
        <w:t>If the parameter segment connecting these values remains inside the admissible region defined by E1–E2, the ordering theorem implies</w:t>
      </w:r>
    </w:p>
    <w:p w14:paraId="11585B5E" w14:textId="77777777" w:rsidR="00E751A5" w:rsidRDefault="00000000">
      <w:pPr>
        <w:pStyle w:val="BodyText"/>
      </w:pPr>
      <m:oMathPara>
        <m:oMathParaPr>
          <m:jc m:val="center"/>
        </m:oMathParaP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d>
            <m:dPr>
              <m:ctrlPr>
                <w:rPr>
                  <w:rFonts w:ascii="Cambria Math" w:hAnsi="Cambria Math"/>
                </w:rPr>
              </m:ctrlPr>
            </m:dPr>
            <m:e>
              <m:r>
                <w:rPr>
                  <w:rFonts w:ascii="Cambria Math" w:hAnsi="Cambria Math"/>
                </w:rPr>
                <m:t>θ</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d>
            <m:dPr>
              <m:ctrlPr>
                <w:rPr>
                  <w:rFonts w:ascii="Cambria Math" w:hAnsi="Cambria Math"/>
                </w:rPr>
              </m:ctrlPr>
            </m:dPr>
            <m:e>
              <m:r>
                <w:rPr>
                  <w:rFonts w:ascii="Cambria Math" w:hAnsi="Cambria Math"/>
                </w:rPr>
                <m:t>θ</m:t>
              </m:r>
            </m:e>
          </m:d>
          <m:r>
            <m:rPr>
              <m:sty m:val="p"/>
            </m:rPr>
            <w:rPr>
              <w:rFonts w:ascii="Cambria Math" w:hAnsi="Cambria Math"/>
            </w:rPr>
            <m:t>.</m:t>
          </m:r>
        </m:oMath>
      </m:oMathPara>
    </w:p>
    <w:p w14:paraId="05B5E07F" w14:textId="77777777" w:rsidR="00E751A5" w:rsidRDefault="00000000">
      <w:pPr>
        <w:pStyle w:val="FirstParagraph"/>
      </w:pPr>
      <w:r>
        <w:t>In practical terms, this means that improvements in structural opportunity propagate monotonically to predicted relationship strengths.</w:t>
      </w:r>
    </w:p>
    <w:p w14:paraId="2D721638" w14:textId="77777777" w:rsidR="00E751A5" w:rsidRDefault="00000000">
      <w:pPr>
        <w:pStyle w:val="BodyText"/>
      </w:pPr>
      <w:r>
        <w:t xml:space="preserve">Operationally the theorem therefore provides a </w:t>
      </w:r>
      <w:r>
        <w:rPr>
          <w:b/>
          <w:bCs/>
        </w:rPr>
        <w:t>monotonic safety guarantee</w:t>
      </w:r>
      <w:r>
        <w:t>: interventions that increase structural opportunity within the certified region cannot reduce predicted relational connectivity.</w:t>
      </w:r>
    </w:p>
    <w:p w14:paraId="0CCB3106" w14:textId="618D267E" w:rsidR="00E751A5" w:rsidRDefault="00A4402D">
      <w:pPr>
        <w:pStyle w:val="Heading2"/>
      </w:pPr>
      <w:bookmarkStart w:id="13" w:name="recommendation-and-intervention-design"/>
      <w:bookmarkEnd w:id="12"/>
      <w:r>
        <w:t>6.3 Recommendation and intervention design</w:t>
      </w:r>
    </w:p>
    <w:p w14:paraId="6A245C03" w14:textId="77777777" w:rsidR="00E751A5" w:rsidRDefault="00000000">
      <w:pPr>
        <w:pStyle w:val="FirstParagraph"/>
      </w:pPr>
      <w:r>
        <w:t>Within the Affinity platform the relational potential model can be used to evaluate potential interventions such as</w:t>
      </w:r>
    </w:p>
    <w:p w14:paraId="0FEADF12" w14:textId="77777777" w:rsidR="00E751A5" w:rsidRDefault="00000000">
      <w:pPr>
        <w:pStyle w:val="Compact"/>
        <w:numPr>
          <w:ilvl w:val="0"/>
          <w:numId w:val="5"/>
        </w:numPr>
      </w:pPr>
      <w:r>
        <w:t>recommending introductions between individuals,</w:t>
      </w:r>
    </w:p>
    <w:p w14:paraId="407C724E" w14:textId="77777777" w:rsidR="00E751A5" w:rsidRDefault="00000000">
      <w:pPr>
        <w:pStyle w:val="Compact"/>
        <w:numPr>
          <w:ilvl w:val="0"/>
          <w:numId w:val="5"/>
        </w:numPr>
      </w:pPr>
      <w:r>
        <w:t>introducing collaborative projects,</w:t>
      </w:r>
    </w:p>
    <w:p w14:paraId="013A0018" w14:textId="77777777" w:rsidR="00E751A5" w:rsidRDefault="00000000">
      <w:pPr>
        <w:pStyle w:val="Compact"/>
        <w:numPr>
          <w:ilvl w:val="0"/>
          <w:numId w:val="5"/>
        </w:numPr>
      </w:pPr>
      <w:r>
        <w:t>organising networking events,</w:t>
      </w:r>
    </w:p>
    <w:p w14:paraId="29223F75" w14:textId="77777777" w:rsidR="00E751A5" w:rsidRDefault="00000000">
      <w:pPr>
        <w:pStyle w:val="Compact"/>
        <w:numPr>
          <w:ilvl w:val="0"/>
          <w:numId w:val="5"/>
        </w:numPr>
      </w:pPr>
      <w:r>
        <w:t>encouraging interaction between complementary participants.</w:t>
      </w:r>
    </w:p>
    <w:p w14:paraId="21E941D3" w14:textId="77777777" w:rsidR="00E751A5" w:rsidRDefault="00000000">
      <w:pPr>
        <w:pStyle w:val="FirstParagraph"/>
      </w:pPr>
      <w:r>
        <w:t>If a proposed intervention corresponds to a parameter change from () to (’) that satisfies the E1–E2 certification conditions, then the ordering theorem guarantees that predicted equilibrium relationship strengths will not decrease.</w:t>
      </w:r>
    </w:p>
    <w:p w14:paraId="0C8F0439" w14:textId="77777777" w:rsidR="00E751A5" w:rsidRDefault="00000000">
      <w:pPr>
        <w:pStyle w:val="BodyText"/>
      </w:pPr>
      <w:r>
        <w:t>This provides a mathematically grounded framework for designing recommendation policies.</w:t>
      </w:r>
    </w:p>
    <w:p w14:paraId="65A1C241" w14:textId="5461E5C8" w:rsidR="00E751A5" w:rsidRDefault="00A4402D">
      <w:pPr>
        <w:pStyle w:val="Heading2"/>
      </w:pPr>
      <w:bookmarkStart w:id="14" w:name="empirical-validation"/>
      <w:bookmarkEnd w:id="13"/>
      <w:r>
        <w:t>6.4 Empirical validation</w:t>
      </w:r>
    </w:p>
    <w:p w14:paraId="09A61B02" w14:textId="77777777" w:rsidR="00E751A5" w:rsidRDefault="00000000">
      <w:pPr>
        <w:pStyle w:val="FirstParagraph"/>
      </w:pPr>
      <w:r>
        <w:t>The Affinity domain provides an environment in which theoretical predictions can be compared with observed network evolution. Within controlled cohorts it is possible to measure</w:t>
      </w:r>
    </w:p>
    <w:p w14:paraId="4466E05C" w14:textId="77777777" w:rsidR="00E751A5" w:rsidRDefault="00000000">
      <w:pPr>
        <w:pStyle w:val="Compact"/>
        <w:numPr>
          <w:ilvl w:val="0"/>
          <w:numId w:val="6"/>
        </w:numPr>
      </w:pPr>
      <w:r>
        <w:t>interaction frequencies,</w:t>
      </w:r>
    </w:p>
    <w:p w14:paraId="39BA11F3" w14:textId="77777777" w:rsidR="00E751A5" w:rsidRDefault="00000000">
      <w:pPr>
        <w:pStyle w:val="Compact"/>
        <w:numPr>
          <w:ilvl w:val="0"/>
          <w:numId w:val="6"/>
        </w:numPr>
      </w:pPr>
      <w:r>
        <w:t>collaboration patterns,</w:t>
      </w:r>
    </w:p>
    <w:p w14:paraId="324F59AA" w14:textId="77777777" w:rsidR="00E751A5" w:rsidRDefault="00000000">
      <w:pPr>
        <w:pStyle w:val="Compact"/>
        <w:numPr>
          <w:ilvl w:val="0"/>
          <w:numId w:val="6"/>
        </w:numPr>
      </w:pPr>
      <w:r>
        <w:t>tie strength proxies,</w:t>
      </w:r>
    </w:p>
    <w:p w14:paraId="292FA60D" w14:textId="77777777" w:rsidR="00E751A5" w:rsidRDefault="00000000">
      <w:pPr>
        <w:pStyle w:val="Compact"/>
        <w:numPr>
          <w:ilvl w:val="0"/>
          <w:numId w:val="6"/>
        </w:numPr>
      </w:pPr>
      <w:r>
        <w:t>network evolution over time.</w:t>
      </w:r>
    </w:p>
    <w:p w14:paraId="24020BA7" w14:textId="77777777" w:rsidR="00E751A5" w:rsidRDefault="00000000">
      <w:pPr>
        <w:pStyle w:val="FirstParagraph"/>
      </w:pPr>
      <w:r>
        <w:t>These observations enable estimation of relational potentials and allow comparative statics predictions of the model to be evaluated empirically.</w:t>
      </w:r>
    </w:p>
    <w:p w14:paraId="7D85D1B7" w14:textId="77777777" w:rsidR="00E751A5" w:rsidRDefault="00000000">
      <w:pPr>
        <w:pStyle w:val="BodyText"/>
      </w:pPr>
      <w:r>
        <w:lastRenderedPageBreak/>
        <w:t>The Affinity platform therefore acts as a bridge between theoretical relational potential models and real-world network dynamics.</w:t>
      </w:r>
    </w:p>
    <w:p w14:paraId="11CB67B3" w14:textId="77777777" w:rsidR="00E751A5" w:rsidRDefault="008E5FB0">
      <w:r>
        <w:rPr>
          <w:noProof/>
        </w:rPr>
        <w:pict w14:anchorId="5C7C0905">
          <v:rect id="_x0000_i1026" alt="" style="width:451.3pt;height:.05pt;mso-width-percent:0;mso-height-percent:0;mso-width-percent:0;mso-height-percent:0" o:hralign="center" o:hrstd="t" o:hr="t"/>
        </w:pict>
      </w:r>
    </w:p>
    <w:p w14:paraId="4355E836" w14:textId="3774690D" w:rsidR="00E751A5" w:rsidRDefault="00A4402D">
      <w:pPr>
        <w:pStyle w:val="Heading1"/>
      </w:pPr>
      <w:bookmarkStart w:id="15" w:name="X29c150ece90310646c5b8733bf45da66eb25f7b"/>
      <w:bookmarkEnd w:id="10"/>
      <w:bookmarkEnd w:id="14"/>
      <w:r>
        <w:t>7. Comparison with Conventional Social‑Network Intelligence Systems</w:t>
      </w:r>
    </w:p>
    <w:p w14:paraId="51BA4392" w14:textId="77777777" w:rsidR="00E751A5" w:rsidRDefault="00000000">
      <w:pPr>
        <w:pStyle w:val="FirstParagraph"/>
      </w:pPr>
      <w:r>
        <w:t>Most large social-network platforms employ algorithmic intelligence layers designed to predict engagement, recommend connections, and optimise user interaction. These systems typically rely on statistical or machine-learning models trained on behavioural data.</w:t>
      </w:r>
    </w:p>
    <w:p w14:paraId="71BF1DB7" w14:textId="77777777" w:rsidR="00E751A5" w:rsidRDefault="00000000">
      <w:pPr>
        <w:pStyle w:val="BodyText"/>
      </w:pPr>
      <w:r>
        <w:t>The relational potential framework differs from these conventional approaches in several important ways.</w:t>
      </w:r>
    </w:p>
    <w:p w14:paraId="4BE3E1FA" w14:textId="7215513E" w:rsidR="00E751A5" w:rsidRDefault="00A4402D">
      <w:pPr>
        <w:pStyle w:val="Heading2"/>
      </w:pPr>
      <w:bookmarkStart w:id="16" w:name="X6daf893790145d676c78c0781f312c70bfcbc3b"/>
      <w:r>
        <w:t>7.1 Predictive models versus equilibrium models</w:t>
      </w:r>
    </w:p>
    <w:p w14:paraId="00610E43" w14:textId="77777777" w:rsidR="00E751A5" w:rsidRDefault="00000000">
      <w:pPr>
        <w:pStyle w:val="FirstParagraph"/>
      </w:pPr>
      <w:r>
        <w:t xml:space="preserve">Conventional social-network recommendation systems are generally </w:t>
      </w:r>
      <w:r>
        <w:rPr>
          <w:b/>
          <w:bCs/>
        </w:rPr>
        <w:t>predictive</w:t>
      </w:r>
      <w:r>
        <w:t>. They estimate the probability that a user will interact with content or form a connection using techniques such as</w:t>
      </w:r>
    </w:p>
    <w:p w14:paraId="266CDD09" w14:textId="77777777" w:rsidR="00E751A5" w:rsidRDefault="00000000">
      <w:pPr>
        <w:pStyle w:val="Compact"/>
        <w:numPr>
          <w:ilvl w:val="0"/>
          <w:numId w:val="7"/>
        </w:numPr>
      </w:pPr>
      <w:r>
        <w:t>collaborative filtering,</w:t>
      </w:r>
    </w:p>
    <w:p w14:paraId="39685AB1" w14:textId="77777777" w:rsidR="00E751A5" w:rsidRDefault="00000000">
      <w:pPr>
        <w:pStyle w:val="Compact"/>
        <w:numPr>
          <w:ilvl w:val="0"/>
          <w:numId w:val="7"/>
        </w:numPr>
      </w:pPr>
      <w:r>
        <w:t>graph embedding models,</w:t>
      </w:r>
    </w:p>
    <w:p w14:paraId="736C17E8" w14:textId="77777777" w:rsidR="00E751A5" w:rsidRDefault="00000000">
      <w:pPr>
        <w:pStyle w:val="Compact"/>
        <w:numPr>
          <w:ilvl w:val="0"/>
          <w:numId w:val="7"/>
        </w:numPr>
      </w:pPr>
      <w:r>
        <w:t>ranking algorithms,</w:t>
      </w:r>
    </w:p>
    <w:p w14:paraId="14DE16CB" w14:textId="77777777" w:rsidR="00E751A5" w:rsidRDefault="00000000">
      <w:pPr>
        <w:pStyle w:val="Compact"/>
        <w:numPr>
          <w:ilvl w:val="0"/>
          <w:numId w:val="7"/>
        </w:numPr>
      </w:pPr>
      <w:r>
        <w:t>deep learning architectures.</w:t>
      </w:r>
    </w:p>
    <w:p w14:paraId="271D38CC" w14:textId="77777777" w:rsidR="00E751A5" w:rsidRDefault="00000000">
      <w:pPr>
        <w:pStyle w:val="FirstParagraph"/>
      </w:pPr>
      <w:r>
        <w:t>These approaches learn patterns from historical data but typically provide no guarantees about how network structures respond to interventions.</w:t>
      </w:r>
    </w:p>
    <w:p w14:paraId="2718B5CA" w14:textId="77777777" w:rsidR="00E751A5" w:rsidRDefault="00000000">
      <w:pPr>
        <w:pStyle w:val="BodyText"/>
      </w:pPr>
      <w:r>
        <w:t xml:space="preserve">The relational potential framework instead models the network as a </w:t>
      </w:r>
      <w:r>
        <w:rPr>
          <w:b/>
          <w:bCs/>
        </w:rPr>
        <w:t>structured equilibrium system</w:t>
      </w:r>
      <w:r>
        <w:t>. Relationship weights (w) arise as solutions of the equilibrium condition</w:t>
      </w:r>
    </w:p>
    <w:p w14:paraId="7A02CB63" w14:textId="77777777" w:rsidR="00E751A5"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w</m:t>
              </m:r>
            </m:sub>
          </m:sSub>
          <m:r>
            <w:rPr>
              <w:rFonts w:ascii="Cambria Math" w:hAnsi="Cambria Math"/>
            </w:rPr>
            <m:t>Φ</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5841A055" w14:textId="77777777" w:rsidR="00E751A5" w:rsidRDefault="00000000">
      <w:pPr>
        <w:pStyle w:val="FirstParagraph"/>
      </w:pPr>
      <w:r>
        <w:t>Parameter changes modify the equilibrium through comparative statics rather than direct behavioural prediction.</w:t>
      </w:r>
    </w:p>
    <w:p w14:paraId="68B0B105" w14:textId="007F240B" w:rsidR="00E751A5" w:rsidRDefault="00A4402D">
      <w:pPr>
        <w:pStyle w:val="Heading2"/>
      </w:pPr>
      <w:bookmarkStart w:id="17" w:name="X8d77a389b364577d0ce74b242a9fdcc0097c6e8"/>
      <w:bookmarkEnd w:id="16"/>
      <w:r>
        <w:t>7.2 Empirical optimisation versus structural guarantees</w:t>
      </w:r>
    </w:p>
    <w:p w14:paraId="5D840C58" w14:textId="77777777" w:rsidR="00E751A5" w:rsidRDefault="00000000">
      <w:pPr>
        <w:pStyle w:val="FirstParagraph"/>
      </w:pPr>
      <w:r>
        <w:t>Machine-learning-based recommendation systems typically optimise empirical objectives such as engagement or click-through rates. They therefore provide probabilistic predictions rather than structural guarantees.</w:t>
      </w:r>
    </w:p>
    <w:p w14:paraId="2DDA6BA7" w14:textId="77777777" w:rsidR="00E751A5" w:rsidRDefault="00000000">
      <w:pPr>
        <w:pStyle w:val="BodyText"/>
      </w:pPr>
      <w:r>
        <w:t>In contrast, the ordering theorem proved in this paper provides a mathematical guarantee: if structural opportunity parameters increase within the certified admissible region, predicted equilibrium relationship strengths cannot decrease.</w:t>
      </w:r>
    </w:p>
    <w:p w14:paraId="2F60BDC9" w14:textId="77777777" w:rsidR="00E751A5" w:rsidRDefault="00000000">
      <w:pPr>
        <w:pStyle w:val="BodyText"/>
      </w:pPr>
      <w:r>
        <w:t>This type of guarantee is uncommon in conventional social-network intelligence systems.</w:t>
      </w:r>
    </w:p>
    <w:p w14:paraId="2D5D92E0" w14:textId="2FA4991A" w:rsidR="00E751A5" w:rsidRDefault="00A4402D">
      <w:pPr>
        <w:pStyle w:val="Heading2"/>
      </w:pPr>
      <w:bookmarkStart w:id="18" w:name="Xb200fbf7f22b82b8b7f0d106428efe430d7edc4"/>
      <w:bookmarkEnd w:id="17"/>
      <w:r>
        <w:lastRenderedPageBreak/>
        <w:t>7.3 Local heuristics versus global structural modelling</w:t>
      </w:r>
    </w:p>
    <w:p w14:paraId="79D86075" w14:textId="77777777" w:rsidR="00E751A5" w:rsidRDefault="00000000">
      <w:pPr>
        <w:pStyle w:val="FirstParagraph"/>
      </w:pPr>
      <w:r>
        <w:t>Many recommendation systems rely on local heuristics derived from graph neighbourhoods, including</w:t>
      </w:r>
    </w:p>
    <w:p w14:paraId="7CF95479" w14:textId="77777777" w:rsidR="00E751A5" w:rsidRDefault="00000000">
      <w:pPr>
        <w:pStyle w:val="Compact"/>
        <w:numPr>
          <w:ilvl w:val="0"/>
          <w:numId w:val="8"/>
        </w:numPr>
      </w:pPr>
      <w:r>
        <w:t>mutual-friend counts,</w:t>
      </w:r>
    </w:p>
    <w:p w14:paraId="042A9C6C" w14:textId="77777777" w:rsidR="00E751A5" w:rsidRDefault="00000000">
      <w:pPr>
        <w:pStyle w:val="Compact"/>
        <w:numPr>
          <w:ilvl w:val="0"/>
          <w:numId w:val="8"/>
        </w:numPr>
      </w:pPr>
      <w:r>
        <w:t>embedding similarity scores,</w:t>
      </w:r>
    </w:p>
    <w:p w14:paraId="71BF9573" w14:textId="77777777" w:rsidR="00E751A5" w:rsidRDefault="00000000">
      <w:pPr>
        <w:pStyle w:val="Compact"/>
        <w:numPr>
          <w:ilvl w:val="0"/>
          <w:numId w:val="8"/>
        </w:numPr>
      </w:pPr>
      <w:r>
        <w:t>interaction frequency signals.</w:t>
      </w:r>
    </w:p>
    <w:p w14:paraId="5DD56226" w14:textId="77777777" w:rsidR="00E751A5" w:rsidRDefault="00000000">
      <w:pPr>
        <w:pStyle w:val="FirstParagraph"/>
      </w:pPr>
      <w:r>
        <w:t>While effective predictors, these signals typically do not model the network as a coherent equilibrium system.</w:t>
      </w:r>
    </w:p>
    <w:p w14:paraId="5E2331EE" w14:textId="77777777" w:rsidR="00E751A5" w:rsidRDefault="00000000">
      <w:pPr>
        <w:pStyle w:val="BodyText"/>
      </w:pPr>
      <w:r>
        <w:t>The relational potential framework instead treats the network as a coupled system in which all relationship weights interact through the Hessian structure of the potential. Parameter changes propagate through the network via the response operator</w:t>
      </w:r>
    </w:p>
    <w:p w14:paraId="073F6768" w14:textId="77777777" w:rsidR="00E751A5"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θ</m:t>
              </m:r>
            </m:sub>
          </m:sSub>
          <m:sSup>
            <m:sSupPr>
              <m:ctrlPr>
                <w:rPr>
                  <w:rFonts w:ascii="Cambria Math" w:hAnsi="Cambria Math"/>
                </w:rPr>
              </m:ctrlPr>
            </m:sSupPr>
            <m:e>
              <m:r>
                <w:rPr>
                  <w:rFonts w:ascii="Cambria Math" w:hAnsi="Cambria Math"/>
                </w:rPr>
                <m:t>w</m:t>
              </m:r>
            </m:e>
            <m:sup>
              <m:r>
                <m:rPr>
                  <m:sty m:val="p"/>
                </m:rPr>
                <w:rPr>
                  <w:rFonts w:ascii="Cambria Math" w:hAnsi="Cambria Math"/>
                </w:rPr>
                <m:t>*</m:t>
              </m:r>
            </m:sup>
          </m:sSup>
          <m:d>
            <m:dPr>
              <m:ctrlPr>
                <w:rPr>
                  <w:rFonts w:ascii="Cambria Math" w:hAnsi="Cambria Math"/>
                </w:rPr>
              </m:ctrlPr>
            </m:dPr>
            <m:e>
              <m:r>
                <w:rPr>
                  <w:rFonts w:ascii="Cambria Math" w:hAnsi="Cambria Math"/>
                </w:rPr>
                <m:t>θ</m:t>
              </m:r>
            </m:e>
          </m:d>
          <m:r>
            <m:rPr>
              <m:sty m:val="p"/>
            </m:rPr>
            <w:rPr>
              <w:rFonts w:ascii="Cambria Math" w:hAnsi="Cambria Math"/>
            </w:rPr>
            <m:t>.</m:t>
          </m:r>
        </m:oMath>
      </m:oMathPara>
    </w:p>
    <w:p w14:paraId="266EC27F" w14:textId="77777777" w:rsidR="00E751A5" w:rsidRDefault="00000000">
      <w:pPr>
        <w:pStyle w:val="FirstParagraph"/>
      </w:pPr>
      <w:r>
        <w:t>This perspective emphasises global structural effects rather than purely local heuristics.</w:t>
      </w:r>
    </w:p>
    <w:p w14:paraId="02284115" w14:textId="011B71BC" w:rsidR="00E751A5" w:rsidRDefault="00A4402D">
      <w:pPr>
        <w:pStyle w:val="Heading2"/>
      </w:pPr>
      <w:bookmarkStart w:id="19" w:name="complementary-approaches"/>
      <w:bookmarkEnd w:id="18"/>
      <w:r>
        <w:t>7.4 Complementary approaches</w:t>
      </w:r>
    </w:p>
    <w:p w14:paraId="5D5565EB" w14:textId="77777777" w:rsidR="00E751A5" w:rsidRDefault="00000000">
      <w:pPr>
        <w:pStyle w:val="FirstParagraph"/>
      </w:pPr>
      <w:r>
        <w:t>The relational potential framework should not necessarily be viewed as a replacement for conventional recommendation algorithms. Instead, the two approaches can be complementary.</w:t>
      </w:r>
    </w:p>
    <w:p w14:paraId="3033D76B" w14:textId="77777777" w:rsidR="00E751A5" w:rsidRDefault="00000000">
      <w:pPr>
        <w:pStyle w:val="BodyText"/>
      </w:pPr>
      <w:r>
        <w:t>Machine-learning systems may be used to estimate behavioural parameters or interaction probabilities, while the relational potential framework provides a structural model for analysing how interventions affect the equilibrium configuration of the network.</w:t>
      </w:r>
    </w:p>
    <w:p w14:paraId="4FDBF5B1" w14:textId="77777777" w:rsidR="00E751A5" w:rsidRDefault="00000000">
      <w:pPr>
        <w:pStyle w:val="BodyText"/>
      </w:pPr>
      <w:r>
        <w:t xml:space="preserve">In this sense, the theorem pipeline developed in this paper provides a </w:t>
      </w:r>
      <w:r>
        <w:rPr>
          <w:b/>
          <w:bCs/>
        </w:rPr>
        <w:t>theoretical layer</w:t>
      </w:r>
      <w:r>
        <w:t xml:space="preserve"> that can coexist with empirical prediction systems while offering structural guarantees about the effects of network interventions.</w:t>
      </w:r>
    </w:p>
    <w:p w14:paraId="0E3401FA" w14:textId="77777777" w:rsidR="00A4402D" w:rsidRDefault="008E5FB0" w:rsidP="00A4402D">
      <w:r>
        <w:rPr>
          <w:noProof/>
        </w:rPr>
        <w:pict w14:anchorId="352E94B2">
          <v:rect id="_x0000_i1025" alt="" style="width:451.3pt;height:.05pt;mso-width-percent:0;mso-height-percent:0;mso-width-percent:0;mso-height-percent:0" o:hralign="center" o:hrstd="t" o:hr="t"/>
        </w:pict>
      </w:r>
    </w:p>
    <w:p w14:paraId="7C3C7BE7" w14:textId="77777777" w:rsidR="00A4402D" w:rsidRDefault="00A4402D" w:rsidP="00A4402D">
      <w:pPr>
        <w:pStyle w:val="Heading1"/>
      </w:pPr>
      <w:r>
        <w:t>References</w:t>
      </w:r>
    </w:p>
    <w:p w14:paraId="376A53F1" w14:textId="77777777" w:rsidR="00A4402D" w:rsidRDefault="00A4402D" w:rsidP="00A4402D">
      <w:pPr>
        <w:pStyle w:val="FirstParagraph"/>
      </w:pPr>
      <w:r>
        <w:t xml:space="preserve">Berman &amp; Plemmons — </w:t>
      </w:r>
      <w:r>
        <w:rPr>
          <w:i/>
          <w:iCs/>
        </w:rPr>
        <w:t>Nonnegative Matrices in the Mathematical Sciences</w:t>
      </w:r>
      <w:r>
        <w:br/>
        <w:t xml:space="preserve">Horn &amp; Johnson — </w:t>
      </w:r>
      <w:r>
        <w:rPr>
          <w:i/>
          <w:iCs/>
        </w:rPr>
        <w:t>Matrix Analysis</w:t>
      </w:r>
      <w:r>
        <w:br/>
        <w:t xml:space="preserve">Krantz &amp; Parks — </w:t>
      </w:r>
      <w:r>
        <w:rPr>
          <w:i/>
          <w:iCs/>
        </w:rPr>
        <w:t>The Implicit Function Theorem</w:t>
      </w:r>
    </w:p>
    <w:bookmarkEnd w:id="15"/>
    <w:bookmarkEnd w:id="19"/>
    <w:p w14:paraId="7EA46A92" w14:textId="77777777" w:rsidR="00A4402D" w:rsidRDefault="00A4402D">
      <w:pPr>
        <w:pStyle w:val="BodyText"/>
      </w:pPr>
    </w:p>
    <w:sectPr w:rsidR="00A4402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BF7F4" w14:textId="77777777" w:rsidR="008E5FB0" w:rsidRDefault="008E5FB0">
      <w:pPr>
        <w:spacing w:after="0"/>
      </w:pPr>
      <w:r>
        <w:separator/>
      </w:r>
    </w:p>
  </w:endnote>
  <w:endnote w:type="continuationSeparator" w:id="0">
    <w:p w14:paraId="6149935A" w14:textId="77777777" w:rsidR="008E5FB0" w:rsidRDefault="008E5F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E66A4" w14:textId="77777777" w:rsidR="008E5FB0" w:rsidRDefault="008E5FB0">
      <w:r>
        <w:separator/>
      </w:r>
    </w:p>
  </w:footnote>
  <w:footnote w:type="continuationSeparator" w:id="0">
    <w:p w14:paraId="71D776DC" w14:textId="77777777" w:rsidR="008E5FB0" w:rsidRDefault="008E5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3A76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A7A6E3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B06DF1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23595041">
    <w:abstractNumId w:val="0"/>
  </w:num>
  <w:num w:numId="2" w16cid:durableId="503856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57733120">
    <w:abstractNumId w:val="1"/>
  </w:num>
  <w:num w:numId="4" w16cid:durableId="159198683">
    <w:abstractNumId w:val="1"/>
  </w:num>
  <w:num w:numId="5" w16cid:durableId="891035591">
    <w:abstractNumId w:val="1"/>
  </w:num>
  <w:num w:numId="6" w16cid:durableId="446702526">
    <w:abstractNumId w:val="1"/>
  </w:num>
  <w:num w:numId="7" w16cid:durableId="568421193">
    <w:abstractNumId w:val="1"/>
  </w:num>
  <w:num w:numId="8" w16cid:durableId="1471442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51A5"/>
    <w:rsid w:val="001C60A0"/>
    <w:rsid w:val="008E5FB0"/>
    <w:rsid w:val="009749F3"/>
    <w:rsid w:val="00A4402D"/>
    <w:rsid w:val="00B02BB7"/>
    <w:rsid w:val="00E75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9B860"/>
  <w15:docId w15:val="{356D845B-92F8-FD47-B168-15F162BD1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B02BB7"/>
    <w:pPr>
      <w:spacing w:before="100" w:beforeAutospacing="1" w:after="100" w:afterAutospacing="1"/>
    </w:pPr>
    <w:rPr>
      <w:rFonts w:ascii="Times New Roman" w:eastAsia="Times New Roman" w:hAnsi="Times New Roman" w:cs="Times New Roman"/>
      <w:lang w:val="en-GB" w:eastAsia="en-GB"/>
    </w:rPr>
  </w:style>
  <w:style w:type="character" w:styleId="Strong">
    <w:name w:val="Strong"/>
    <w:basedOn w:val="DefaultParagraphFont"/>
    <w:uiPriority w:val="22"/>
    <w:qFormat/>
    <w:rsid w:val="00B02B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1581</Words>
  <Characters>9015</Characters>
  <Application>Microsoft Office Word</Application>
  <DocSecurity>0</DocSecurity>
  <Lines>75</Lines>
  <Paragraphs>21</Paragraphs>
  <ScaleCrop>false</ScaleCrop>
  <Company/>
  <LinksUpToDate>false</LinksUpToDate>
  <CharactersWithSpaces>10575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Technical Support</cp:lastModifiedBy>
  <cp:revision>3</cp:revision>
  <dcterms:created xsi:type="dcterms:W3CDTF">2026-03-09T20:23:00Z</dcterms:created>
  <dcterms:modified xsi:type="dcterms:W3CDTF">2026-03-09T20:35:00Z</dcterms:modified>
</cp:coreProperties>
</file>