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rial" w:cs="Arial" w:eastAsia="Arial" w:hAnsi="Arial"/>
          <w:b/>
          <w:bCs/>
          <w:color w:val="1A5276"/>
          <w:sz w:val="56"/>
          <w:szCs w:val="56"/>
        </w:rPr>
        <w:t xml:space="preserve">NDC TOOLS</w:t>
      </w:r>
    </w:p>
    <w:p>
      <w:pPr>
        <w:spacing w:after="200"/>
        <w:jc w:val="center"/>
      </w:pPr>
      <w:r>
        <w:rPr>
          <w:rFonts w:ascii="Arial" w:cs="Arial" w:eastAsia="Arial" w:hAnsi="Arial"/>
          <w:color w:val="2E86AB"/>
          <w:sz w:val="36"/>
          <w:szCs w:val="36"/>
        </w:rPr>
        <w:t xml:space="preserve">Nationally Determined Contributions</w:t>
      </w:r>
    </w:p>
    <w:p>
      <w:pPr>
        <w:spacing w:after="600"/>
        <w:jc w:val="center"/>
      </w:pPr>
      <w:r>
        <w:rPr>
          <w:rFonts w:ascii="Arial" w:cs="Arial" w:eastAsia="Arial" w:hAnsi="Arial"/>
          <w:color w:val="2C3E50"/>
          <w:sz w:val="32"/>
          <w:szCs w:val="32"/>
        </w:rPr>
        <w:t xml:space="preserve">Technical Specification Document</w:t>
      </w:r>
    </w:p>
    <w:p>
      <w:pPr>
        <w:pBdr>
          <w:top w:val="single" w:color="1A5276" w:sz="2"/>
        </w:pBdr>
        <w:spacing w:before="400" w:after="200"/>
        <w:jc w:val="center"/>
      </w:pPr>
    </w:p>
    <w:p>
      <w:pPr>
        <w:spacing w:after="100"/>
        <w:jc w:val="center"/>
      </w:pPr>
      <w:r>
        <w:rPr>
          <w:rFonts w:ascii="Arial" w:cs="Arial" w:eastAsia="Arial" w:hAnsi="Arial"/>
          <w:color w:val="2C3E50"/>
          <w:sz w:val="24"/>
          <w:szCs w:val="24"/>
        </w:rPr>
        <w:t xml:space="preserve">Comprehensive Framework for NDC Development, Implementation, and Tracking</w:t>
      </w:r>
    </w:p>
    <w:p>
      <w:pPr>
        <w:spacing w:after="100"/>
        <w:jc w:val="center"/>
      </w:pPr>
      <w:r>
        <w:rPr>
          <w:rFonts w:ascii="Arial" w:cs="Arial" w:eastAsia="Arial" w:hAnsi="Arial"/>
          <w:color w:val="2C3E50"/>
          <w:sz w:val="24"/>
          <w:szCs w:val="24"/>
        </w:rPr>
        <w:t xml:space="preserve">Aligned with Paris Agreement Article 4 and Global Stocktake Outcomes</w:t>
      </w:r>
    </w:p>
    <w:p>
      <w:pPr>
        <w:spacing w:after="100"/>
        <w:jc w:val="center"/>
      </w:pPr>
      <w:r>
        <w:rPr>
          <w:rFonts w:ascii="Arial" w:cs="Arial" w:eastAsia="Arial" w:hAnsi="Arial"/>
          <w:color w:val="2C3E50"/>
          <w:sz w:val="24"/>
          <w:szCs w:val="24"/>
        </w:rPr>
        <w:t xml:space="preserve">Supporting NDC 3.0 Preparation and Enhanced Ambition</w:t>
      </w:r>
    </w:p>
    <w:p>
      <w:pPr>
        <w:spacing w:before="2000"/>
      </w:pPr>
    </w:p>
    <w:p>
      <w:pPr>
        <w:jc w:val="center"/>
      </w:pPr>
      <w:r>
        <w:rPr>
          <w:rFonts w:ascii="Arial" w:cs="Arial" w:eastAsia="Arial" w:hAnsi="Arial"/>
          <w:i/>
          <w:iCs/>
          <w:color w:val="2C3E50"/>
          <w:sz w:val="22"/>
          <w:szCs w:val="22"/>
        </w:rPr>
        <w:t xml:space="preserve">Full NDC Lifecycle Coverage</w:t>
      </w:r>
    </w:p>
    <w:p>
      <w:pPr>
        <w:spacing w:before="100"/>
        <w:jc w:val="center"/>
      </w:pPr>
      <w:r>
        <w:rPr>
          <w:rFonts w:ascii="Arial" w:cs="Arial" w:eastAsia="Arial" w:hAnsi="Arial"/>
          <w:color w:val="2E86AB"/>
          <w:sz w:val="20"/>
          <w:szCs w:val="20"/>
        </w:rPr>
        <w:t xml:space="preserve">Planning | Formulation | Implementation | Tracking | Updating</w:t>
      </w:r>
    </w:p>
    <w:p>
      <w:pPr>
        <w:spacing w:before="2000"/>
      </w:pPr>
    </w:p>
    <w:p>
      <w:pPr>
        <w:jc w:val="center"/>
      </w:pPr>
      <w:r>
        <w:rPr>
          <w:rFonts w:ascii="Arial" w:cs="Arial" w:eastAsia="Arial" w:hAnsi="Arial"/>
          <w:color w:val="2C3E50"/>
          <w:sz w:val="22"/>
          <w:szCs w:val="22"/>
        </w:rPr>
        <w:t xml:space="preserve">Version 1.0 | February 2026</w:t>
      </w:r>
    </w:p>
    <w:p>
      <w:r>
        <w:br w:type="page"/>
      </w:r>
    </w:p>
    <w:p>
      <w:pPr>
        <w:pStyle w:val="Heading1"/>
      </w:pPr>
      <w:r>
        <w:rPr>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b/>
          <w:bCs/>
        </w:rPr>
        <w:t xml:space="preserve">EXECUTIVE SUMMARY</w:t>
      </w:r>
    </w:p>
    <w:p>
      <w:pPr>
        <w:spacing w:after="200" w:line="276"/>
        <w:jc w:val="both"/>
      </w:pPr>
      <w:r>
        <w:rPr>
          <w:rFonts w:ascii="Arial" w:cs="Arial" w:eastAsia="Arial" w:hAnsi="Arial"/>
          <w:sz w:val="24"/>
          <w:szCs w:val="24"/>
        </w:rPr>
        <w:t xml:space="preserve">This Technical Specification Document establishes a comprehensive framework for the tools, methodologies, and systems required to develop, implement, track, and update Nationally Determined Contributions (NDCs) under the Paris Agreement. The framework supports the full NDC lifecycle, enabling countries to translate climate commitments into actionable policies while maintaining robust monitoring and reporting systems.</w:t>
      </w:r>
    </w:p>
    <w:p>
      <w:pPr>
        <w:spacing w:after="200" w:line="276"/>
        <w:jc w:val="both"/>
      </w:pPr>
      <w:r>
        <w:rPr>
          <w:rFonts w:ascii="Arial" w:cs="Arial" w:eastAsia="Arial" w:hAnsi="Arial"/>
          <w:sz w:val="24"/>
          <w:szCs w:val="24"/>
        </w:rPr>
        <w:t xml:space="preserve">The Paris Agreement requires Parties to prepare, communicate, and maintain successive NDCs that represent their highest possible ambition. With the submission of NDC 3.0 in 2025, countries must demonstrate enhanced ambition, improved implementation capacity, and stronger alignment with the 1.5°C temperature goal. This document provides the technical specifications for tools that support these requirements.</w:t>
      </w:r>
    </w:p>
    <w:p>
      <w:pPr>
        <w:pStyle w:val="Heading2"/>
      </w:pPr>
      <w:r>
        <w:rPr>
          <w:b/>
          <w:bCs/>
        </w:rPr>
        <w:t xml:space="preserve">Key Features</w:t>
      </w:r>
    </w:p>
    <w:p>
      <w:pPr>
        <w:pStyle w:val="ListParagraph"/>
        <w:numPr>
          <w:ilvl w:val="0"/>
          <w:numId w:val="2"/>
        </w:numPr>
        <w:spacing w:after="120"/>
      </w:pPr>
      <w:r>
        <w:rPr>
          <w:rFonts w:ascii="Arial" w:cs="Arial" w:eastAsia="Arial" w:hAnsi="Arial"/>
          <w:sz w:val="24"/>
          <w:szCs w:val="24"/>
        </w:rPr>
        <w:t xml:space="preserve">Integrated tool ecosystem covering planning, modeling, costing, and tracking functions</w:t>
      </w:r>
    </w:p>
    <w:p>
      <w:pPr>
        <w:pStyle w:val="ListParagraph"/>
        <w:numPr>
          <w:ilvl w:val="0"/>
          <w:numId w:val="2"/>
        </w:numPr>
        <w:spacing w:after="120"/>
      </w:pPr>
      <w:r>
        <w:rPr>
          <w:rFonts w:ascii="Arial" w:cs="Arial" w:eastAsia="Arial" w:hAnsi="Arial"/>
          <w:sz w:val="24"/>
          <w:szCs w:val="24"/>
        </w:rPr>
        <w:t xml:space="preserve">Scenario analysis and emissions modeling capabilities for target setting</w:t>
      </w:r>
    </w:p>
    <w:p>
      <w:pPr>
        <w:pStyle w:val="ListParagraph"/>
        <w:numPr>
          <w:ilvl w:val="0"/>
          <w:numId w:val="2"/>
        </w:numPr>
        <w:spacing w:after="120"/>
      </w:pPr>
      <w:r>
        <w:rPr>
          <w:rFonts w:ascii="Arial" w:cs="Arial" w:eastAsia="Arial" w:hAnsi="Arial"/>
          <w:sz w:val="24"/>
          <w:szCs w:val="24"/>
        </w:rPr>
        <w:t xml:space="preserve">Financial and economic assessment tools for NDC costing and investment planning</w:t>
      </w:r>
    </w:p>
    <w:p>
      <w:pPr>
        <w:pStyle w:val="ListParagraph"/>
        <w:numPr>
          <w:ilvl w:val="0"/>
          <w:numId w:val="2"/>
        </w:numPr>
        <w:spacing w:after="120"/>
      </w:pPr>
      <w:r>
        <w:rPr>
          <w:rFonts w:ascii="Arial" w:cs="Arial" w:eastAsia="Arial" w:hAnsi="Arial"/>
          <w:sz w:val="24"/>
          <w:szCs w:val="24"/>
        </w:rPr>
        <w:t xml:space="preserve">Implementation tracking systems aligned with the Enhanced Transparency Framework</w:t>
      </w:r>
    </w:p>
    <w:p>
      <w:pPr>
        <w:pStyle w:val="ListParagraph"/>
        <w:numPr>
          <w:ilvl w:val="0"/>
          <w:numId w:val="2"/>
        </w:numPr>
        <w:spacing w:after="120"/>
      </w:pPr>
      <w:r>
        <w:rPr>
          <w:rFonts w:ascii="Arial" w:cs="Arial" w:eastAsia="Arial" w:hAnsi="Arial"/>
          <w:sz w:val="24"/>
          <w:szCs w:val="24"/>
        </w:rPr>
        <w:t xml:space="preserve">Multi-sector coverage including energy, transport, industry, agriculture, LULUCF, and waste</w:t>
      </w:r>
    </w:p>
    <w:p>
      <w:pPr>
        <w:pStyle w:val="ListParagraph"/>
        <w:numPr>
          <w:ilvl w:val="0"/>
          <w:numId w:val="2"/>
        </w:numPr>
        <w:spacing w:after="200"/>
      </w:pPr>
      <w:r>
        <w:rPr>
          <w:rFonts w:ascii="Arial" w:cs="Arial" w:eastAsia="Arial" w:hAnsi="Arial"/>
          <w:sz w:val="24"/>
          <w:szCs w:val="24"/>
        </w:rPr>
        <w:t xml:space="preserve">Alignment with Global Stocktake outcomes and progressive ambition requirements</w:t>
      </w:r>
    </w:p>
    <w:p>
      <w:pPr>
        <w:pStyle w:val="Heading2"/>
      </w:pPr>
      <w:r>
        <w:rPr>
          <w:b/>
          <w:bCs/>
        </w:rPr>
        <w:t xml:space="preserve">Document Structure</w:t>
      </w:r>
    </w:p>
    <w:p>
      <w:pPr>
        <w:spacing w:after="200" w:line="276"/>
        <w:jc w:val="both"/>
      </w:pPr>
      <w:r>
        <w:rPr>
          <w:rFonts w:ascii="Arial" w:cs="Arial" w:eastAsia="Arial" w:hAnsi="Arial"/>
          <w:sz w:val="24"/>
          <w:szCs w:val="24"/>
        </w:rPr>
        <w:t xml:space="preserve">This document is organized into sixteen chapters covering the NDC lifecycle framework, planning tools, formulation and target-setting methodologies, implementation support systems, tracking and monitoring tools, financial and economic analysis capabilities, and system integration requirements. Supporting annexes provide detailed tool inventories, selection matrices, and technical specifications.</w:t>
      </w:r>
    </w:p>
    <w:p>
      <w:r>
        <w:br w:type="page"/>
      </w:r>
    </w:p>
    <w:p>
      <w:pPr>
        <w:pStyle w:val="Heading1"/>
      </w:pPr>
      <w:r>
        <w:rPr>
          <w:b/>
          <w:bCs/>
        </w:rPr>
        <w:t xml:space="preserve">1. INTRODUCTION AND CONTEXT</w:t>
      </w:r>
    </w:p>
    <w:p>
      <w:pPr>
        <w:pStyle w:val="Heading2"/>
      </w:pPr>
      <w:r>
        <w:rPr>
          <w:b/>
          <w:bCs/>
        </w:rPr>
        <w:t xml:space="preserve">1.1 Background</w:t>
      </w:r>
    </w:p>
    <w:p>
      <w:pPr>
        <w:spacing w:after="200" w:line="276"/>
        <w:jc w:val="both"/>
      </w:pPr>
      <w:r>
        <w:rPr>
          <w:rFonts w:ascii="Arial" w:cs="Arial" w:eastAsia="Arial" w:hAnsi="Arial"/>
          <w:sz w:val="24"/>
          <w:szCs w:val="24"/>
        </w:rPr>
        <w:t xml:space="preserve">Nationally Determined Contributions (NDCs) are at the heart of the Paris Agreement and represent the foundation of global climate action. Each Party to the Agreement is required to prepare, communicate, and maintain successive NDCs that it intends to achieve, reflecting its highest possible ambition in the context of sustainable development and efforts to eradicate poverty.</w:t>
      </w:r>
    </w:p>
    <w:p>
      <w:pPr>
        <w:spacing w:after="200" w:line="276"/>
        <w:jc w:val="both"/>
      </w:pPr>
      <w:r>
        <w:rPr>
          <w:rFonts w:ascii="Arial" w:cs="Arial" w:eastAsia="Arial" w:hAnsi="Arial"/>
          <w:sz w:val="24"/>
          <w:szCs w:val="24"/>
        </w:rPr>
        <w:t xml:space="preserve">The effectiveness of NDCs depends critically on the quality of underlying analysis, the robustness of implementation frameworks, and the reliability of tracking systems. NDC tools provide the technical infrastructure that enables countries to develop evidence-based climate commitments, design effective policies, mobilize necessary resources, and demonstrate progress toward their goals.</w:t>
      </w:r>
    </w:p>
    <w:p>
      <w:pPr>
        <w:pStyle w:val="Heading2"/>
      </w:pPr>
      <w:r>
        <w:rPr>
          <w:b/>
          <w:bCs/>
        </w:rPr>
        <w:t xml:space="preserve">1.2 The NDC Lifecycle</w:t>
      </w:r>
    </w:p>
    <w:p>
      <w:pPr>
        <w:spacing w:after="200" w:line="276"/>
        <w:jc w:val="both"/>
      </w:pPr>
      <w:r>
        <w:rPr>
          <w:rFonts w:ascii="Arial" w:cs="Arial" w:eastAsia="Arial" w:hAnsi="Arial"/>
          <w:sz w:val="24"/>
          <w:szCs w:val="24"/>
        </w:rPr>
        <w:t xml:space="preserve">The NDC lifecycle encompasses five interconnected phases, each requiring specific analytical tools and support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Phase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Description</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Outputs</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Primary Tools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 current situation, identify priorities, engage stakeholders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assessment, priority sectors, stakeholder map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tools, stakeholder platforms</w:t>
            </w:r>
          </w:p>
        </w:tc>
      </w:tr>
      <w:tr>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Formulation</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Set targets, design policies, assess feasibility</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Targets, policy packages, technical documentation</w:t>
            </w:r>
          </w:p>
        </w:tc>
        <w:tc>
          <w:tcPr>
            <w:tcW w:type="dxa" w:w="29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Modeling tools, scenario analysis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Execute policies, mobilize resources, coordinate actions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instruments, investment plans, institutional arrangements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management, finance tools</w:t>
            </w:r>
          </w:p>
        </w:tc>
      </w:tr>
      <w:tr>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Tracking</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Monitor progress, evaluate effectiveness, report results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Progress indicators, evaluation reports, BTR inputs</w:t>
            </w:r>
          </w:p>
        </w:tc>
        <w:tc>
          <w:tcPr>
            <w:tcW w:type="dxa" w:w="29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MRV systems, tracking platforms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 performance, revise targets, enhance ambition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 NDC, lessons learned, improvement plans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 tools, review frameworks</w:t>
            </w:r>
          </w:p>
        </w:tc>
      </w:tr>
    </w:tbl>
    <w:p>
      <w:pPr>
        <w:spacing w:before="200"/>
      </w:pPr>
    </w:p>
    <w:p>
      <w:pPr>
        <w:pStyle w:val="Heading2"/>
      </w:pPr>
      <w:r>
        <w:rPr>
          <w:b/>
          <w:bCs/>
        </w:rPr>
        <w:t xml:space="preserve">1.3 Paris Agreement Requirements</w:t>
      </w:r>
    </w:p>
    <w:p>
      <w:pPr>
        <w:spacing w:after="200" w:line="276"/>
        <w:jc w:val="both"/>
      </w:pPr>
      <w:r>
        <w:rPr>
          <w:rFonts w:ascii="Arial" w:cs="Arial" w:eastAsia="Arial" w:hAnsi="Arial"/>
          <w:sz w:val="24"/>
          <w:szCs w:val="24"/>
        </w:rPr>
        <w:t xml:space="preserve">Article 4 of the Paris Agreement establishes the framework for NDCs, requiring Parties to pursue domestic mitigation measures with the aim of achieving the objectives of their contributions. The Agreement also establishes that each Party's successive NDC will represent a progression beyond its current NDC and reflect its highest possible ambition.</w:t>
      </w:r>
    </w:p>
    <w:p>
      <w:pPr>
        <w:pStyle w:val="Heading3"/>
      </w:pPr>
      <w:r>
        <w:rPr>
          <w:b/>
          <w:bCs/>
        </w:rPr>
        <w:t xml:space="preserve">1.3.1 NDC Submission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NDC Cycle</w:t>
            </w:r>
          </w:p>
        </w:tc>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Submission Deadline</w:t>
            </w:r>
          </w:p>
        </w:tc>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Target Year</w:t>
            </w:r>
          </w:p>
        </w:tc>
        <w:tc>
          <w:tcPr>
            <w:tcW w:type="dxa" w:w="28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Requirements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NDC 1.0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2015-2016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2025/2030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 commitments under Paris Agreement</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NDC 2.0</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2020-2021</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2030</w:t>
            </w:r>
          </w:p>
        </w:tc>
        <w:tc>
          <w:tcPr>
            <w:tcW w:type="dxa" w:w="28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Updated/enhanced commitments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NDC 3.0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February 2025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2035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targets, enhanced ambition, GST response</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NDC 4.0</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2030</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2040</w:t>
            </w:r>
          </w:p>
        </w:tc>
        <w:tc>
          <w:tcPr>
            <w:tcW w:type="dxa" w:w="28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Progressive increase in ambition</w:t>
            </w:r>
          </w:p>
        </w:tc>
      </w:tr>
    </w:tbl>
    <w:p>
      <w:pPr>
        <w:spacing w:before="200"/>
      </w:pPr>
    </w:p>
    <w:p>
      <w:pPr>
        <w:pStyle w:val="Heading2"/>
      </w:pPr>
      <w:r>
        <w:rPr>
          <w:b/>
          <w:bCs/>
        </w:rPr>
        <w:t xml:space="preserve">1.4 Global Stocktake Integration</w:t>
      </w:r>
    </w:p>
    <w:p>
      <w:pPr>
        <w:spacing w:after="200" w:line="276"/>
        <w:jc w:val="both"/>
      </w:pPr>
      <w:r>
        <w:rPr>
          <w:rFonts w:ascii="Arial" w:cs="Arial" w:eastAsia="Arial" w:hAnsi="Arial"/>
          <w:sz w:val="24"/>
          <w:szCs w:val="24"/>
        </w:rPr>
        <w:t xml:space="preserve">The first Global Stocktake (GST), concluded at COP28 in 2023, provides a critical input for NDC 3.0 preparation. The GST outcome calls for enhanced ambition in the next round of NDCs, with specific guidance on transitioning away from fossil fuels, tripling renewable energy capacity, doubling energy efficiency, and substantially reducing non-CO2 emissions.</w:t>
      </w:r>
    </w:p>
    <w:p>
      <w:r>
        <w:br w:type="page"/>
      </w:r>
    </w:p>
    <w:p>
      <w:pPr>
        <w:pStyle w:val="Heading1"/>
      </w:pPr>
      <w:r>
        <w:rPr>
          <w:b/>
          <w:bCs/>
        </w:rPr>
        <w:t xml:space="preserve">2. NDC TOOL ECOSYSTEM</w:t>
      </w:r>
    </w:p>
    <w:p>
      <w:pPr>
        <w:pStyle w:val="Heading2"/>
      </w:pPr>
      <w:r>
        <w:rPr>
          <w:b/>
          <w:bCs/>
        </w:rPr>
        <w:t xml:space="preserve">2.1 Overview of Tool Categories</w:t>
      </w:r>
    </w:p>
    <w:p>
      <w:pPr>
        <w:spacing w:after="200" w:line="276"/>
        <w:jc w:val="both"/>
      </w:pPr>
      <w:r>
        <w:rPr>
          <w:rFonts w:ascii="Arial" w:cs="Arial" w:eastAsia="Arial" w:hAnsi="Arial"/>
          <w:sz w:val="24"/>
          <w:szCs w:val="24"/>
        </w:rPr>
        <w:t xml:space="preserve">The NDC tool ecosystem comprises multiple categories of analytical and management tools, each serving specific functions within the NDC lifecycle. An effective national system integrates these tools to ensure consistency, avoid duplication, and maximize synergies.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Primary Function</w:t>
            </w:r>
          </w:p>
        </w:tc>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Examples</w:t>
            </w:r>
          </w:p>
        </w:tc>
        <w:tc>
          <w:tcPr>
            <w:tcW w:type="dxa" w:w="2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Integration Points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GHG Inventory Tools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Quantify emissions by source and sink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IPCC Software, ALU Tool, FAOSTAT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 tracking, BTR</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Energy Modeling</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Analyze energy system scenarios</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LEAP, TIMES, OSeMOSYS, MESSAGE</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Target setting, policy design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Macro-Economic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 economy-wide impacts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CGE models, E3ME, GCAM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Feasibility, co-benefits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Sector-Specific</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Detailed sector analysis</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EFFECT, FLINT, AFOLU models</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 targets, measures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Costing/Finance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Estimate investment needs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CPEIR, MRV finance tools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Resource mobilization</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Tracking/MRV</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Monitor and report progress</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Climate Watch, NDC Tracker</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BTR preparation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Planning Platforms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Coordinate NDC processes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NDC Partnership, ICAT tools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Stakeholder engagement</w:t>
            </w:r>
          </w:p>
        </w:tc>
      </w:tr>
    </w:tbl>
    <w:p>
      <w:pPr>
        <w:spacing w:before="200"/>
      </w:pPr>
    </w:p>
    <w:p>
      <w:pPr>
        <w:pStyle w:val="Heading2"/>
      </w:pPr>
      <w:r>
        <w:rPr>
          <w:b/>
          <w:bCs/>
        </w:rPr>
        <w:t xml:space="preserve">2.2 Tool Selection Framework</w:t>
      </w:r>
    </w:p>
    <w:p>
      <w:pPr>
        <w:spacing w:after="200" w:line="276"/>
        <w:jc w:val="both"/>
      </w:pPr>
      <w:r>
        <w:rPr>
          <w:rFonts w:ascii="Arial" w:cs="Arial" w:eastAsia="Arial" w:hAnsi="Arial"/>
          <w:sz w:val="24"/>
          <w:szCs w:val="24"/>
        </w:rPr>
        <w:t xml:space="preserve">Selecting appropriate tools requires systematic assessment of national circumstances, available resources, and specific analytical needs. Key selection criteria include technical requirements and capabilities, data availability and quality, institutional capacity and expertise, cost and sustainability considerations, and interoperability with existing systems.</w:t>
      </w:r>
    </w:p>
    <w:p>
      <w:pPr>
        <w:pStyle w:val="Heading2"/>
      </w:pPr>
      <w:r>
        <w:rPr>
          <w:b/>
          <w:bCs/>
        </w:rPr>
        <w:t xml:space="preserve">2.3 Tool Integration Architecture</w:t>
      </w:r>
    </w:p>
    <w:p>
      <w:pPr>
        <w:spacing w:after="200" w:line="276"/>
        <w:jc w:val="both"/>
      </w:pPr>
      <w:r>
        <w:rPr>
          <w:rFonts w:ascii="Arial" w:cs="Arial" w:eastAsia="Arial" w:hAnsi="Arial"/>
          <w:sz w:val="24"/>
          <w:szCs w:val="24"/>
        </w:rPr>
        <w:t xml:space="preserve">Effective NDC tool systems require integration across multiple dimensions. Data integration ensures consistent use of activity data, emission factors, and parameters across tools. Temporal integration maintains consistency between historical data, current assessments, and future projections. Sectoral integration aligns assumptions and results across energy, IPPU, agriculture, LULUCF, and waste. Institutional integration connects tools used by different agencies and stakeholders.</w:t>
      </w:r>
    </w:p>
    <w:p>
      <w:r>
        <w:br w:type="page"/>
      </w:r>
    </w:p>
    <w:p>
      <w:pPr>
        <w:pStyle w:val="Heading1"/>
      </w:pPr>
      <w:r>
        <w:rPr>
          <w:b/>
          <w:bCs/>
        </w:rPr>
        <w:t xml:space="preserve">3. BASELINE AND INVENTORY TOOLS</w:t>
      </w:r>
    </w:p>
    <w:p>
      <w:pPr>
        <w:pStyle w:val="Heading2"/>
      </w:pPr>
      <w:r>
        <w:rPr>
          <w:b/>
          <w:bCs/>
        </w:rPr>
        <w:t xml:space="preserve">3.1 Role in NDC Development</w:t>
      </w:r>
    </w:p>
    <w:p>
      <w:pPr>
        <w:spacing w:after="200" w:line="276"/>
        <w:jc w:val="both"/>
      </w:pPr>
      <w:r>
        <w:rPr>
          <w:rFonts w:ascii="Arial" w:cs="Arial" w:eastAsia="Arial" w:hAnsi="Arial"/>
          <w:sz w:val="24"/>
          <w:szCs w:val="24"/>
        </w:rPr>
        <w:t xml:space="preserve">Accurate baseline emissions data is fundamental to NDC development. Baseline tools establish the reference point against which targets are set, progress is measured, and ambition is demonstrated. These tools must provide comprehensive coverage of emission sources and sinks, consistent time series data, and transparent methodologies.</w:t>
      </w:r>
    </w:p>
    <w:p>
      <w:pPr>
        <w:pStyle w:val="Heading2"/>
      </w:pPr>
      <w:r>
        <w:rPr>
          <w:b/>
          <w:bCs/>
        </w:rPr>
        <w:t xml:space="preserve">3.2 GHG Inventory Software</w:t>
      </w:r>
    </w:p>
    <w:p>
      <w:pPr>
        <w:pStyle w:val="Heading3"/>
      </w:pPr>
      <w:r>
        <w:rPr>
          <w:b/>
          <w:bCs/>
        </w:rPr>
        <w:t xml:space="preserve">3.2.1 IPCC Inventory Software</w:t>
      </w:r>
    </w:p>
    <w:p>
      <w:pPr>
        <w:spacing w:after="200" w:line="276"/>
        <w:jc w:val="both"/>
      </w:pPr>
      <w:r>
        <w:rPr>
          <w:rFonts w:ascii="Arial" w:cs="Arial" w:eastAsia="Arial" w:hAnsi="Arial"/>
          <w:sz w:val="24"/>
          <w:szCs w:val="24"/>
        </w:rPr>
        <w:t xml:space="preserve">The IPCC Inventory Software is an application for estimating anthropogenic emissions by sources and removals by sinks of greenhouse gases. It implements the 2006 IPCC Guidelines and supports Tier 1 calculations for all sectors. The software includes built-in IPCC default emission factors, automatic uncertainty propagation, and CRF-compatible output formats.</w:t>
      </w:r>
    </w:p>
    <w:p>
      <w:pPr>
        <w:pStyle w:val="Heading3"/>
      </w:pPr>
      <w:r>
        <w:rPr>
          <w:b/>
          <w:bCs/>
        </w:rPr>
        <w:t xml:space="preserve">3.2.2 Agriculture and Land Use (ALU) Software</w:t>
      </w:r>
    </w:p>
    <w:p>
      <w:pPr>
        <w:spacing w:after="200" w:line="276"/>
        <w:jc w:val="both"/>
      </w:pPr>
      <w:r>
        <w:rPr>
          <w:rFonts w:ascii="Arial" w:cs="Arial" w:eastAsia="Arial" w:hAnsi="Arial"/>
          <w:sz w:val="24"/>
          <w:szCs w:val="24"/>
        </w:rPr>
        <w:t xml:space="preserve">The ALU Software is designed specifically for the Agriculture, Forestry, and Other Land Use (AFOLU) sector. It supports Tier 1 through Tier 3 methodologies and includes specialized modules for livestock emissions, rice cultivation, agricultural soils, and land use change. The tool provides detailed carbon stock tracking for forest lands and other carbon pools.</w:t>
      </w:r>
    </w:p>
    <w:p>
      <w:pPr>
        <w:pStyle w:val="Heading2"/>
      </w:pPr>
      <w:r>
        <w:rPr>
          <w:b/>
          <w:bCs/>
        </w:rPr>
        <w:t xml:space="preserve">3.3 Sector-Specific Baseline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Tool</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Sector Focus</w:t>
            </w:r>
          </w:p>
        </w:tc>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Features</w:t>
            </w:r>
          </w:p>
        </w:tc>
        <w:tc>
          <w:tcPr>
            <w:tcW w:type="dxa" w:w="2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Developer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IPCC Software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sectors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1 calculations, CRF output, uncertainty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IPCC</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ALU Software</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AFOLU</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Tier 1-3, carbon stocks, land use matrix</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Colorado State/USAID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FAOSTAT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Agriculture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database, emission estimates, trends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FAO</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Global Forest Watch</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Forestry</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Deforestation alerts, forest cover, carbon</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WRI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EDGAR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sectors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emissions database, gridded data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JRC/PBL</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GAINS</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Air pollution/GHG</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Co-benefits analysis, scenarios</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IIASA</w:t>
            </w:r>
          </w:p>
        </w:tc>
      </w:tr>
    </w:tbl>
    <w:p>
      <w:pPr>
        <w:spacing w:before="200"/>
      </w:pPr>
    </w:p>
    <w:p>
      <w:pPr>
        <w:pStyle w:val="Heading2"/>
      </w:pPr>
      <w:r>
        <w:rPr>
          <w:b/>
          <w:bCs/>
        </w:rPr>
        <w:t xml:space="preserve">3.4 Baseline Scenario Development</w:t>
      </w:r>
    </w:p>
    <w:p>
      <w:pPr>
        <w:spacing w:after="200" w:line="276"/>
        <w:jc w:val="both"/>
      </w:pPr>
      <w:r>
        <w:rPr>
          <w:rFonts w:ascii="Arial" w:cs="Arial" w:eastAsia="Arial" w:hAnsi="Arial"/>
          <w:sz w:val="24"/>
          <w:szCs w:val="24"/>
        </w:rPr>
        <w:t xml:space="preserve">The baseline scenario (also called business-as-usual or reference scenario) represents projected emissions in the absence of new climate policies. Developing robust baselines requires historical emissions trend analysis, GDP and population projections, sector-specific activity drivers, technology assumptions and efficiency trends, and consideration of existing policies and their effects.</w:t>
      </w:r>
    </w:p>
    <w:p>
      <w:r>
        <w:br w:type="page"/>
      </w:r>
    </w:p>
    <w:p>
      <w:pPr>
        <w:pStyle w:val="Heading1"/>
      </w:pPr>
      <w:r>
        <w:rPr>
          <w:b/>
          <w:bCs/>
        </w:rPr>
        <w:t xml:space="preserve">4. ENERGY SYSTEM MODELING TOOLS</w:t>
      </w:r>
    </w:p>
    <w:p>
      <w:pPr>
        <w:pStyle w:val="Heading2"/>
      </w:pPr>
      <w:r>
        <w:rPr>
          <w:b/>
          <w:bCs/>
        </w:rPr>
        <w:t xml:space="preserve">4.1 Role in NDC Development</w:t>
      </w:r>
    </w:p>
    <w:p>
      <w:pPr>
        <w:spacing w:after="200" w:line="276"/>
        <w:jc w:val="both"/>
      </w:pPr>
      <w:r>
        <w:rPr>
          <w:rFonts w:ascii="Arial" w:cs="Arial" w:eastAsia="Arial" w:hAnsi="Arial"/>
          <w:sz w:val="24"/>
          <w:szCs w:val="24"/>
        </w:rPr>
        <w:t xml:space="preserve">Energy modeling tools are essential for NDC development given that energy-related emissions typically represent 70-80% of total GHG emissions in most countries. These tools enable scenario analysis, policy impact assessment, technology pathway evaluation, and cost-benefit analysis for the energy sector.</w:t>
      </w:r>
    </w:p>
    <w:p>
      <w:pPr>
        <w:pStyle w:val="Heading2"/>
      </w:pPr>
      <w:r>
        <w:rPr>
          <w:b/>
          <w:bCs/>
        </w:rPr>
        <w:t xml:space="preserve">4.2 LEAP: Low Emissions Analysis Platform</w:t>
      </w:r>
    </w:p>
    <w:p>
      <w:pPr>
        <w:spacing w:after="200" w:line="276"/>
        <w:jc w:val="both"/>
      </w:pPr>
      <w:r>
        <w:rPr>
          <w:rFonts w:ascii="Arial" w:cs="Arial" w:eastAsia="Arial" w:hAnsi="Arial"/>
          <w:sz w:val="24"/>
          <w:szCs w:val="24"/>
        </w:rPr>
        <w:t xml:space="preserve">LEAP is one of the most widely used energy planning tools globally, with over 60 countries using it for NDC development. LEAP provides an integrated framework for energy demand analysis, transformation modeling, GHG emissions accounting, and cost-benefit assessment.</w:t>
      </w:r>
    </w:p>
    <w:p>
      <w:pPr>
        <w:pStyle w:val="Heading3"/>
      </w:pPr>
      <w:r>
        <w:rPr>
          <w:b/>
          <w:bCs/>
        </w:rPr>
        <w:t xml:space="preserve">4.2.1 Key Capabilities</w:t>
      </w:r>
    </w:p>
    <w:p>
      <w:pPr>
        <w:pStyle w:val="ListParagraph"/>
        <w:numPr>
          <w:ilvl w:val="0"/>
          <w:numId w:val="2"/>
        </w:numPr>
        <w:spacing w:after="120"/>
      </w:pPr>
      <w:r>
        <w:rPr>
          <w:rFonts w:ascii="Arial" w:cs="Arial" w:eastAsia="Arial" w:hAnsi="Arial"/>
          <w:sz w:val="24"/>
          <w:szCs w:val="24"/>
        </w:rPr>
        <w:t xml:space="preserve">Demand analysis by sector, subsector, and end-use with technology detail</w:t>
      </w:r>
    </w:p>
    <w:p>
      <w:pPr>
        <w:pStyle w:val="ListParagraph"/>
        <w:numPr>
          <w:ilvl w:val="0"/>
          <w:numId w:val="2"/>
        </w:numPr>
        <w:spacing w:after="120"/>
      </w:pPr>
      <w:r>
        <w:rPr>
          <w:rFonts w:ascii="Arial" w:cs="Arial" w:eastAsia="Arial" w:hAnsi="Arial"/>
          <w:sz w:val="24"/>
          <w:szCs w:val="24"/>
        </w:rPr>
        <w:t xml:space="preserve">Transformation modules for power generation, refining, and other conversion processes</w:t>
      </w:r>
    </w:p>
    <w:p>
      <w:pPr>
        <w:pStyle w:val="ListParagraph"/>
        <w:numPr>
          <w:ilvl w:val="0"/>
          <w:numId w:val="2"/>
        </w:numPr>
        <w:spacing w:after="120"/>
      </w:pPr>
      <w:r>
        <w:rPr>
          <w:rFonts w:ascii="Arial" w:cs="Arial" w:eastAsia="Arial" w:hAnsi="Arial"/>
          <w:sz w:val="24"/>
          <w:szCs w:val="24"/>
        </w:rPr>
        <w:t xml:space="preserve">Resource accounting for primary energy supply and extraction</w:t>
      </w:r>
    </w:p>
    <w:p>
      <w:pPr>
        <w:pStyle w:val="ListParagraph"/>
        <w:numPr>
          <w:ilvl w:val="0"/>
          <w:numId w:val="2"/>
        </w:numPr>
        <w:spacing w:after="120"/>
      </w:pPr>
      <w:r>
        <w:rPr>
          <w:rFonts w:ascii="Arial" w:cs="Arial" w:eastAsia="Arial" w:hAnsi="Arial"/>
          <w:sz w:val="24"/>
          <w:szCs w:val="24"/>
        </w:rPr>
        <w:t xml:space="preserve">Environmental loading calculations for GHGs and air pollutants</w:t>
      </w:r>
    </w:p>
    <w:p>
      <w:pPr>
        <w:pStyle w:val="ListParagraph"/>
        <w:numPr>
          <w:ilvl w:val="0"/>
          <w:numId w:val="2"/>
        </w:numPr>
        <w:spacing w:after="200"/>
      </w:pPr>
      <w:r>
        <w:rPr>
          <w:rFonts w:ascii="Arial" w:cs="Arial" w:eastAsia="Arial" w:hAnsi="Arial"/>
          <w:sz w:val="24"/>
          <w:szCs w:val="24"/>
        </w:rPr>
        <w:t xml:space="preserve">Optimization capability through NEMO integration for least-cost expansion</w:t>
      </w:r>
    </w:p>
    <w:p>
      <w:pPr>
        <w:pStyle w:val="Heading2"/>
      </w:pPr>
      <w:r>
        <w:rPr>
          <w:b/>
          <w:bCs/>
        </w:rPr>
        <w:t xml:space="preserve">4.3 Other Energy Modeling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Model</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Type</w:t>
            </w:r>
          </w:p>
        </w:tc>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Features</w:t>
            </w:r>
          </w:p>
        </w:tc>
        <w:tc>
          <w:tcPr>
            <w:tcW w:type="dxa" w:w="2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Typical Applications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Flexible, user-friendly, integrated analysis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energy planning, NDCs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TIMES/MARKAL</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Optimization</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Least-cost, technology-rich, long-term</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Decarbonization pathways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OSeMOSYS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Optimization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Open-source, modular, capacity expansion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sector planning</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MESSAGE</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Optimization</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Integrated assessment, global/national</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Long-term scenarios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PLEXOS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Simulation/Opt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system operations, dispatch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Grid integration studies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RETScreen</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Project analysis</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Clean energy feasibility, financial</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Project assessment</w:t>
            </w:r>
          </w:p>
        </w:tc>
      </w:tr>
    </w:tbl>
    <w:p>
      <w:pPr>
        <w:spacing w:before="200"/>
      </w:pPr>
    </w:p>
    <w:p>
      <w:pPr>
        <w:pStyle w:val="Heading2"/>
      </w:pPr>
      <w:r>
        <w:rPr>
          <w:b/>
          <w:bCs/>
        </w:rPr>
        <w:t xml:space="preserve">4.4 Scenario Development Framework</w:t>
      </w:r>
    </w:p>
    <w:p>
      <w:pPr>
        <w:spacing w:after="200" w:line="276"/>
        <w:jc w:val="both"/>
      </w:pPr>
      <w:r>
        <w:rPr>
          <w:rFonts w:ascii="Arial" w:cs="Arial" w:eastAsia="Arial" w:hAnsi="Arial"/>
          <w:sz w:val="24"/>
          <w:szCs w:val="24"/>
        </w:rPr>
        <w:t xml:space="preserve">Energy modeling for NDCs typically involves developing multiple scenarios including a Reference Scenario (business-as-usual with existing policies), NDC Scenario (policies and measures to achieve NDC targets), Enhanced Ambition Scenario (more aggressive mitigation consistent with 1.5/2°C), and Sensitivity Scenarios (testing key uncertainties like fuel prices, technology costs).</w:t>
      </w:r>
    </w:p>
    <w:p>
      <w:r>
        <w:br w:type="page"/>
      </w:r>
    </w:p>
    <w:p>
      <w:pPr>
        <w:pStyle w:val="Heading1"/>
      </w:pPr>
      <w:r>
        <w:rPr>
          <w:b/>
          <w:bCs/>
        </w:rPr>
        <w:t xml:space="preserve">5. SECTOR-SPECIFIC MODELING TOOLS</w:t>
      </w:r>
    </w:p>
    <w:p>
      <w:pPr>
        <w:pStyle w:val="Heading2"/>
      </w:pPr>
      <w:r>
        <w:rPr>
          <w:b/>
          <w:bCs/>
        </w:rPr>
        <w:t xml:space="preserve">5.1 Transport Sector Tools</w:t>
      </w:r>
    </w:p>
    <w:p>
      <w:pPr>
        <w:spacing w:after="200" w:line="276"/>
        <w:jc w:val="both"/>
      </w:pPr>
      <w:r>
        <w:rPr>
          <w:rFonts w:ascii="Arial" w:cs="Arial" w:eastAsia="Arial" w:hAnsi="Arial"/>
          <w:sz w:val="24"/>
          <w:szCs w:val="24"/>
        </w:rPr>
        <w:t xml:space="preserve">Transport sector modeling requires specialized tools that capture mode choice, vehicle technology, fuel mix, and activity patterns. Key tools include EFFECT (Evaluating Fossil Fuel Emissions with Comprehensive Transportation), which analyzes road transport emissions scenarios, and ASIF (Activity-Structure-Intensity-Fuel) frameworks that decompose emissions drivers.</w:t>
      </w:r>
    </w:p>
    <w:p>
      <w:pPr>
        <w:pStyle w:val="Heading2"/>
      </w:pPr>
      <w:r>
        <w:rPr>
          <w:b/>
          <w:bCs/>
        </w:rPr>
        <w:t xml:space="preserve">5.2 Industrial Sector Tools</w:t>
      </w:r>
    </w:p>
    <w:p>
      <w:pPr>
        <w:spacing w:after="200" w:line="276"/>
        <w:jc w:val="both"/>
      </w:pPr>
      <w:r>
        <w:rPr>
          <w:rFonts w:ascii="Arial" w:cs="Arial" w:eastAsia="Arial" w:hAnsi="Arial"/>
          <w:sz w:val="24"/>
          <w:szCs w:val="24"/>
        </w:rPr>
        <w:t xml:space="preserve">Industrial emissions modeling covers both combustion and process emissions. Tools must address energy efficiency, fuel switching, process optimization, and carbon capture. The EFFECT tool provides industrial subsector analysis, while specialized models exist for cement, steel, and chemicals.</w:t>
      </w:r>
    </w:p>
    <w:p>
      <w:pPr>
        <w:pStyle w:val="Heading2"/>
      </w:pPr>
      <w:r>
        <w:rPr>
          <w:b/>
          <w:bCs/>
        </w:rPr>
        <w:t xml:space="preserve">5.3 AFOLU Sector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Tool</w:t>
            </w:r>
          </w:p>
        </w:tc>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Focus Area</w:t>
            </w:r>
          </w:p>
        </w:tc>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Capabilities</w:t>
            </w:r>
          </w:p>
        </w:tc>
        <w:tc>
          <w:tcPr>
            <w:tcW w:type="dxa" w:w="2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Spatial Scale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 sector carbon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Carbon stock changes, land use transitions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Spatial/national</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EX-ACT</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Agriculture/forestry</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Project-level carbon accounting</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Project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GLEAM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Livestock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emissions model, feed, manure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Global/national</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CBM-CFS3</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Forestry</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Forest carbon budget model</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National/regional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COMET-Farm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Agriculture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Farm-level GHG, conservation practices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Farm/regional</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Collect Earth</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Land monitoring</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Satellite-based land cover assessment</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National</w:t>
            </w:r>
          </w:p>
        </w:tc>
      </w:tr>
    </w:tbl>
    <w:p>
      <w:pPr>
        <w:spacing w:before="200"/>
      </w:pPr>
    </w:p>
    <w:p>
      <w:pPr>
        <w:pStyle w:val="Heading2"/>
      </w:pPr>
      <w:r>
        <w:rPr>
          <w:b/>
          <w:bCs/>
        </w:rPr>
        <w:t xml:space="preserve">5.4 Waste Sector Tools</w:t>
      </w:r>
    </w:p>
    <w:p>
      <w:pPr>
        <w:spacing w:after="200" w:line="276"/>
        <w:jc w:val="both"/>
      </w:pPr>
      <w:r>
        <w:rPr>
          <w:rFonts w:ascii="Arial" w:cs="Arial" w:eastAsia="Arial" w:hAnsi="Arial"/>
          <w:sz w:val="24"/>
          <w:szCs w:val="24"/>
        </w:rPr>
        <w:t xml:space="preserve">Waste sector modeling addresses solid waste management, wastewater treatment, and biological waste processing. The IPCC First Order Decay model provides the methodological foundation, implemented in tools like the IPCC Waste Model and national waste sector tools. Key parameters include waste generation rates, composition, disposal practices, and methane recovery.</w:t>
      </w:r>
    </w:p>
    <w:p>
      <w:pPr>
        <w:pStyle w:val="Heading2"/>
      </w:pPr>
      <w:r>
        <w:rPr>
          <w:b/>
          <w:bCs/>
        </w:rPr>
        <w:t xml:space="preserve">5.5 Buildings Sector Tools</w:t>
      </w:r>
    </w:p>
    <w:p>
      <w:pPr>
        <w:spacing w:after="200" w:line="276"/>
        <w:jc w:val="both"/>
      </w:pPr>
      <w:r>
        <w:rPr>
          <w:rFonts w:ascii="Arial" w:cs="Arial" w:eastAsia="Arial" w:hAnsi="Arial"/>
          <w:sz w:val="24"/>
          <w:szCs w:val="24"/>
        </w:rPr>
        <w:t xml:space="preserve">Buildings modeling covers residential and commercial energy use, including heating, cooling, lighting, and appliances. Tools range from bottom-up engineering models (building archetypes, technology stocks) to top-down econometric approaches. Key considerations include building stock turnover, efficiency standards, and electrification pathways.</w:t>
      </w:r>
    </w:p>
    <w:p>
      <w:r>
        <w:br w:type="page"/>
      </w:r>
    </w:p>
    <w:p>
      <w:pPr>
        <w:pStyle w:val="Heading1"/>
      </w:pPr>
      <w:r>
        <w:rPr>
          <w:b/>
          <w:bCs/>
        </w:rPr>
        <w:t xml:space="preserve">6. TARGET SETTING AND AMBITION TOOLS</w:t>
      </w:r>
    </w:p>
    <w:p>
      <w:pPr>
        <w:pStyle w:val="Heading2"/>
      </w:pPr>
      <w:r>
        <w:rPr>
          <w:b/>
          <w:bCs/>
        </w:rPr>
        <w:t xml:space="preserve">6.1 NDC Target Types</w:t>
      </w:r>
    </w:p>
    <w:p>
      <w:pPr>
        <w:spacing w:after="200" w:line="276"/>
        <w:jc w:val="both"/>
      </w:pPr>
      <w:r>
        <w:rPr>
          <w:rFonts w:ascii="Arial" w:cs="Arial" w:eastAsia="Arial" w:hAnsi="Arial"/>
          <w:sz w:val="24"/>
          <w:szCs w:val="24"/>
        </w:rPr>
        <w:t xml:space="preserve">NDCs can express targets in various forms, each requiring different analytical tools for development and tracking. The choice of target type affects data requirements, methodological complexity, and comparability.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Target Type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Description</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Examples</w:t>
            </w:r>
          </w:p>
        </w:tc>
        <w:tc>
          <w:tcPr>
            <w:tcW w:type="dxa" w:w="25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Tool Requirements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Absolute reduction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Reduction from base year emissions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 below 2010 by 2030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projections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BAU deviation</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Reduction below projected baseline</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-30% below BAU by 2030</w:t>
            </w:r>
          </w:p>
        </w:tc>
        <w:tc>
          <w:tcPr>
            <w:tcW w:type="dxa" w:w="25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Baseline modeling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Intensity-based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Emissions per unit GDP/output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emissions/GDP by 2030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Economic data, projections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Peaking year</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Year of emission peak</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Peak emissions by 2030</w:t>
            </w:r>
          </w:p>
        </w:tc>
        <w:tc>
          <w:tcPr>
            <w:tcW w:type="dxa" w:w="25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Long-term modeling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Carbon neutrality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Net-zero emissions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Net-zero by 2050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economy modeling</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Sectoral targets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Sector-specific goals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100% renewable power by 2040</w:t>
            </w:r>
          </w:p>
        </w:tc>
        <w:tc>
          <w:tcPr>
            <w:tcW w:type="dxa" w:w="25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 models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Policies &amp; measures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Specific actions to implement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out coal by 2035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impact assessment</w:t>
            </w:r>
          </w:p>
        </w:tc>
      </w:tr>
    </w:tbl>
    <w:p>
      <w:pPr>
        <w:spacing w:before="200"/>
      </w:pPr>
    </w:p>
    <w:p>
      <w:pPr>
        <w:pStyle w:val="Heading2"/>
      </w:pPr>
      <w:r>
        <w:rPr>
          <w:b/>
          <w:bCs/>
        </w:rPr>
        <w:t xml:space="preserve">6.2 Ambition Assessment Tools</w:t>
      </w:r>
    </w:p>
    <w:p>
      <w:pPr>
        <w:pStyle w:val="Heading3"/>
      </w:pPr>
      <w:r>
        <w:rPr>
          <w:b/>
          <w:bCs/>
        </w:rPr>
        <w:t xml:space="preserve">6.2.1 Climate Action Tracker</w:t>
      </w:r>
    </w:p>
    <w:p>
      <w:pPr>
        <w:spacing w:after="200" w:line="276"/>
        <w:jc w:val="both"/>
      </w:pPr>
      <w:r>
        <w:rPr>
          <w:rFonts w:ascii="Arial" w:cs="Arial" w:eastAsia="Arial" w:hAnsi="Arial"/>
          <w:sz w:val="24"/>
          <w:szCs w:val="24"/>
        </w:rPr>
        <w:t xml:space="preserve">The Climate Action Tracker provides independent scientific analysis of government climate action against the Paris Agreement goals. It rates NDCs and policies against fair share benchmarks, enabling countries to assess their ambition relative to global pathways and peer countries.</w:t>
      </w:r>
    </w:p>
    <w:p>
      <w:pPr>
        <w:pStyle w:val="Heading3"/>
      </w:pPr>
      <w:r>
        <w:rPr>
          <w:b/>
          <w:bCs/>
        </w:rPr>
        <w:t xml:space="preserve">6.2.2 NDC 3.0 Navigator</w:t>
      </w:r>
    </w:p>
    <w:p>
      <w:pPr>
        <w:spacing w:after="200" w:line="276"/>
        <w:jc w:val="both"/>
      </w:pPr>
      <w:r>
        <w:rPr>
          <w:rFonts w:ascii="Arial" w:cs="Arial" w:eastAsia="Arial" w:hAnsi="Arial"/>
          <w:sz w:val="24"/>
          <w:szCs w:val="24"/>
        </w:rPr>
        <w:t xml:space="preserve">The NDC 3.0 Navigator, developed for the 2025 NDC round, helps countries identify opportunities to raise ambition. It provides guidance on impactful opportunities anchored in national sustainable development priorities, Paris Agreement goals, and Global Stocktake outcomes.</w:t>
      </w:r>
    </w:p>
    <w:p>
      <w:pPr>
        <w:pStyle w:val="Heading2"/>
      </w:pPr>
      <w:r>
        <w:rPr>
          <w:b/>
          <w:bCs/>
        </w:rPr>
        <w:t xml:space="preserve">6.3 Equity and Fairness Frameworks</w:t>
      </w:r>
    </w:p>
    <w:p>
      <w:pPr>
        <w:spacing w:after="200" w:line="276"/>
        <w:jc w:val="both"/>
      </w:pPr>
      <w:r>
        <w:rPr>
          <w:rFonts w:ascii="Arial" w:cs="Arial" w:eastAsia="Arial" w:hAnsi="Arial"/>
          <w:sz w:val="24"/>
          <w:szCs w:val="24"/>
        </w:rPr>
        <w:t xml:space="preserve">NDC targets should reflect considerations of equity and common but differentiated responsibilities. Tools for equity analysis include capability-based approaches (GDP per capita, HDI), responsibility-based approaches (historical emissions, cumulative contributions), equality-based approaches (per capita allocations, development rights), and cost-effectiveness approaches (marginal abatement costs, economic potential).</w:t>
      </w:r>
    </w:p>
    <w:p>
      <w:r>
        <w:br w:type="page"/>
      </w:r>
    </w:p>
    <w:p>
      <w:pPr>
        <w:pStyle w:val="Heading1"/>
      </w:pPr>
      <w:r>
        <w:rPr>
          <w:b/>
          <w:bCs/>
        </w:rPr>
        <w:t xml:space="preserve">7. POLICY ANALYSIS AND DESIGN TOOLS</w:t>
      </w:r>
    </w:p>
    <w:p>
      <w:pPr>
        <w:pStyle w:val="Heading2"/>
      </w:pPr>
      <w:r>
        <w:rPr>
          <w:b/>
          <w:bCs/>
        </w:rPr>
        <w:t xml:space="preserve">7.1 Policy Impact Assessment</w:t>
      </w:r>
    </w:p>
    <w:p>
      <w:pPr>
        <w:spacing w:after="200" w:line="276"/>
        <w:jc w:val="both"/>
      </w:pPr>
      <w:r>
        <w:rPr>
          <w:rFonts w:ascii="Arial" w:cs="Arial" w:eastAsia="Arial" w:hAnsi="Arial"/>
          <w:sz w:val="24"/>
          <w:szCs w:val="24"/>
        </w:rPr>
        <w:t xml:space="preserve">Policy analysis tools enable assessment of individual measures and policy packages. The ICAT Policy Assessment Guides provide standardized methodologies for estimating GHG impacts of policies and actions. These guides cover ex-ante assessment (planning) and ex-post evaluation (implementation).</w:t>
      </w:r>
    </w:p>
    <w:p>
      <w:pPr>
        <w:pStyle w:val="Heading2"/>
      </w:pPr>
      <w:r>
        <w:rPr>
          <w:b/>
          <w:bCs/>
        </w:rPr>
        <w:t xml:space="preserve">7.2 Marginal Abatement Cost Curves</w:t>
      </w:r>
    </w:p>
    <w:p>
      <w:pPr>
        <w:spacing w:after="200" w:line="276"/>
        <w:jc w:val="both"/>
      </w:pPr>
      <w:r>
        <w:rPr>
          <w:rFonts w:ascii="Arial" w:cs="Arial" w:eastAsia="Arial" w:hAnsi="Arial"/>
          <w:sz w:val="24"/>
          <w:szCs w:val="24"/>
        </w:rPr>
        <w:t xml:space="preserve">Marginal Abatement Cost Curves (MACCs) rank mitigation options by cost-effectiveness, enabling identification of least-cost pathways. MACC tools require technical mitigation potential by measure, implementation costs and savings, baseline emissions and activity levels, and technology penetration rates and barriers.</w:t>
      </w:r>
    </w:p>
    <w:p>
      <w:pPr>
        <w:pStyle w:val="Heading2"/>
      </w:pPr>
      <w:r>
        <w:rPr>
          <w:b/>
          <w:bCs/>
        </w:rPr>
        <w:t xml:space="preserve">7.3 Co-Benefits Analysis</w:t>
      </w:r>
    </w:p>
    <w:p>
      <w:pPr>
        <w:spacing w:after="200" w:line="276"/>
        <w:jc w:val="both"/>
      </w:pPr>
      <w:r>
        <w:rPr>
          <w:rFonts w:ascii="Arial" w:cs="Arial" w:eastAsia="Arial" w:hAnsi="Arial"/>
          <w:sz w:val="24"/>
          <w:szCs w:val="24"/>
        </w:rPr>
        <w:t xml:space="preserve">Climate policies generate multiple co-benefits beyond GHG mitigation, including air quality improvements, energy security, job creation, and health benefits. Tools like LEAP-IBC (Integrated Benefits Calculator) quantify air pollution co-benefits alongside climate impacts.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Co-Benefit Category</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Indicators</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Assessment Tools</w:t>
            </w:r>
          </w:p>
        </w:tc>
        <w:tc>
          <w:tcPr>
            <w:tcW w:type="dxa" w:w="2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Valuation Methods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 quality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PM2.5, O3 concentrations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LEAP-IBC, GAINS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impact functions</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Energy security</w:t>
            </w:r>
          </w:p>
        </w:tc>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Import dependence, diversity</w:t>
            </w:r>
          </w:p>
        </w:tc>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Energy models</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Risk assessment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Jobs created/displaced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I-O models, CGE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Employment factors</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Health</w:t>
            </w:r>
          </w:p>
        </w:tc>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Premature deaths avoided</w:t>
            </w:r>
          </w:p>
        </w:tc>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Health impact models</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VSL, DALY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Biodiversity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Habitat, species protection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Ecosystem models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Ecosystem services</w:t>
            </w:r>
          </w:p>
        </w:tc>
      </w:tr>
    </w:tbl>
    <w:p>
      <w:pPr>
        <w:spacing w:before="200"/>
      </w:pPr>
    </w:p>
    <w:p>
      <w:pPr>
        <w:pStyle w:val="Heading2"/>
      </w:pPr>
      <w:r>
        <w:rPr>
          <w:b/>
          <w:bCs/>
        </w:rPr>
        <w:t xml:space="preserve">7.4 Just Transition Analysis</w:t>
      </w:r>
    </w:p>
    <w:p>
      <w:pPr>
        <w:spacing w:after="200" w:line="276"/>
        <w:jc w:val="both"/>
      </w:pPr>
      <w:r>
        <w:rPr>
          <w:rFonts w:ascii="Arial" w:cs="Arial" w:eastAsia="Arial" w:hAnsi="Arial"/>
          <w:sz w:val="24"/>
          <w:szCs w:val="24"/>
        </w:rPr>
        <w:t xml:space="preserve">Just transition tools assess social and economic impacts on workers and communities affected by climate policies. Analysis covers employment impacts in affected sectors, regional economic effects, skills requirements and retraining needs, social protection measures, and stakeholder engagement processes.</w:t>
      </w:r>
    </w:p>
    <w:p>
      <w:r>
        <w:br w:type="page"/>
      </w:r>
    </w:p>
    <w:p>
      <w:pPr>
        <w:pStyle w:val="Heading1"/>
      </w:pPr>
      <w:r>
        <w:rPr>
          <w:b/>
          <w:bCs/>
        </w:rPr>
        <w:t xml:space="preserve">8. ECONOMIC AND COSTING TOOLS</w:t>
      </w:r>
    </w:p>
    <w:p>
      <w:pPr>
        <w:pStyle w:val="Heading2"/>
      </w:pPr>
      <w:r>
        <w:rPr>
          <w:b/>
          <w:bCs/>
        </w:rPr>
        <w:t xml:space="preserve">8.1 NDC Costing Methodologies</w:t>
      </w:r>
    </w:p>
    <w:p>
      <w:pPr>
        <w:spacing w:after="200" w:line="276"/>
        <w:jc w:val="both"/>
      </w:pPr>
      <w:r>
        <w:rPr>
          <w:rFonts w:ascii="Arial" w:cs="Arial" w:eastAsia="Arial" w:hAnsi="Arial"/>
          <w:sz w:val="24"/>
          <w:szCs w:val="24"/>
        </w:rPr>
        <w:t xml:space="preserve">NDC costing estimates the financial resources required to implement climate actions. Comprehensive costing covers incremental investment costs (additional capital for low-carbon options), operational costs and savings (fuel, maintenance, other operating expenses), financing costs (interest, risk premiums, transaction costs), and institutional and capacity costs (systems, training, coordination).</w:t>
      </w:r>
    </w:p>
    <w:p>
      <w:pPr>
        <w:pStyle w:val="Heading2"/>
      </w:pPr>
      <w:r>
        <w:rPr>
          <w:b/>
          <w:bCs/>
        </w:rPr>
        <w:t xml:space="preserve">8.2 Investment and Finance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Tool</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Purpose</w:t>
            </w:r>
          </w:p>
        </w:tc>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Outputs</w:t>
            </w:r>
          </w:p>
        </w:tc>
        <w:tc>
          <w:tcPr>
            <w:tcW w:type="dxa" w:w="2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Users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CPEIR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public expenditure review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budget tagging, expenditure analysis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 ministries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NDC Invest</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NDC investment planning</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Investment needs, financing strategies</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Planning agencies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RETScreen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energy project analysis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Financial feasibility, payback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developers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CPI Landscape</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Climate finance tracking</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Finance flows, sources, instruments</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Policy makers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MDB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Multilateral finance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finance from development banks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International</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GCF Readiness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Climate fund access</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Accreditation, proposal development</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National entities</w:t>
            </w:r>
          </w:p>
        </w:tc>
      </w:tr>
    </w:tbl>
    <w:p>
      <w:pPr>
        <w:spacing w:before="200"/>
      </w:pPr>
    </w:p>
    <w:p>
      <w:pPr>
        <w:pStyle w:val="Heading2"/>
      </w:pPr>
      <w:r>
        <w:rPr>
          <w:b/>
          <w:bCs/>
        </w:rPr>
        <w:t xml:space="preserve">8.3 Macroeconomic Assessment</w:t>
      </w:r>
    </w:p>
    <w:p>
      <w:pPr>
        <w:spacing w:after="200" w:line="276"/>
        <w:jc w:val="both"/>
      </w:pPr>
      <w:r>
        <w:rPr>
          <w:rFonts w:ascii="Arial" w:cs="Arial" w:eastAsia="Arial" w:hAnsi="Arial"/>
          <w:sz w:val="24"/>
          <w:szCs w:val="24"/>
        </w:rPr>
        <w:t xml:space="preserve">Economy-wide impacts of NDC implementation can be assessed using macroeconomic models. Computable General Equilibrium (CGE) models capture intersectoral linkages, trade effects, and employment impacts. Input-Output models provide detailed sectoral analysis. These tools help identify economic opportunities and manage potential negative impacts.</w:t>
      </w:r>
    </w:p>
    <w:p>
      <w:pPr>
        <w:pStyle w:val="Heading2"/>
      </w:pPr>
      <w:r>
        <w:rPr>
          <w:b/>
          <w:bCs/>
        </w:rPr>
        <w:t xml:space="preserve">8.4 Climate Budget Tagging</w:t>
      </w:r>
    </w:p>
    <w:p>
      <w:pPr>
        <w:spacing w:after="200" w:line="276"/>
        <w:jc w:val="both"/>
      </w:pPr>
      <w:r>
        <w:rPr>
          <w:rFonts w:ascii="Arial" w:cs="Arial" w:eastAsia="Arial" w:hAnsi="Arial"/>
          <w:sz w:val="24"/>
          <w:szCs w:val="24"/>
        </w:rPr>
        <w:t xml:space="preserve">Climate budget tagging tracks public expenditures related to climate mitigation and adaptation. This enables assessment of current climate spending, identification of gaps relative to NDC requirements, integration of climate into budget processes, and tracking of domestic climate finance contributions.</w:t>
      </w:r>
    </w:p>
    <w:p>
      <w:r>
        <w:br w:type="page"/>
      </w:r>
    </w:p>
    <w:p>
      <w:pPr>
        <w:pStyle w:val="Heading1"/>
      </w:pPr>
      <w:r>
        <w:rPr>
          <w:b/>
          <w:bCs/>
        </w:rPr>
        <w:t xml:space="preserve">9. IMPLEMENTATION SUPPORT TOOLS</w:t>
      </w:r>
    </w:p>
    <w:p>
      <w:pPr>
        <w:pStyle w:val="Heading2"/>
      </w:pPr>
      <w:r>
        <w:rPr>
          <w:b/>
          <w:bCs/>
        </w:rPr>
        <w:t xml:space="preserve">9.1 NDC Implementation Planning</w:t>
      </w:r>
    </w:p>
    <w:p>
      <w:pPr>
        <w:spacing w:after="200" w:line="276"/>
        <w:jc w:val="both"/>
      </w:pPr>
      <w:r>
        <w:rPr>
          <w:rFonts w:ascii="Arial" w:cs="Arial" w:eastAsia="Arial" w:hAnsi="Arial"/>
          <w:sz w:val="24"/>
          <w:szCs w:val="24"/>
        </w:rPr>
        <w:t xml:space="preserve">Translating NDC targets into implemented actions requires systematic planning tools. Implementation planning covers policy instrument selection, institutional responsibilities, resource allocation, timeline development, and risk management.</w:t>
      </w:r>
    </w:p>
    <w:p>
      <w:pPr>
        <w:pStyle w:val="Heading2"/>
      </w:pPr>
      <w:r>
        <w:rPr>
          <w:b/>
          <w:bCs/>
        </w:rPr>
        <w:t xml:space="preserve">9.2 Policy Instrument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Instrument Type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Examples</w:t>
            </w:r>
          </w:p>
        </w:tc>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Selection Criteria</w:t>
            </w:r>
          </w:p>
        </w:tc>
        <w:tc>
          <w:tcPr>
            <w:tcW w:type="dxa" w:w="25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Assessment Tools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Standards, mandates, bans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Enforceability, coverage, stringency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Regulatory impact assessment</w:t>
            </w:r>
          </w:p>
        </w:tc>
      </w:tr>
      <w:tr>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Economic</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Carbon pricing, subsidies, taxes</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Cost-effectiveness, revenue, competitiveness</w:t>
            </w:r>
          </w:p>
        </w:tc>
        <w:tc>
          <w:tcPr>
            <w:tcW w:type="dxa" w:w="25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Economic modeling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Information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Labels, disclosure, campaigns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Awareness impact, behavioral change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Survey tools, evaluations</w:t>
            </w:r>
          </w:p>
        </w:tc>
      </w:tr>
      <w:tr>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Voluntary</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Agreements, certification</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Participation, additionality</w:t>
            </w:r>
          </w:p>
        </w:tc>
        <w:tc>
          <w:tcPr>
            <w:tcW w:type="dxa" w:w="25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Program evaluation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investment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Infrastructure, R&amp;D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Economic returns, enabling effects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Cost-benefit analysis</w:t>
            </w:r>
          </w:p>
        </w:tc>
      </w:tr>
    </w:tbl>
    <w:p>
      <w:pPr>
        <w:spacing w:before="200"/>
      </w:pPr>
    </w:p>
    <w:p>
      <w:pPr>
        <w:pStyle w:val="Heading2"/>
      </w:pPr>
      <w:r>
        <w:rPr>
          <w:b/>
          <w:bCs/>
        </w:rPr>
        <w:t xml:space="preserve">9.3 Project Pipeline Development</w:t>
      </w:r>
    </w:p>
    <w:p>
      <w:pPr>
        <w:spacing w:after="200" w:line="276"/>
        <w:jc w:val="both"/>
      </w:pPr>
      <w:r>
        <w:rPr>
          <w:rFonts w:ascii="Arial" w:cs="Arial" w:eastAsia="Arial" w:hAnsi="Arial"/>
          <w:sz w:val="24"/>
          <w:szCs w:val="24"/>
        </w:rPr>
        <w:t xml:space="preserve">NDC implementation requires a robust pipeline of bankable projects across sectors. Project development tools support identification and prioritization of opportunities, feasibility assessment and design, financial structuring and risk allocation, and investor engagement and matchmaking.</w:t>
      </w:r>
    </w:p>
    <w:p>
      <w:pPr>
        <w:pStyle w:val="Heading2"/>
      </w:pPr>
      <w:r>
        <w:rPr>
          <w:b/>
          <w:bCs/>
        </w:rPr>
        <w:t xml:space="preserve">9.4 Coordination Platforms</w:t>
      </w:r>
    </w:p>
    <w:p>
      <w:pPr>
        <w:spacing w:after="200" w:line="276"/>
        <w:jc w:val="both"/>
      </w:pPr>
      <w:r>
        <w:rPr>
          <w:rFonts w:ascii="Arial" w:cs="Arial" w:eastAsia="Arial" w:hAnsi="Arial"/>
          <w:sz w:val="24"/>
          <w:szCs w:val="24"/>
        </w:rPr>
        <w:t xml:space="preserve">Effective NDC implementation requires coordination across government, private sector, and civil society. The NDC Partnership provides a platform connecting countries with technical and financial support. National coordination mechanisms typically include a high-level steering committee, technical working groups by sector, stakeholder consultation processes, and private sector engagement platforms.</w:t>
      </w:r>
    </w:p>
    <w:p>
      <w:r>
        <w:br w:type="page"/>
      </w:r>
    </w:p>
    <w:p>
      <w:pPr>
        <w:pStyle w:val="Heading1"/>
      </w:pPr>
      <w:r>
        <w:rPr>
          <w:b/>
          <w:bCs/>
        </w:rPr>
        <w:t xml:space="preserve">10. TRACKING AND MONITORING TOOLS</w:t>
      </w:r>
    </w:p>
    <w:p>
      <w:pPr>
        <w:pStyle w:val="Heading2"/>
      </w:pPr>
      <w:r>
        <w:rPr>
          <w:b/>
          <w:bCs/>
        </w:rPr>
        <w:t xml:space="preserve">10.1 NDC Progress Tracking Framework</w:t>
      </w:r>
    </w:p>
    <w:p>
      <w:pPr>
        <w:spacing w:after="200" w:line="276"/>
        <w:jc w:val="both"/>
      </w:pPr>
      <w:r>
        <w:rPr>
          <w:rFonts w:ascii="Arial" w:cs="Arial" w:eastAsia="Arial" w:hAnsi="Arial"/>
          <w:sz w:val="24"/>
          <w:szCs w:val="24"/>
        </w:rPr>
        <w:t xml:space="preserve">Tracking NDC progress requires systematic monitoring of emissions trends, policy implementation, and support received. The Enhanced Transparency Framework provides the international reporting structure, while national tracking systems provide real-time monitoring capabilities.</w:t>
      </w:r>
    </w:p>
    <w:p>
      <w:pPr>
        <w:pStyle w:val="Heading2"/>
      </w:pPr>
      <w:r>
        <w:rPr>
          <w:b/>
          <w:bCs/>
        </w:rPr>
        <w:t xml:space="preserve">10.2 Indicator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Indicator Type</w:t>
            </w:r>
          </w:p>
        </w:tc>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Examples</w:t>
            </w:r>
          </w:p>
        </w:tc>
        <w:tc>
          <w:tcPr>
            <w:tcW w:type="dxa" w:w="25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Data Sources</w:t>
            </w:r>
          </w:p>
        </w:tc>
        <w:tc>
          <w:tcPr>
            <w:tcW w:type="dxa" w:w="2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Update Frequency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Outcome indicators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GHG emissions, removals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inventory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Output indicators</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 capacity, EV sales</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 statistics</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Quarterly/Annual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 indicators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Policies adopted, finance mobilized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Government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Ongoing</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Input indicators</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Budget allocated, staff trained</w:t>
            </w:r>
          </w:p>
        </w:tc>
        <w:tc>
          <w:tcPr>
            <w:tcW w:type="dxa" w:w="25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Administrative data</w:t>
            </w:r>
          </w:p>
        </w:tc>
        <w:tc>
          <w:tcPr>
            <w:tcW w:type="dxa" w:w="2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Context indicators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GDP, population, energy prices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 statistics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w:t>
            </w:r>
          </w:p>
        </w:tc>
      </w:tr>
    </w:tbl>
    <w:p>
      <w:pPr>
        <w:spacing w:before="200"/>
      </w:pPr>
    </w:p>
    <w:p>
      <w:pPr>
        <w:pStyle w:val="Heading2"/>
      </w:pPr>
      <w:r>
        <w:rPr>
          <w:b/>
          <w:bCs/>
        </w:rPr>
        <w:t xml:space="preserve">10.3 Online Tracking Platforms</w:t>
      </w:r>
    </w:p>
    <w:p>
      <w:pPr>
        <w:pStyle w:val="Heading3"/>
      </w:pPr>
      <w:r>
        <w:rPr>
          <w:b/>
          <w:bCs/>
        </w:rPr>
        <w:t xml:space="preserve">10.3.1 Climate Watch</w:t>
      </w:r>
    </w:p>
    <w:p>
      <w:pPr>
        <w:spacing w:after="200" w:line="276"/>
        <w:jc w:val="both"/>
      </w:pPr>
      <w:r>
        <w:rPr>
          <w:rFonts w:ascii="Arial" w:cs="Arial" w:eastAsia="Arial" w:hAnsi="Arial"/>
          <w:sz w:val="24"/>
          <w:szCs w:val="24"/>
        </w:rPr>
        <w:t xml:space="preserve">Climate Watch is an open data platform providing visualization and analysis tools for climate data. The NDC Tracker module enables comparison of NDC targets and policies across countries, tracking of target types and coverage, analysis of sectoral commitments, and monitoring of implementation progress.</w:t>
      </w:r>
    </w:p>
    <w:p>
      <w:pPr>
        <w:pStyle w:val="Heading3"/>
      </w:pPr>
      <w:r>
        <w:rPr>
          <w:b/>
          <w:bCs/>
        </w:rPr>
        <w:t xml:space="preserve">10.3.2 National Tracking Systems</w:t>
      </w:r>
    </w:p>
    <w:p>
      <w:pPr>
        <w:spacing w:after="200" w:line="276"/>
        <w:jc w:val="both"/>
      </w:pPr>
      <w:r>
        <w:rPr>
          <w:rFonts w:ascii="Arial" w:cs="Arial" w:eastAsia="Arial" w:hAnsi="Arial"/>
          <w:sz w:val="24"/>
          <w:szCs w:val="24"/>
        </w:rPr>
        <w:t xml:space="preserve">National NDC tracking systems should integrate with the GHG inventory system, policy monitoring databases, climate finance tracking, and adaptation monitoring. The system should support preparation of Biennial Transparency Reports and domestic reporting needs.</w:t>
      </w:r>
    </w:p>
    <w:p>
      <w:pPr>
        <w:pStyle w:val="Heading2"/>
      </w:pPr>
      <w:r>
        <w:rPr>
          <w:b/>
          <w:bCs/>
        </w:rPr>
        <w:t xml:space="preserve">10.4 MRV System Integration</w:t>
      </w:r>
    </w:p>
    <w:p>
      <w:pPr>
        <w:spacing w:after="200" w:line="276"/>
        <w:jc w:val="both"/>
      </w:pPr>
      <w:r>
        <w:rPr>
          <w:rFonts w:ascii="Arial" w:cs="Arial" w:eastAsia="Arial" w:hAnsi="Arial"/>
          <w:sz w:val="24"/>
          <w:szCs w:val="24"/>
        </w:rPr>
        <w:t xml:space="preserve">NDC tracking should be fully integrated with the national MRV system. The MRV system provides emissions data and methodology for tracking outcome-level progress. The NDC tracking system adds policy and finance monitoring, enabling comprehensive progress assessment.</w:t>
      </w:r>
    </w:p>
    <w:p>
      <w:r>
        <w:br w:type="page"/>
      </w:r>
    </w:p>
    <w:p>
      <w:pPr>
        <w:pStyle w:val="Heading1"/>
      </w:pPr>
      <w:r>
        <w:rPr>
          <w:b/>
          <w:bCs/>
        </w:rPr>
        <w:t xml:space="preserve">11. REPORTING AND TRANSPARENCY TOOLS</w:t>
      </w:r>
    </w:p>
    <w:p>
      <w:pPr>
        <w:pStyle w:val="Heading2"/>
      </w:pPr>
      <w:r>
        <w:rPr>
          <w:b/>
          <w:bCs/>
        </w:rPr>
        <w:t xml:space="preserve">11.1 Biennial Transparency Report Preparation</w:t>
      </w:r>
    </w:p>
    <w:p>
      <w:pPr>
        <w:spacing w:after="200" w:line="276"/>
        <w:jc w:val="both"/>
      </w:pPr>
      <w:r>
        <w:rPr>
          <w:rFonts w:ascii="Arial" w:cs="Arial" w:eastAsia="Arial" w:hAnsi="Arial"/>
          <w:sz w:val="24"/>
          <w:szCs w:val="24"/>
        </w:rPr>
        <w:t xml:space="preserve">The BTR integrates NDC tracking information with GHG inventory data and other transparency elements. Tools supporting BTR preparation include the CRF Reporter for GHG inventory tables, CTF (Common Tabular Format) templates for NDC tracking, documentation and archiving systems, and quality assurance review tools.</w:t>
      </w:r>
    </w:p>
    <w:p>
      <w:pPr>
        <w:pStyle w:val="Heading2"/>
      </w:pPr>
      <w:r>
        <w:rPr>
          <w:b/>
          <w:bCs/>
        </w:rPr>
        <w:t xml:space="preserve">11.2 NDC Progress Information</w:t>
      </w:r>
    </w:p>
    <w:p>
      <w:pPr>
        <w:spacing w:after="200" w:line="276"/>
        <w:jc w:val="both"/>
      </w:pPr>
      <w:r>
        <w:rPr>
          <w:rFonts w:ascii="Arial" w:cs="Arial" w:eastAsia="Arial" w:hAnsi="Arial"/>
          <w:sz w:val="24"/>
          <w:szCs w:val="24"/>
        </w:rPr>
        <w:t xml:space="preserve">BTR Chapter 2 covers information to track progress toward NDC implementation and achievement. Required elements include description of the NDC target(s), indicators to track progress, methodology for accounting, and structured summary of progress.</w:t>
      </w:r>
    </w:p>
    <w:p>
      <w:pPr>
        <w:pStyle w:val="Heading2"/>
      </w:pPr>
      <w:r>
        <w:rPr>
          <w:b/>
          <w:bCs/>
        </w:rPr>
        <w:t xml:space="preserve">11.3 ICAT Assessment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Guide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Purpose</w:t>
            </w:r>
          </w:p>
        </w:tc>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Features</w:t>
            </w:r>
          </w:p>
        </w:tc>
        <w:tc>
          <w:tcPr>
            <w:tcW w:type="dxa" w:w="2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Application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Sustainable Development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 SD impacts of policies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Indicator framework, stakeholder engagement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design, reporting</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Transformational Change</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Evaluate systemic impacts</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Process, technology, behavior change</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Long-term assessment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Non-State 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private/sub-national actions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Attribution, aggregation methods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Comprehensive tracking</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Renewable Energy</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 policy assessment</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Sector-specific methodology</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Energy sector NDC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Transport policy assessment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Mode-specific approaches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Transport sector NDC</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Forestry</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REDD+ and land use</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Carbon accounting, safeguards</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AFOLU sector NDC</w:t>
            </w:r>
          </w:p>
        </w:tc>
      </w:tr>
    </w:tbl>
    <w:p>
      <w:pPr>
        <w:spacing w:before="200"/>
      </w:pPr>
    </w:p>
    <w:p>
      <w:pPr>
        <w:pStyle w:val="Heading2"/>
      </w:pPr>
      <w:r>
        <w:rPr>
          <w:b/>
          <w:bCs/>
        </w:rPr>
        <w:t xml:space="preserve">11.4 Documentation and Archiving</w:t>
      </w:r>
    </w:p>
    <w:p>
      <w:pPr>
        <w:spacing w:after="200" w:line="276"/>
        <w:jc w:val="both"/>
      </w:pPr>
      <w:r>
        <w:rPr>
          <w:rFonts w:ascii="Arial" w:cs="Arial" w:eastAsia="Arial" w:hAnsi="Arial"/>
          <w:sz w:val="24"/>
          <w:szCs w:val="24"/>
        </w:rPr>
        <w:t xml:space="preserve">Robust documentation systems preserve institutional memory and support transparency. Key requirements include version control for all documents, clear metadata and provenance tracking, accessible archive for previous submissions, and linkage between data, methods, and reports.</w:t>
      </w:r>
    </w:p>
    <w:p>
      <w:r>
        <w:br w:type="page"/>
      </w:r>
    </w:p>
    <w:p>
      <w:pPr>
        <w:pStyle w:val="Heading1"/>
      </w:pPr>
      <w:r>
        <w:rPr>
          <w:b/>
          <w:bCs/>
        </w:rPr>
        <w:t xml:space="preserve">12. ADAPTATION AND RESILIENCE TOOLS</w:t>
      </w:r>
    </w:p>
    <w:p>
      <w:pPr>
        <w:pStyle w:val="Heading2"/>
      </w:pPr>
      <w:r>
        <w:rPr>
          <w:b/>
          <w:bCs/>
        </w:rPr>
        <w:t xml:space="preserve">12.1 NDC Adaptation Components</w:t>
      </w:r>
    </w:p>
    <w:p>
      <w:pPr>
        <w:spacing w:after="200" w:line="276"/>
        <w:jc w:val="both"/>
      </w:pPr>
      <w:r>
        <w:rPr>
          <w:rFonts w:ascii="Arial" w:cs="Arial" w:eastAsia="Arial" w:hAnsi="Arial"/>
          <w:sz w:val="24"/>
          <w:szCs w:val="24"/>
        </w:rPr>
        <w:t xml:space="preserve">Many NDCs include adaptation components alongside mitigation targets. As of 2024, over 80% of NDCs include adaptation information. Tools for adaptation components of NDCs cover climate risk and vulnerability assessment, adaptation option identification, prioritization and planning, and monitoring and evaluation.</w:t>
      </w:r>
    </w:p>
    <w:p>
      <w:pPr>
        <w:pStyle w:val="Heading2"/>
      </w:pPr>
      <w:r>
        <w:rPr>
          <w:b/>
          <w:bCs/>
        </w:rPr>
        <w:t xml:space="preserve">12.2 Climate Risk Assessment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Tool</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Purpose</w:t>
            </w:r>
          </w:p>
        </w:tc>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Outputs</w:t>
            </w:r>
          </w:p>
        </w:tc>
        <w:tc>
          <w:tcPr>
            <w:tcW w:type="dxa" w:w="2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Scale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Think Hazard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Multi-hazard screening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Hazard levels by location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Climate Risk Screening</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Project-level risk assessment</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Risk ratings, adaptation options</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Project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CLIMADA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Natural disaster risk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Probabilistic risk, impacts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National/Regional</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INFORM</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Risk management index</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Composite risk scores</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Country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Wizard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projections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 precipitation changes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Regional</w:t>
            </w:r>
          </w:p>
        </w:tc>
      </w:tr>
    </w:tbl>
    <w:p>
      <w:pPr>
        <w:spacing w:before="200"/>
      </w:pPr>
    </w:p>
    <w:p>
      <w:pPr>
        <w:pStyle w:val="Heading2"/>
      </w:pPr>
      <w:r>
        <w:rPr>
          <w:b/>
          <w:bCs/>
        </w:rPr>
        <w:t xml:space="preserve">12.3 NAP-NDC Integration</w:t>
      </w:r>
    </w:p>
    <w:p>
      <w:pPr>
        <w:spacing w:after="200" w:line="276"/>
        <w:jc w:val="both"/>
      </w:pPr>
      <w:r>
        <w:rPr>
          <w:rFonts w:ascii="Arial" w:cs="Arial" w:eastAsia="Arial" w:hAnsi="Arial"/>
          <w:sz w:val="24"/>
          <w:szCs w:val="24"/>
        </w:rPr>
        <w:t xml:space="preserve">National Adaptation Plans (NAPs) and NDCs should be closely integrated. Tools supporting NAP-NDC linkages include the NAP-SDG iFrame for alignment with sustainable development, adaptation finance tracking systems, and monitoring and evaluation frameworks for adaptation.</w:t>
      </w:r>
    </w:p>
    <w:p>
      <w:pPr>
        <w:pStyle w:val="Heading2"/>
      </w:pPr>
      <w:r>
        <w:rPr>
          <w:b/>
          <w:bCs/>
        </w:rPr>
        <w:t xml:space="preserve">12.4 Loss and Damage Assessment</w:t>
      </w:r>
    </w:p>
    <w:p>
      <w:pPr>
        <w:spacing w:after="200" w:line="276"/>
        <w:jc w:val="both"/>
      </w:pPr>
      <w:r>
        <w:rPr>
          <w:rFonts w:ascii="Arial" w:cs="Arial" w:eastAsia="Arial" w:hAnsi="Arial"/>
          <w:sz w:val="24"/>
          <w:szCs w:val="24"/>
        </w:rPr>
        <w:t xml:space="preserve">Following establishment of the Loss and Damage Fund at COP28, tools for assessing climate-related losses and damages are increasingly important. These include economic impact assessment methodologies, non-economic loss documentation approaches, and attribution science linking events to climate change.</w:t>
      </w:r>
    </w:p>
    <w:p>
      <w:r>
        <w:br w:type="page"/>
      </w:r>
    </w:p>
    <w:p>
      <w:pPr>
        <w:pStyle w:val="Heading1"/>
      </w:pPr>
      <w:r>
        <w:rPr>
          <w:b/>
          <w:bCs/>
        </w:rPr>
        <w:t xml:space="preserve">13. STAKEHOLDER ENGAGEMENT TOOLS</w:t>
      </w:r>
    </w:p>
    <w:p>
      <w:pPr>
        <w:pStyle w:val="Heading2"/>
      </w:pPr>
      <w:r>
        <w:rPr>
          <w:b/>
          <w:bCs/>
        </w:rPr>
        <w:t xml:space="preserve">13.1 Inclusive NDC Development</w:t>
      </w:r>
    </w:p>
    <w:p>
      <w:pPr>
        <w:spacing w:after="200" w:line="276"/>
        <w:jc w:val="both"/>
      </w:pPr>
      <w:r>
        <w:rPr>
          <w:rFonts w:ascii="Arial" w:cs="Arial" w:eastAsia="Arial" w:hAnsi="Arial"/>
          <w:sz w:val="24"/>
          <w:szCs w:val="24"/>
        </w:rPr>
        <w:t xml:space="preserve">Effective NDCs require broad stakeholder engagement throughout the lifecycle. The NDC 3.0 Navigator emphasizes engaging All-of-Government and All-of-Society in the NDC process. Tools supporting engagement include stakeholder mapping and analysis, consultation process design, feedback integration mechanisms, and transparency and communication platforms.</w:t>
      </w:r>
    </w:p>
    <w:p>
      <w:pPr>
        <w:pStyle w:val="Heading2"/>
      </w:pPr>
      <w:r>
        <w:rPr>
          <w:b/>
          <w:bCs/>
        </w:rPr>
        <w:t xml:space="preserve">13.2 Engagement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Platform Type</w:t>
            </w:r>
          </w:p>
        </w:tc>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Purpose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Examples</w:t>
            </w:r>
          </w:p>
        </w:tc>
        <w:tc>
          <w:tcPr>
            <w:tcW w:type="dxa" w:w="2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Consultation portals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input on NDC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Online platforms, surveys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Accessibility, documentation</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Stakeholder dialogues</w:t>
            </w:r>
          </w:p>
        </w:tc>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Structured engagement</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Workshops, roundtables</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Representation, facilitation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engagement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voice in climate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councils, forums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Intergenerational equity</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Indigenous peoples</w:t>
            </w:r>
          </w:p>
        </w:tc>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FPIC and traditional knowledge</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Community consultations</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Rights-based approach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 sector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engagement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forums, partnerships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Investment, innovation</w:t>
            </w:r>
          </w:p>
        </w:tc>
      </w:tr>
    </w:tbl>
    <w:p>
      <w:pPr>
        <w:spacing w:before="200"/>
      </w:pPr>
    </w:p>
    <w:p>
      <w:pPr>
        <w:pStyle w:val="Heading2"/>
      </w:pPr>
      <w:r>
        <w:rPr>
          <w:b/>
          <w:bCs/>
        </w:rPr>
        <w:t xml:space="preserve">13.3 Gender-Responsive Tools</w:t>
      </w:r>
    </w:p>
    <w:p>
      <w:pPr>
        <w:spacing w:after="200" w:line="276"/>
        <w:jc w:val="both"/>
      </w:pPr>
      <w:r>
        <w:rPr>
          <w:rFonts w:ascii="Arial" w:cs="Arial" w:eastAsia="Arial" w:hAnsi="Arial"/>
          <w:sz w:val="24"/>
          <w:szCs w:val="24"/>
        </w:rPr>
        <w:t xml:space="preserve">Gender-responsive NDC development requires specific tools and approaches including gender analysis frameworks for climate policy, sex-disaggregated data collection and analysis, gender impact assessment of proposed measures, and women's participation in decision-making processes.</w:t>
      </w:r>
    </w:p>
    <w:p>
      <w:pPr>
        <w:pStyle w:val="Heading2"/>
      </w:pPr>
      <w:r>
        <w:rPr>
          <w:b/>
          <w:bCs/>
        </w:rPr>
        <w:t xml:space="preserve">13.4 Communication Strategies</w:t>
      </w:r>
    </w:p>
    <w:p>
      <w:pPr>
        <w:spacing w:after="200" w:line="276"/>
        <w:jc w:val="both"/>
      </w:pPr>
      <w:r>
        <w:rPr>
          <w:rFonts w:ascii="Arial" w:cs="Arial" w:eastAsia="Arial" w:hAnsi="Arial"/>
          <w:sz w:val="24"/>
          <w:szCs w:val="24"/>
        </w:rPr>
        <w:t xml:space="preserve">Effective communication supports NDC implementation by building public awareness and support. Tools include communication strategy templates, visualization and infographic tools, media engagement guides, and social media monitoring.</w:t>
      </w:r>
    </w:p>
    <w:p>
      <w:r>
        <w:br w:type="page"/>
      </w:r>
    </w:p>
    <w:p>
      <w:pPr>
        <w:pStyle w:val="Heading1"/>
      </w:pPr>
      <w:r>
        <w:rPr>
          <w:b/>
          <w:bCs/>
        </w:rPr>
        <w:t xml:space="preserve">14. DATA MANAGEMENT AND INTEGRATION</w:t>
      </w:r>
    </w:p>
    <w:p>
      <w:pPr>
        <w:pStyle w:val="Heading2"/>
      </w:pPr>
      <w:r>
        <w:rPr>
          <w:b/>
          <w:bCs/>
        </w:rPr>
        <w:t xml:space="preserve">14.1 Data Requirements for NDC Tools</w:t>
      </w:r>
    </w:p>
    <w:p>
      <w:pPr>
        <w:spacing w:after="200" w:line="276"/>
        <w:jc w:val="both"/>
      </w:pPr>
      <w:r>
        <w:rPr>
          <w:rFonts w:ascii="Arial" w:cs="Arial" w:eastAsia="Arial" w:hAnsi="Arial"/>
          <w:sz w:val="24"/>
          <w:szCs w:val="24"/>
        </w:rPr>
        <w:t xml:space="preserve">NDC tools require diverse data inputs spanning activity data, emission factors, socioeconomic parameters, technology characteristics, and cost assumptions. A robust data management system ensures data quality, accessibility, and integration across tools.</w:t>
      </w:r>
    </w:p>
    <w:p>
      <w:pPr>
        <w:pStyle w:val="Heading2"/>
      </w:pPr>
      <w:r>
        <w:rPr>
          <w:b/>
          <w:bCs/>
        </w:rPr>
        <w:t xml:space="preserve">14.2 Data Sources and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Data Type</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Sources</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Integration Challenges</w:t>
            </w:r>
          </w:p>
        </w:tc>
        <w:tc>
          <w:tcPr>
            <w:tcW w:type="dxa" w:w="27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Quality Assurance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statistics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balances, utility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Consistency, coverage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IEA methodology</w:t>
            </w:r>
          </w:p>
        </w:tc>
      </w:tr>
      <w:tr>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Economic data</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National accounts, surveys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Sectoral mapping</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SNA standards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 use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Remote sensing, surveys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Classification, change detection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IPCC categories</w:t>
            </w:r>
          </w:p>
        </w:tc>
      </w:tr>
      <w:tr>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Technology data</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Industry, research</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Local applicability</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Expert review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Markets, projects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Currency, time adjustment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Benchmarking</w:t>
            </w:r>
          </w:p>
        </w:tc>
      </w:tr>
      <w:tr>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Climate data</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Met services, models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Downscaling, uncertainty</w:t>
            </w:r>
          </w:p>
        </w:tc>
        <w:tc>
          <w:tcPr>
            <w:tcW w:type="dxa" w:w="27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IPCC scenarios</w:t>
            </w:r>
          </w:p>
        </w:tc>
      </w:tr>
    </w:tbl>
    <w:p>
      <w:pPr>
        <w:spacing w:before="200"/>
      </w:pPr>
    </w:p>
    <w:p>
      <w:pPr>
        <w:pStyle w:val="Heading2"/>
      </w:pPr>
      <w:r>
        <w:rPr>
          <w:b/>
          <w:bCs/>
        </w:rPr>
        <w:t xml:space="preserve">14.3 Interoperability Standards</w:t>
      </w:r>
    </w:p>
    <w:p>
      <w:pPr>
        <w:spacing w:after="200" w:line="276"/>
        <w:jc w:val="both"/>
      </w:pPr>
      <w:r>
        <w:rPr>
          <w:rFonts w:ascii="Arial" w:cs="Arial" w:eastAsia="Arial" w:hAnsi="Arial"/>
          <w:sz w:val="24"/>
          <w:szCs w:val="24"/>
        </w:rPr>
        <w:t xml:space="preserve">Tool interoperability requires common data standards and exchange formats. Key standards include IPCC categories and nomenclature, energy balance conventions (IEA methodology), economic classification (ISIC, SNA), and geographic standards (ISO country codes, coordinate systems).</w:t>
      </w:r>
    </w:p>
    <w:p>
      <w:pPr>
        <w:pStyle w:val="Heading2"/>
      </w:pPr>
      <w:r>
        <w:rPr>
          <w:b/>
          <w:bCs/>
        </w:rPr>
        <w:t xml:space="preserve">14.4 Open Data Principles</w:t>
      </w:r>
    </w:p>
    <w:p>
      <w:pPr>
        <w:spacing w:after="200" w:line="276"/>
        <w:jc w:val="both"/>
      </w:pPr>
      <w:r>
        <w:rPr>
          <w:rFonts w:ascii="Arial" w:cs="Arial" w:eastAsia="Arial" w:hAnsi="Arial"/>
          <w:sz w:val="24"/>
          <w:szCs w:val="24"/>
        </w:rPr>
        <w:t xml:space="preserve">Open data approaches enhance transparency and enable broader use of NDC information. Principles include making data publicly available where possible, using open formats and licenses, providing comprehensive metadata, and enabling programmatic access through APIs.</w:t>
      </w:r>
    </w:p>
    <w:p>
      <w:r>
        <w:br w:type="page"/>
      </w:r>
    </w:p>
    <w:p>
      <w:pPr>
        <w:pStyle w:val="Heading1"/>
      </w:pPr>
      <w:r>
        <w:rPr>
          <w:b/>
          <w:bCs/>
        </w:rPr>
        <w:t xml:space="preserve">15. CAPACITY BUILDING FOR NDC TOOLS</w:t>
      </w:r>
    </w:p>
    <w:p>
      <w:pPr>
        <w:pStyle w:val="Heading2"/>
      </w:pPr>
      <w:r>
        <w:rPr>
          <w:b/>
          <w:bCs/>
        </w:rPr>
        <w:t xml:space="preserve">15.1 Capacity Needs Assessment</w:t>
      </w:r>
    </w:p>
    <w:p>
      <w:pPr>
        <w:spacing w:after="200" w:line="276"/>
        <w:jc w:val="both"/>
      </w:pPr>
      <w:r>
        <w:rPr>
          <w:rFonts w:ascii="Arial" w:cs="Arial" w:eastAsia="Arial" w:hAnsi="Arial"/>
          <w:sz w:val="24"/>
          <w:szCs w:val="24"/>
        </w:rPr>
        <w:t xml:space="preserve">Effective use of NDC tools requires sustained capacity in technical skills, institutional systems, and knowledge management. A capacity needs assessment should evaluate current capabilities against requirements across the NDC lifecycle.</w:t>
      </w:r>
    </w:p>
    <w:p>
      <w:pPr>
        <w:pStyle w:val="Heading2"/>
      </w:pPr>
      <w:r>
        <w:rPr>
          <w:b/>
          <w:bCs/>
        </w:rPr>
        <w:t xml:space="preserve">15.2 Training Programs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Training Area</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Target Audience</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Duration</w:t>
            </w:r>
          </w:p>
        </w:tc>
        <w:tc>
          <w:tcPr>
            <w:tcW w:type="dxa" w:w="29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Providers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 energy modeling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analysts, planners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5-10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SEI, national trainers</w:t>
            </w:r>
          </w:p>
        </w:tc>
      </w:tr>
      <w:tr>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GHG inventory methods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Inventory compilers</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5 days</w:t>
            </w:r>
          </w:p>
        </w:tc>
        <w:tc>
          <w:tcPr>
            <w:tcW w:type="dxa" w:w="29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CGE, UNFCCC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impact assessment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analysts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ICAT, WRI</w:t>
            </w:r>
          </w:p>
        </w:tc>
      </w:tr>
      <w:tr>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Climate finance</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Finance officers</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3 days</w:t>
            </w:r>
          </w:p>
        </w:tc>
        <w:tc>
          <w:tcPr>
            <w:tcW w:type="dxa" w:w="29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GCF, bilateral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Adaptation planning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Adaptation specialists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days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NAP Global Network</w:t>
            </w:r>
          </w:p>
        </w:tc>
      </w:tr>
      <w:tr>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MRV systems</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MRV coordinators</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5 days</w:t>
            </w:r>
          </w:p>
        </w:tc>
        <w:tc>
          <w:tcPr>
            <w:tcW w:type="dxa" w:w="29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CBIT, Partnership</w:t>
            </w:r>
          </w:p>
        </w:tc>
      </w:tr>
    </w:tbl>
    <w:p>
      <w:pPr>
        <w:spacing w:before="200"/>
      </w:pPr>
    </w:p>
    <w:p>
      <w:pPr>
        <w:pStyle w:val="Heading2"/>
      </w:pPr>
      <w:r>
        <w:rPr>
          <w:b/>
          <w:bCs/>
        </w:rPr>
        <w:t xml:space="preserve">15.3 Institutional Development</w:t>
      </w:r>
    </w:p>
    <w:p>
      <w:pPr>
        <w:spacing w:after="200" w:line="276"/>
        <w:jc w:val="both"/>
      </w:pPr>
      <w:r>
        <w:rPr>
          <w:rFonts w:ascii="Arial" w:cs="Arial" w:eastAsia="Arial" w:hAnsi="Arial"/>
          <w:sz w:val="24"/>
          <w:szCs w:val="24"/>
        </w:rPr>
        <w:t xml:space="preserve">Sustainable tool use requires institutional frameworks that support staff development, tool maintenance, knowledge retention, and continuous improvement. Key elements include dedicated units for NDC analysis, clear job descriptions and career paths, documentation and standard operating procedures, and peer networks and communities of practice.</w:t>
      </w:r>
    </w:p>
    <w:p>
      <w:pPr>
        <w:pStyle w:val="Heading2"/>
      </w:pPr>
      <w:r>
        <w:rPr>
          <w:b/>
          <w:bCs/>
        </w:rPr>
        <w:t xml:space="preserve">15.4 International Support Programs</w:t>
      </w:r>
    </w:p>
    <w:p>
      <w:pPr>
        <w:spacing w:after="200" w:line="276"/>
        <w:jc w:val="both"/>
      </w:pPr>
      <w:r>
        <w:rPr>
          <w:rFonts w:ascii="Arial" w:cs="Arial" w:eastAsia="Arial" w:hAnsi="Arial"/>
          <w:sz w:val="24"/>
          <w:szCs w:val="24"/>
        </w:rPr>
        <w:t xml:space="preserve">Multiple international programs support NDC tool capacity building including the NDC Partnership technical assistance, CBIT projects funded by GEF, bilateral climate cooperation programs, and regional capacity building initiatives.</w:t>
      </w:r>
    </w:p>
    <w:p>
      <w:r>
        <w:br w:type="page"/>
      </w:r>
    </w:p>
    <w:p>
      <w:pPr>
        <w:pStyle w:val="Heading1"/>
      </w:pPr>
      <w:r>
        <w:rPr>
          <w:b/>
          <w:bCs/>
        </w:rPr>
        <w:t xml:space="preserve">16. IMPLEMENTATION ROADMAP</w:t>
      </w:r>
    </w:p>
    <w:p>
      <w:pPr>
        <w:pStyle w:val="Heading2"/>
      </w:pPr>
      <w:r>
        <w:rPr>
          <w:b/>
          <w:bCs/>
        </w:rPr>
        <w:t xml:space="preserve">16.1 Phased Implementation Approach</w:t>
      </w:r>
    </w:p>
    <w:p>
      <w:pPr>
        <w:spacing w:after="200" w:line="276"/>
        <w:jc w:val="both"/>
      </w:pPr>
      <w:r>
        <w:rPr>
          <w:rFonts w:ascii="Arial" w:cs="Arial" w:eastAsia="Arial" w:hAnsi="Arial"/>
          <w:sz w:val="24"/>
          <w:szCs w:val="24"/>
        </w:rPr>
        <w:t xml:space="preserve">Establishing a comprehensive NDC tool system should follow a phased approach aligned with the NDC cycle.</w:t>
      </w:r>
    </w:p>
    <w:p>
      <w:pPr>
        <w:pStyle w:val="Heading3"/>
      </w:pPr>
      <w:r>
        <w:rPr>
          <w:b/>
          <w:bCs/>
        </w:rPr>
        <w:t xml:space="preserve">Phase 1: Foundation (Year 1)</w:t>
      </w:r>
    </w:p>
    <w:p>
      <w:pPr>
        <w:pStyle w:val="ListParagraph"/>
        <w:numPr>
          <w:ilvl w:val="0"/>
          <w:numId w:val="2"/>
        </w:numPr>
        <w:spacing w:after="120"/>
      </w:pPr>
      <w:r>
        <w:rPr>
          <w:rFonts w:ascii="Arial" w:cs="Arial" w:eastAsia="Arial" w:hAnsi="Arial"/>
          <w:sz w:val="24"/>
          <w:szCs w:val="24"/>
        </w:rPr>
        <w:t xml:space="preserve">Conduct tool needs assessment and mapping of existing capabilities</w:t>
      </w:r>
    </w:p>
    <w:p>
      <w:pPr>
        <w:pStyle w:val="ListParagraph"/>
        <w:numPr>
          <w:ilvl w:val="0"/>
          <w:numId w:val="2"/>
        </w:numPr>
        <w:spacing w:after="120"/>
      </w:pPr>
      <w:r>
        <w:rPr>
          <w:rFonts w:ascii="Arial" w:cs="Arial" w:eastAsia="Arial" w:hAnsi="Arial"/>
          <w:sz w:val="24"/>
          <w:szCs w:val="24"/>
        </w:rPr>
        <w:t xml:space="preserve">Establish institutional arrangements for tool coordination</w:t>
      </w:r>
    </w:p>
    <w:p>
      <w:pPr>
        <w:pStyle w:val="ListParagraph"/>
        <w:numPr>
          <w:ilvl w:val="0"/>
          <w:numId w:val="2"/>
        </w:numPr>
        <w:spacing w:after="120"/>
      </w:pPr>
      <w:r>
        <w:rPr>
          <w:rFonts w:ascii="Arial" w:cs="Arial" w:eastAsia="Arial" w:hAnsi="Arial"/>
          <w:sz w:val="24"/>
          <w:szCs w:val="24"/>
        </w:rPr>
        <w:t xml:space="preserve">Implement core GHG inventory and energy modeling tools</w:t>
      </w:r>
    </w:p>
    <w:p>
      <w:pPr>
        <w:pStyle w:val="ListParagraph"/>
        <w:numPr>
          <w:ilvl w:val="0"/>
          <w:numId w:val="2"/>
        </w:numPr>
        <w:spacing w:after="200"/>
      </w:pPr>
      <w:r>
        <w:rPr>
          <w:rFonts w:ascii="Arial" w:cs="Arial" w:eastAsia="Arial" w:hAnsi="Arial"/>
          <w:sz w:val="24"/>
          <w:szCs w:val="24"/>
        </w:rPr>
        <w:t xml:space="preserve">Develop initial staff capacity through training</w:t>
      </w:r>
    </w:p>
    <w:p>
      <w:pPr>
        <w:pStyle w:val="Heading3"/>
      </w:pPr>
      <w:r>
        <w:rPr>
          <w:b/>
          <w:bCs/>
        </w:rPr>
        <w:t xml:space="preserve">Phase 2: Enhancement (Years 2-3)</w:t>
      </w:r>
    </w:p>
    <w:p>
      <w:pPr>
        <w:pStyle w:val="ListParagraph"/>
        <w:numPr>
          <w:ilvl w:val="0"/>
          <w:numId w:val="2"/>
        </w:numPr>
        <w:spacing w:after="120"/>
      </w:pPr>
      <w:r>
        <w:rPr>
          <w:rFonts w:ascii="Arial" w:cs="Arial" w:eastAsia="Arial" w:hAnsi="Arial"/>
          <w:sz w:val="24"/>
          <w:szCs w:val="24"/>
        </w:rPr>
        <w:t xml:space="preserve">Expand sector coverage with specialized modeling tools</w:t>
      </w:r>
    </w:p>
    <w:p>
      <w:pPr>
        <w:pStyle w:val="ListParagraph"/>
        <w:numPr>
          <w:ilvl w:val="0"/>
          <w:numId w:val="2"/>
        </w:numPr>
        <w:spacing w:after="120"/>
      </w:pPr>
      <w:r>
        <w:rPr>
          <w:rFonts w:ascii="Arial" w:cs="Arial" w:eastAsia="Arial" w:hAnsi="Arial"/>
          <w:sz w:val="24"/>
          <w:szCs w:val="24"/>
        </w:rPr>
        <w:t xml:space="preserve">Implement NDC tracking and monitoring systems</w:t>
      </w:r>
    </w:p>
    <w:p>
      <w:pPr>
        <w:pStyle w:val="ListParagraph"/>
        <w:numPr>
          <w:ilvl w:val="0"/>
          <w:numId w:val="2"/>
        </w:numPr>
        <w:spacing w:after="120"/>
      </w:pPr>
      <w:r>
        <w:rPr>
          <w:rFonts w:ascii="Arial" w:cs="Arial" w:eastAsia="Arial" w:hAnsi="Arial"/>
          <w:sz w:val="24"/>
          <w:szCs w:val="24"/>
        </w:rPr>
        <w:t xml:space="preserve">Develop costing and finance analysis capabilities</w:t>
      </w:r>
    </w:p>
    <w:p>
      <w:pPr>
        <w:pStyle w:val="ListParagraph"/>
        <w:numPr>
          <w:ilvl w:val="0"/>
          <w:numId w:val="2"/>
        </w:numPr>
        <w:spacing w:after="200"/>
      </w:pPr>
      <w:r>
        <w:rPr>
          <w:rFonts w:ascii="Arial" w:cs="Arial" w:eastAsia="Arial" w:hAnsi="Arial"/>
          <w:sz w:val="24"/>
          <w:szCs w:val="24"/>
        </w:rPr>
        <w:t xml:space="preserve">Integrate tools with MRV system and data management</w:t>
      </w:r>
    </w:p>
    <w:p>
      <w:pPr>
        <w:pStyle w:val="Heading3"/>
      </w:pPr>
      <w:r>
        <w:rPr>
          <w:b/>
          <w:bCs/>
        </w:rPr>
        <w:t xml:space="preserve">Phase 3: Integration (Years 4-5)</w:t>
      </w:r>
    </w:p>
    <w:p>
      <w:pPr>
        <w:pStyle w:val="ListParagraph"/>
        <w:numPr>
          <w:ilvl w:val="0"/>
          <w:numId w:val="2"/>
        </w:numPr>
        <w:spacing w:after="120"/>
      </w:pPr>
      <w:r>
        <w:rPr>
          <w:rFonts w:ascii="Arial" w:cs="Arial" w:eastAsia="Arial" w:hAnsi="Arial"/>
          <w:sz w:val="24"/>
          <w:szCs w:val="24"/>
        </w:rPr>
        <w:t xml:space="preserve">Achieve full tool integration across NDC lifecycle</w:t>
      </w:r>
    </w:p>
    <w:p>
      <w:pPr>
        <w:pStyle w:val="ListParagraph"/>
        <w:numPr>
          <w:ilvl w:val="0"/>
          <w:numId w:val="2"/>
        </w:numPr>
        <w:spacing w:after="120"/>
      </w:pPr>
      <w:r>
        <w:rPr>
          <w:rFonts w:ascii="Arial" w:cs="Arial" w:eastAsia="Arial" w:hAnsi="Arial"/>
          <w:sz w:val="24"/>
          <w:szCs w:val="24"/>
        </w:rPr>
        <w:t xml:space="preserve">Implement advanced scenario and optimization capabilities</w:t>
      </w:r>
    </w:p>
    <w:p>
      <w:pPr>
        <w:pStyle w:val="ListParagraph"/>
        <w:numPr>
          <w:ilvl w:val="0"/>
          <w:numId w:val="2"/>
        </w:numPr>
        <w:spacing w:after="120"/>
      </w:pPr>
      <w:r>
        <w:rPr>
          <w:rFonts w:ascii="Arial" w:cs="Arial" w:eastAsia="Arial" w:hAnsi="Arial"/>
          <w:sz w:val="24"/>
          <w:szCs w:val="24"/>
        </w:rPr>
        <w:t xml:space="preserve">Mainstream tools into regular government planning processes</w:t>
      </w:r>
    </w:p>
    <w:p>
      <w:pPr>
        <w:pStyle w:val="ListParagraph"/>
        <w:numPr>
          <w:ilvl w:val="0"/>
          <w:numId w:val="2"/>
        </w:numPr>
        <w:spacing w:after="200"/>
      </w:pPr>
      <w:r>
        <w:rPr>
          <w:rFonts w:ascii="Arial" w:cs="Arial" w:eastAsia="Arial" w:hAnsi="Arial"/>
          <w:sz w:val="24"/>
          <w:szCs w:val="24"/>
        </w:rPr>
        <w:t xml:space="preserve">Develop domestic expertise for tool maintenance and training</w:t>
      </w:r>
    </w:p>
    <w:p>
      <w:pPr>
        <w:pStyle w:val="Heading2"/>
      </w:pPr>
      <w:r>
        <w:rPr>
          <w:b/>
          <w:bCs/>
        </w:rPr>
        <w:t xml:space="preserve">16.2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Indicator</w:t>
            </w:r>
          </w:p>
        </w:tc>
        <w:tc>
          <w:tcPr>
            <w:tcW w:type="dxa" w:w="3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Target</w:t>
            </w:r>
          </w:p>
        </w:tc>
        <w:tc>
          <w:tcPr>
            <w:tcW w:type="dxa" w:w="3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Sector coverage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IPCC sectors modeled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 inventory</w:t>
            </w:r>
          </w:p>
        </w:tc>
      </w:tr>
      <w:tr>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Staff capacity</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At least 2 trained users per tool</w:t>
            </w:r>
          </w:p>
        </w:tc>
        <w:tc>
          <w:tcPr>
            <w:tcW w:type="dxa" w:w="3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Training records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 integration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exchange automated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assessment</w:t>
            </w:r>
          </w:p>
        </w:tc>
      </w:tr>
      <w:tr>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Update frequency</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Annual scenario updates</w:t>
            </w:r>
          </w:p>
        </w:tc>
        <w:tc>
          <w:tcPr>
            <w:tcW w:type="dxa" w:w="3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Documentation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Stakeholder access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dashboards operational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Platform monitoring</w:t>
            </w:r>
          </w:p>
        </w:tc>
      </w:tr>
      <w:tr>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International review</w:t>
            </w:r>
          </w:p>
        </w:tc>
        <w:tc>
          <w:tcPr>
            <w:tcW w:type="dxa" w:w="3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Positive TER assessment</w:t>
            </w:r>
          </w:p>
        </w:tc>
        <w:tc>
          <w:tcPr>
            <w:tcW w:type="dxa" w:w="3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UNFCCC feedback</w:t>
            </w:r>
          </w:p>
        </w:tc>
      </w:tr>
    </w:tbl>
    <w:p>
      <w:pPr>
        <w:spacing w:before="200"/>
      </w:pPr>
    </w:p>
    <w:p>
      <w:r>
        <w:br w:type="page"/>
      </w:r>
    </w:p>
    <w:p>
      <w:pPr>
        <w:pStyle w:val="Heading1"/>
      </w:pPr>
      <w:r>
        <w:rPr>
          <w:b/>
          <w:bCs/>
        </w:rPr>
        <w:t xml:space="preserve">ANNEXES</w:t>
      </w:r>
    </w:p>
    <w:p>
      <w:pPr>
        <w:pStyle w:val="Heading2"/>
      </w:pPr>
      <w:r>
        <w:rPr>
          <w:b/>
          <w:bCs/>
        </w:rPr>
        <w:t xml:space="preserve">Annex A: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Term</w:t>
            </w:r>
          </w:p>
        </w:tc>
        <w:tc>
          <w:tcPr>
            <w:tcW w:type="dxa" w:w="73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BAU</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Business-as-Usual scenario representing emissions trajectory without new policies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BTR</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Biennial Transparency Report submitted under the Paris Agreement ETF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CBIT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Capacity Building Initiative for Transparency, GEF-funded program</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CGE Model</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Computable General Equilibrium model for economy-wide analysis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ETF</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Enhanced Transparency Framework under Paris Agreement Article 13</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GCF</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Green Climate Fund, the main multilateral climate fund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Stocktake assessing collective progress under Paris Agreement</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ICAT</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Initiative for Climate Action Transparency providing assessment guidance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Emissions Analysis Platform for energy and climate modeling</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MACC</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Marginal Abatement Cost Curve ranking mitigation options by 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MRV</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Monitoring, Reporting, and Verification system for emissions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NAP</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National Adaptation Plan for systematic adaptation planning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NDC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Nationally Determined Contribution under the Paris Agreement</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NEMO</w:t>
            </w:r>
          </w:p>
        </w:tc>
        <w:tc>
          <w:tcPr>
            <w:tcW w:type="dxa" w:w="73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Next Energy Modeling system for Optimization integrated with LEAP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Integrated MARKAL-EFOM System for energy optimization modeling</w:t>
            </w:r>
          </w:p>
        </w:tc>
      </w:tr>
    </w:tbl>
    <w:p>
      <w:pPr>
        <w:spacing w:before="200"/>
      </w:pPr>
    </w:p>
    <w:p>
      <w:r>
        <w:br w:type="page"/>
      </w:r>
    </w:p>
    <w:p>
      <w:pPr>
        <w:pStyle w:val="Heading2"/>
      </w:pPr>
      <w:r>
        <w:rPr>
          <w:b/>
          <w:bCs/>
        </w:rPr>
        <w:t xml:space="preserve">Annex B: NDC Tool Inventory</w:t>
      </w:r>
    </w:p>
    <w:p>
      <w:pPr>
        <w:spacing w:after="200" w:line="276"/>
        <w:jc w:val="both"/>
      </w:pPr>
      <w:r>
        <w:rPr>
          <w:rFonts w:ascii="Arial" w:cs="Arial" w:eastAsia="Arial" w:hAnsi="Arial"/>
          <w:sz w:val="24"/>
          <w:szCs w:val="24"/>
        </w:rPr>
        <w:t xml:space="preserve">The following table provides a comprehensive inventory of tools available for NDC development, implementation, and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000"/>
        <w:gridCol w:w="2000"/>
      </w:tblGrid>
      <w:tr>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Tool Name</w:t>
            </w:r>
          </w:p>
        </w:tc>
        <w:tc>
          <w:tcPr>
            <w:tcW w:type="dxa" w:w="18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Category</w:t>
            </w:r>
          </w:p>
        </w:tc>
        <w:tc>
          <w:tcPr>
            <w:tcW w:type="dxa" w:w="1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Developer</w:t>
            </w:r>
          </w:p>
        </w:tc>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License</w:t>
            </w:r>
          </w:p>
        </w:tc>
        <w:tc>
          <w:tcPr>
            <w:tcW w:type="dxa" w:w="20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Sector Coverage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modeling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for developing countries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all sectors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TIMES/MARKAL</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Energy optimization</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IEA-ETSAP</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Licensed</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Energy systems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OSeMOSYS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optimization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KTH/UN-DESA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power</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IPCC Inventory Software</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GHG inventory</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IPCC</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All sectors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ALU Software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AFOLU inventory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CSU/USAID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Agriculture, LULUCF</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FAOSTAT</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Agriculture data</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FAO</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Free/Open</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Agriculture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Climate Watch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NDC tracking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Free/Open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sectors</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ICAT Guides</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Policy assessment</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ICAT Partners</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All sectors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RETScreen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analysis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NRCan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energy</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EX-ACT</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Carbon accounting</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FAO</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Agriculture, forestry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GLEAM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Livestock emissions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Livestock</w:t>
            </w:r>
          </w:p>
        </w:tc>
      </w:tr>
      <w:tr>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GAINS</w:t>
            </w:r>
          </w:p>
        </w:tc>
        <w:tc>
          <w:tcPr>
            <w:tcW w:type="dxa" w:w="18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Air pollution/GHG</w:t>
            </w:r>
          </w:p>
        </w:tc>
        <w:tc>
          <w:tcPr>
            <w:tcW w:type="dxa" w:w="1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IIASA</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Free for research</w:t>
            </w:r>
          </w:p>
        </w:tc>
        <w:tc>
          <w:tcPr>
            <w:tcW w:type="dxa" w:w="20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All sectors</w:t>
            </w:r>
          </w:p>
        </w:tc>
      </w:tr>
    </w:tbl>
    <w:p>
      <w:pPr>
        <w:spacing w:before="200"/>
      </w:pPr>
    </w:p>
    <w:p>
      <w:r>
        <w:br w:type="page"/>
      </w:r>
    </w:p>
    <w:p>
      <w:pPr>
        <w:pStyle w:val="Heading2"/>
      </w:pPr>
      <w:r>
        <w:rPr>
          <w:b/>
          <w:bCs/>
        </w:rPr>
        <w:t xml:space="preserve">Annex C: Tool Selection Decision Matrix</w:t>
      </w:r>
    </w:p>
    <w:p>
      <w:pPr>
        <w:spacing w:after="200" w:line="276"/>
        <w:jc w:val="both"/>
      </w:pPr>
      <w:r>
        <w:rPr>
          <w:rFonts w:ascii="Arial" w:cs="Arial" w:eastAsia="Arial" w:hAnsi="Arial"/>
          <w:sz w:val="24"/>
          <w:szCs w:val="24"/>
        </w:rPr>
        <w:t xml:space="preserve">Use this matrix to guide tool selection based on country circumstances and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Criterion</w:t>
            </w:r>
          </w:p>
        </w:tc>
        <w:tc>
          <w:tcPr>
            <w:tcW w:type="dxa" w:w="24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Low Capacity</w:t>
            </w:r>
          </w:p>
        </w:tc>
        <w:tc>
          <w:tcPr>
            <w:tcW w:type="dxa" w:w="260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Medium Capacity</w:t>
            </w:r>
          </w:p>
        </w:tc>
        <w:tc>
          <w:tcPr>
            <w:tcW w:type="dxa" w:w="2160"/>
            <w:tcBorders>
              <w:top w:val="single" w:color="CCCCCC" w:sz="1"/>
              <w:left w:val="single" w:color="CCCCCC" w:sz="1"/>
              <w:bottom w:val="single" w:color="CCCCCC" w:sz="1"/>
              <w:right w:val="single" w:color="CCCCCC" w:sz="1"/>
            </w:tcBorders>
            <w:shd w:fill="D4E6F1"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High Capacity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Energy modeling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 (basic)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LEAP (advanced), OSeMOSYS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 custom models</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GHG inventory</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IPCC Software Tier 1</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IPCC Software Tier 2, ALU</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Custom systems, Tier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analysis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ICAT Guides basic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ICAT + spreadsheet models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CGE, sophisticated tools</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Tracking system</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Spreadsheet-based</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Database with dashboard</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Integrated MIS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Costing analysis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 cost approach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Bottom-up costing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economic modeling</w:t>
            </w:r>
          </w:p>
        </w:tc>
      </w:tr>
      <w:tr>
        <w:tc>
          <w:tcPr>
            <w:tcW w:type="dxa" w:w="22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Data management</w:t>
            </w:r>
          </w:p>
        </w:tc>
        <w:tc>
          <w:tcPr>
            <w:tcW w:type="dxa" w:w="24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File-based system</w:t>
            </w:r>
          </w:p>
        </w:tc>
        <w:tc>
          <w:tcPr>
            <w:tcW w:type="dxa" w:w="260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Central database</w:t>
            </w:r>
          </w:p>
        </w:tc>
        <w:tc>
          <w:tcPr>
            <w:tcW w:type="dxa" w:w="2160"/>
            <w:tcBorders>
              <w:top w:val="single" w:color="CCCCCC" w:sz="1"/>
              <w:left w:val="single" w:color="CCCCCC" w:sz="1"/>
              <w:bottom w:val="single" w:color="CCCCCC" w:sz="1"/>
              <w:right w:val="single" w:color="CCCCCC" w:sz="1"/>
            </w:tcBorders>
            <w:shd w:fill="F4F9FC" w:val="clear"/>
            <w:tcMar>
              <w:top w:type="dxa" w:w="60"/>
              <w:left w:type="dxa" w:w="120"/>
              <w:bottom w:type="dxa" w:w="60"/>
              <w:right w:type="dxa" w:w="120"/>
            </w:tcMar>
          </w:tcPr>
          <w:p>
            <w:r>
              <w:rPr>
                <w:rFonts w:ascii="Arial" w:cs="Arial" w:eastAsia="Arial" w:hAnsi="Arial"/>
                <w:sz w:val="20"/>
                <w:szCs w:val="20"/>
              </w:rPr>
              <w:t xml:space="preserve">Integrated data platform</w:t>
            </w:r>
          </w:p>
        </w:tc>
      </w:tr>
    </w:tbl>
    <w:p>
      <w:pPr>
        <w:spacing w:before="200"/>
      </w:pPr>
    </w:p>
    <w:p>
      <w:pPr>
        <w:pStyle w:val="Heading2"/>
      </w:pPr>
      <w:r>
        <w:rPr>
          <w:b/>
          <w:bCs/>
        </w:rPr>
        <w:t xml:space="preserve">Annex D: Online Resources</w:t>
      </w:r>
    </w:p>
    <w:p>
      <w:pPr>
        <w:pStyle w:val="ListParagraph"/>
        <w:numPr>
          <w:ilvl w:val="0"/>
          <w:numId w:val="2"/>
        </w:numPr>
        <w:spacing w:after="120"/>
      </w:pPr>
      <w:r>
        <w:rPr>
          <w:rFonts w:ascii="Arial" w:cs="Arial" w:eastAsia="Arial" w:hAnsi="Arial"/>
          <w:sz w:val="24"/>
          <w:szCs w:val="24"/>
        </w:rPr>
        <w:t xml:space="preserve">UNFCCC NDC Registry: https://unfccc.int/NDCREG</w:t>
      </w:r>
    </w:p>
    <w:p>
      <w:pPr>
        <w:pStyle w:val="ListParagraph"/>
        <w:numPr>
          <w:ilvl w:val="0"/>
          <w:numId w:val="2"/>
        </w:numPr>
        <w:spacing w:after="120"/>
      </w:pPr>
      <w:r>
        <w:rPr>
          <w:rFonts w:ascii="Arial" w:cs="Arial" w:eastAsia="Arial" w:hAnsi="Arial"/>
          <w:sz w:val="24"/>
          <w:szCs w:val="24"/>
        </w:rPr>
        <w:t xml:space="preserve">NDC Partnership: https://ndcpartnership.org</w:t>
      </w:r>
    </w:p>
    <w:p>
      <w:pPr>
        <w:pStyle w:val="ListParagraph"/>
        <w:numPr>
          <w:ilvl w:val="0"/>
          <w:numId w:val="2"/>
        </w:numPr>
        <w:spacing w:after="120"/>
      </w:pPr>
      <w:r>
        <w:rPr>
          <w:rFonts w:ascii="Arial" w:cs="Arial" w:eastAsia="Arial" w:hAnsi="Arial"/>
          <w:sz w:val="24"/>
          <w:szCs w:val="24"/>
        </w:rPr>
        <w:t xml:space="preserve">Climate Watch: https://www.climatewatchdata.org</w:t>
      </w:r>
    </w:p>
    <w:p>
      <w:pPr>
        <w:pStyle w:val="ListParagraph"/>
        <w:numPr>
          <w:ilvl w:val="0"/>
          <w:numId w:val="2"/>
        </w:numPr>
        <w:spacing w:after="120"/>
      </w:pPr>
      <w:r>
        <w:rPr>
          <w:rFonts w:ascii="Arial" w:cs="Arial" w:eastAsia="Arial" w:hAnsi="Arial"/>
          <w:sz w:val="24"/>
          <w:szCs w:val="24"/>
        </w:rPr>
        <w:t xml:space="preserve">LEAP Software: https://leap.sei.org</w:t>
      </w:r>
    </w:p>
    <w:p>
      <w:pPr>
        <w:pStyle w:val="ListParagraph"/>
        <w:numPr>
          <w:ilvl w:val="0"/>
          <w:numId w:val="2"/>
        </w:numPr>
        <w:spacing w:after="120"/>
      </w:pPr>
      <w:r>
        <w:rPr>
          <w:rFonts w:ascii="Arial" w:cs="Arial" w:eastAsia="Arial" w:hAnsi="Arial"/>
          <w:sz w:val="24"/>
          <w:szCs w:val="24"/>
        </w:rPr>
        <w:t xml:space="preserve">ICAT Guidance: https://climateactiontransparency.org</w:t>
      </w:r>
    </w:p>
    <w:p>
      <w:pPr>
        <w:pStyle w:val="ListParagraph"/>
        <w:numPr>
          <w:ilvl w:val="0"/>
          <w:numId w:val="2"/>
        </w:numPr>
        <w:spacing w:after="120"/>
      </w:pPr>
      <w:r>
        <w:rPr>
          <w:rFonts w:ascii="Arial" w:cs="Arial" w:eastAsia="Arial" w:hAnsi="Arial"/>
          <w:sz w:val="24"/>
          <w:szCs w:val="24"/>
        </w:rPr>
        <w:t xml:space="preserve">NDC 3.0 Navigator: https://ndcnavigator.org</w:t>
      </w:r>
    </w:p>
    <w:p>
      <w:pPr>
        <w:pStyle w:val="ListParagraph"/>
        <w:numPr>
          <w:ilvl w:val="0"/>
          <w:numId w:val="2"/>
        </w:numPr>
        <w:spacing w:after="200"/>
      </w:pPr>
      <w:r>
        <w:rPr>
          <w:rFonts w:ascii="Arial" w:cs="Arial" w:eastAsia="Arial" w:hAnsi="Arial"/>
          <w:sz w:val="24"/>
          <w:szCs w:val="24"/>
        </w:rPr>
        <w:t xml:space="preserve">Climate Action Tracker: https://climateactiontracker.org</w:t>
      </w:r>
    </w:p>
    <w:p>
      <w:r>
        <w:br w:type="page"/>
      </w:r>
    </w:p>
    <w:p>
      <w:pPr>
        <w:spacing w:before="4000"/>
        <w:jc w:val="center"/>
      </w:pPr>
      <w:r>
        <w:rPr>
          <w:rFonts w:ascii="Arial" w:cs="Arial" w:eastAsia="Arial" w:hAnsi="Arial"/>
          <w:color w:val="1A5276"/>
          <w:sz w:val="28"/>
          <w:szCs w:val="28"/>
        </w:rPr>
        <w:t xml:space="preserve">END OF DOCUMENT</w:t>
      </w:r>
    </w:p>
    <w:p>
      <w:pPr>
        <w:spacing w:before="400"/>
        <w:jc w:val="center"/>
      </w:pPr>
      <w:r>
        <w:rPr>
          <w:rFonts w:ascii="Arial" w:cs="Arial" w:eastAsia="Arial" w:hAnsi="Arial"/>
          <w:i/>
          <w:iCs/>
          <w:color w:val="2C3E50"/>
          <w:sz w:val="22"/>
          <w:szCs w:val="22"/>
        </w:rPr>
        <w:t xml:space="preserve">NDC Tools Technical Specification</w:t>
      </w:r>
    </w:p>
    <w:p>
      <w:pPr>
        <w:spacing w:before="200"/>
        <w:jc w:val="center"/>
      </w:pPr>
      <w:r>
        <w:rPr>
          <w:rFonts w:ascii="Arial" w:cs="Arial" w:eastAsia="Arial" w:hAnsi="Arial"/>
          <w:color w:val="2E86AB"/>
          <w:sz w:val="20"/>
          <w:szCs w:val="20"/>
        </w:rPr>
        <w:t xml:space="preserve">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86AB"/>
        <w:sz w:val="18"/>
        <w:szCs w:val="18"/>
      </w:rPr>
      <w:t xml:space="preserve">NDC Tools: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3E50"/>
      <w:sz w:val="26"/>
      <w:szCs w:val="26"/>
    </w:rPr>
  </w:style>
  <w:style w:type="paragraph" w:styleId="Heading4">
    <w:name w:val="Heading 4"/>
    <w:basedOn w:val="Normal"/>
    <w:next w:val="Normal"/>
    <w:qFormat/>
    <w:pPr>
      <w:spacing w:before="200" w:after="100"/>
      <w:outlineLvl w:val="3"/>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2026-02-02T06:41:19.210Z</dcterms:created>
  <dcterms:modified xsi:type="dcterms:W3CDTF">2026-02-02T06:41:19.211Z</dcterms:modified>
</cp:coreProperties>
</file>

<file path=docProps/custom.xml><?xml version="1.0" encoding="utf-8"?>
<Properties xmlns="http://schemas.openxmlformats.org/officeDocument/2006/custom-properties" xmlns:vt="http://schemas.openxmlformats.org/officeDocument/2006/docPropsVTypes"/>
</file>