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rial" w:cs="Arial" w:eastAsia="Arial" w:hAnsi="Arial"/>
          <w:b/>
          <w:bCs/>
          <w:color w:val="1B4F72"/>
          <w:sz w:val="56"/>
          <w:szCs w:val="56"/>
        </w:rPr>
        <w:t xml:space="preserve">NATIONAL MRV SYSTEM</w:t>
      </w:r>
    </w:p>
    <w:p>
      <w:pPr>
        <w:spacing w:after="200"/>
        <w:jc w:val="center"/>
      </w:pPr>
      <w:r>
        <w:rPr>
          <w:rFonts w:ascii="Arial" w:cs="Arial" w:eastAsia="Arial" w:hAnsi="Arial"/>
          <w:color w:val="2874A6"/>
          <w:sz w:val="36"/>
          <w:szCs w:val="36"/>
        </w:rPr>
        <w:t xml:space="preserve">Monitoring, Reporting, and Verification</w:t>
      </w:r>
    </w:p>
    <w:p>
      <w:pPr>
        <w:spacing w:after="600"/>
        <w:jc w:val="center"/>
      </w:pPr>
      <w:r>
        <w:rPr>
          <w:rFonts w:ascii="Arial" w:cs="Arial" w:eastAsia="Arial" w:hAnsi="Arial"/>
          <w:color w:val="2C3E50"/>
          <w:sz w:val="32"/>
          <w:szCs w:val="32"/>
        </w:rPr>
        <w:t xml:space="preserve">Technical Specification Document</w:t>
      </w:r>
    </w:p>
    <w:p>
      <w:pPr>
        <w:pBdr>
          <w:top w:val="single" w:color="1B4F72" w:sz="2"/>
        </w:pBdr>
        <w:spacing w:before="400" w:after="200"/>
        <w:jc w:val="center"/>
      </w:pPr>
    </w:p>
    <w:p>
      <w:pPr>
        <w:spacing w:after="100"/>
        <w:jc w:val="center"/>
      </w:pPr>
      <w:r>
        <w:rPr>
          <w:rFonts w:ascii="Arial" w:cs="Arial" w:eastAsia="Arial" w:hAnsi="Arial"/>
          <w:color w:val="2C3E50"/>
          <w:sz w:val="24"/>
          <w:szCs w:val="24"/>
        </w:rPr>
        <w:t xml:space="preserve">Aligned with UNFCCC Enhanced Transparency Framework</w:t>
      </w:r>
    </w:p>
    <w:p>
      <w:pPr>
        <w:spacing w:after="100"/>
        <w:jc w:val="center"/>
      </w:pPr>
      <w:r>
        <w:rPr>
          <w:rFonts w:ascii="Arial" w:cs="Arial" w:eastAsia="Arial" w:hAnsi="Arial"/>
          <w:color w:val="2C3E50"/>
          <w:sz w:val="24"/>
          <w:szCs w:val="24"/>
        </w:rPr>
        <w:t xml:space="preserve">2006 IPCC Guidelines and 2019 Refinement</w:t>
      </w:r>
    </w:p>
    <w:p>
      <w:pPr>
        <w:spacing w:after="100"/>
        <w:jc w:val="center"/>
      </w:pPr>
      <w:r>
        <w:rPr>
          <w:rFonts w:ascii="Arial" w:cs="Arial" w:eastAsia="Arial" w:hAnsi="Arial"/>
          <w:color w:val="2C3E50"/>
          <w:sz w:val="24"/>
          <w:szCs w:val="24"/>
        </w:rPr>
        <w:t xml:space="preserve">Paris Agreement Article 13 Requirements</w:t>
      </w:r>
    </w:p>
    <w:p>
      <w:pPr>
        <w:spacing w:before="2000"/>
      </w:pPr>
    </w:p>
    <w:p>
      <w:pPr>
        <w:jc w:val="center"/>
      </w:pPr>
      <w:r>
        <w:rPr>
          <w:rFonts w:ascii="Arial" w:cs="Arial" w:eastAsia="Arial" w:hAnsi="Arial"/>
          <w:i/>
          <w:iCs/>
          <w:color w:val="2C3E50"/>
          <w:sz w:val="22"/>
          <w:szCs w:val="22"/>
        </w:rPr>
        <w:t xml:space="preserve">Comprehensive Framework for All IPCC Sectors</w:t>
      </w:r>
    </w:p>
    <w:p>
      <w:pPr>
        <w:spacing w:before="100"/>
        <w:jc w:val="center"/>
      </w:pPr>
      <w:r>
        <w:rPr>
          <w:rFonts w:ascii="Arial" w:cs="Arial" w:eastAsia="Arial" w:hAnsi="Arial"/>
          <w:color w:val="2874A6"/>
          <w:sz w:val="20"/>
          <w:szCs w:val="20"/>
        </w:rPr>
        <w:t xml:space="preserve">Energy | Industrial Processes and Product Use | Agriculture | LULUCF | Waste</w:t>
      </w:r>
    </w:p>
    <w:p>
      <w:pPr>
        <w:spacing w:before="2000"/>
      </w:pPr>
    </w:p>
    <w:p>
      <w:pPr>
        <w:jc w:val="center"/>
      </w:pPr>
      <w:r>
        <w:rPr>
          <w:rFonts w:ascii="Arial" w:cs="Arial" w:eastAsia="Arial" w:hAnsi="Arial"/>
          <w:color w:val="2C3E50"/>
          <w:sz w:val="22"/>
          <w:szCs w:val="22"/>
        </w:rPr>
        <w:t xml:space="preserve">Version 1.0 | February 2026</w:t>
      </w:r>
    </w:p>
    <w:p>
      <w:r>
        <w:br w:type="page"/>
      </w:r>
    </w:p>
    <w:p>
      <w:pPr>
        <w:pStyle w:val="Heading1"/>
      </w:pPr>
      <w:r>
        <w:rPr>
          <w:b/>
          <w:bCs/>
          <w:color w:val="1B4F72"/>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b/>
          <w:bCs/>
        </w:rPr>
        <w:t xml:space="preserve">EXECUTIVE SUMMARY</w:t>
      </w:r>
    </w:p>
    <w:p>
      <w:pPr>
        <w:spacing w:after="200" w:line="276"/>
        <w:jc w:val="both"/>
      </w:pPr>
      <w:r>
        <w:rPr>
          <w:rFonts w:ascii="Arial" w:cs="Arial" w:eastAsia="Arial" w:hAnsi="Arial"/>
          <w:sz w:val="24"/>
          <w:szCs w:val="24"/>
        </w:rPr>
        <w:t xml:space="preserve">This Technical Specification Document establishes a comprehensive framework for designing, implementing, and operating a National Monitoring, Reporting, and Verification (MRV) System for greenhouse gas (GHG) emissions. The system is designed to meet the requirements of the Paris Agreement's Enhanced Transparency Framework (ETF) and supports the preparation of Biennial Transparency Reports (BTRs) and National Inventory Reports (NIRs).</w:t>
      </w:r>
    </w:p>
    <w:p>
      <w:pPr>
        <w:spacing w:after="200" w:line="276"/>
        <w:jc w:val="both"/>
      </w:pPr>
      <w:r>
        <w:rPr>
          <w:rFonts w:ascii="Arial" w:cs="Arial" w:eastAsia="Arial" w:hAnsi="Arial"/>
          <w:sz w:val="24"/>
          <w:szCs w:val="24"/>
        </w:rPr>
        <w:t xml:space="preserve">The MRV system architecture presented herein addresses all five IPCC sectors: Energy; Industrial Processes and Product Use (IPPU); Agriculture; Land Use, Land-Use Change and Forestry (LULUCF); and Waste. It incorporates the methodological guidance from the 2006 IPCC Guidelines for National Greenhouse Gas Inventories and the 2019 Refinement, ensuring alignment with international best practices and compliance with UNFCCC reporting requirements.</w:t>
      </w:r>
    </w:p>
    <w:p>
      <w:pPr>
        <w:pStyle w:val="Heading2"/>
      </w:pPr>
      <w:r>
        <w:rPr>
          <w:b/>
          <w:bCs/>
        </w:rPr>
        <w:t xml:space="preserve">Key Features</w:t>
      </w:r>
    </w:p>
    <w:p>
      <w:pPr>
        <w:pStyle w:val="ListParagraph"/>
        <w:numPr>
          <w:ilvl w:val="0"/>
          <w:numId w:val="2"/>
        </w:numPr>
        <w:spacing w:after="120"/>
      </w:pPr>
      <w:r>
        <w:rPr>
          <w:rFonts w:ascii="Arial" w:cs="Arial" w:eastAsia="Arial" w:hAnsi="Arial"/>
          <w:sz w:val="24"/>
          <w:szCs w:val="24"/>
        </w:rPr>
        <w:t xml:space="preserve">Comprehensive institutional framework with clearly defined roles and responsibilities</w:t>
      </w:r>
    </w:p>
    <w:p>
      <w:pPr>
        <w:pStyle w:val="ListParagraph"/>
        <w:numPr>
          <w:ilvl w:val="0"/>
          <w:numId w:val="2"/>
        </w:numPr>
        <w:spacing w:after="120"/>
      </w:pPr>
      <w:r>
        <w:rPr>
          <w:rFonts w:ascii="Arial" w:cs="Arial" w:eastAsia="Arial" w:hAnsi="Arial"/>
          <w:sz w:val="24"/>
          <w:szCs w:val="24"/>
        </w:rPr>
        <w:t xml:space="preserve">Multi-tier methodological approaches supporting continuous improvement</w:t>
      </w:r>
    </w:p>
    <w:p>
      <w:pPr>
        <w:pStyle w:val="ListParagraph"/>
        <w:numPr>
          <w:ilvl w:val="0"/>
          <w:numId w:val="2"/>
        </w:numPr>
        <w:spacing w:after="120"/>
      </w:pPr>
      <w:r>
        <w:rPr>
          <w:rFonts w:ascii="Arial" w:cs="Arial" w:eastAsia="Arial" w:hAnsi="Arial"/>
          <w:sz w:val="24"/>
          <w:szCs w:val="24"/>
        </w:rPr>
        <w:t xml:space="preserve">Robust data management and quality assurance/quality control (QA/QC) procedures</w:t>
      </w:r>
    </w:p>
    <w:p>
      <w:pPr>
        <w:pStyle w:val="ListParagraph"/>
        <w:numPr>
          <w:ilvl w:val="0"/>
          <w:numId w:val="2"/>
        </w:numPr>
        <w:spacing w:after="120"/>
      </w:pPr>
      <w:r>
        <w:rPr>
          <w:rFonts w:ascii="Arial" w:cs="Arial" w:eastAsia="Arial" w:hAnsi="Arial"/>
          <w:sz w:val="24"/>
          <w:szCs w:val="24"/>
        </w:rPr>
        <w:t xml:space="preserve">Independent verification mechanisms and third-party review processes</w:t>
      </w:r>
    </w:p>
    <w:p>
      <w:pPr>
        <w:pStyle w:val="ListParagraph"/>
        <w:numPr>
          <w:ilvl w:val="0"/>
          <w:numId w:val="2"/>
        </w:numPr>
        <w:spacing w:after="120"/>
      </w:pPr>
      <w:r>
        <w:rPr>
          <w:rFonts w:ascii="Arial" w:cs="Arial" w:eastAsia="Arial" w:hAnsi="Arial"/>
          <w:sz w:val="24"/>
          <w:szCs w:val="24"/>
        </w:rPr>
        <w:t xml:space="preserve">Integration of digital MRV technologies and remote sensing capabilities</w:t>
      </w:r>
    </w:p>
    <w:p>
      <w:pPr>
        <w:pStyle w:val="ListParagraph"/>
        <w:numPr>
          <w:ilvl w:val="0"/>
          <w:numId w:val="2"/>
        </w:numPr>
        <w:spacing w:after="200"/>
      </w:pPr>
      <w:r>
        <w:rPr>
          <w:rFonts w:ascii="Arial" w:cs="Arial" w:eastAsia="Arial" w:hAnsi="Arial"/>
          <w:sz w:val="24"/>
          <w:szCs w:val="24"/>
        </w:rPr>
        <w:t xml:space="preserve">Capacity building and sustainable financing mechanisms</w:t>
      </w:r>
    </w:p>
    <w:p>
      <w:pPr>
        <w:pStyle w:val="Heading2"/>
      </w:pPr>
      <w:r>
        <w:rPr>
          <w:b/>
          <w:bCs/>
        </w:rPr>
        <w:t xml:space="preserve">Document Structure</w:t>
      </w:r>
    </w:p>
    <w:p>
      <w:pPr>
        <w:spacing w:after="200" w:line="276"/>
        <w:jc w:val="both"/>
      </w:pPr>
      <w:r>
        <w:rPr>
          <w:rFonts w:ascii="Arial" w:cs="Arial" w:eastAsia="Arial" w:hAnsi="Arial"/>
          <w:sz w:val="24"/>
          <w:szCs w:val="24"/>
        </w:rPr>
        <w:t xml:space="preserve">This document is organized into fifteen chapters covering the legal framework, institutional arrangements, sector-specific methodologies, data management, quality assurance, verification procedures, and implementation roadmap. Supporting annexes provide detailed technical guidance, templates, and reference materials.</w:t>
      </w:r>
    </w:p>
    <w:p>
      <w:r>
        <w:br w:type="page"/>
      </w:r>
    </w:p>
    <w:p>
      <w:pPr>
        <w:pStyle w:val="Heading1"/>
      </w:pPr>
      <w:r>
        <w:rPr>
          <w:b/>
          <w:bCs/>
        </w:rPr>
        <w:t xml:space="preserve">1. INTRODUCTION AND CONTEXT</w:t>
      </w:r>
    </w:p>
    <w:p>
      <w:pPr>
        <w:pStyle w:val="Heading2"/>
      </w:pPr>
      <w:r>
        <w:rPr>
          <w:b/>
          <w:bCs/>
        </w:rPr>
        <w:t xml:space="preserve">1.1 Background</w:t>
      </w:r>
    </w:p>
    <w:p>
      <w:pPr>
        <w:spacing w:after="200" w:line="276"/>
        <w:jc w:val="both"/>
      </w:pPr>
      <w:r>
        <w:rPr>
          <w:rFonts w:ascii="Arial" w:cs="Arial" w:eastAsia="Arial" w:hAnsi="Arial"/>
          <w:sz w:val="24"/>
          <w:szCs w:val="24"/>
        </w:rPr>
        <w:t xml:space="preserve">The global climate crisis demands unprecedented action from all nations. The Paris Agreement, adopted in 2015, established a new architecture for international climate action, including a robust transparency framework under Article 13. This Enhanced Transparency Framework (ETF) requires all Parties to provide regular information on their greenhouse gas emissions, climate actions, and support provided or received.</w:t>
      </w:r>
    </w:p>
    <w:p>
      <w:pPr>
        <w:spacing w:after="200" w:line="276"/>
        <w:jc w:val="both"/>
      </w:pPr>
      <w:r>
        <w:rPr>
          <w:rFonts w:ascii="Arial" w:cs="Arial" w:eastAsia="Arial" w:hAnsi="Arial"/>
          <w:sz w:val="24"/>
          <w:szCs w:val="24"/>
        </w:rPr>
        <w:t xml:space="preserve">A National MRV System serves as the backbone of climate transparency, providing the institutional, technical, and procedural infrastructure necessary to track, document, and report GHG emissions and removals. This system enables countries to understand their emission sources and trends, design effective mitigation strategies, demonstrate compliance with international commitments, and access climate finance.</w:t>
      </w:r>
    </w:p>
    <w:p>
      <w:pPr>
        <w:pStyle w:val="Heading2"/>
      </w:pPr>
      <w:r>
        <w:rPr>
          <w:b/>
          <w:bCs/>
        </w:rPr>
        <w:t xml:space="preserve">1.2 Purpose and Scope</w:t>
      </w:r>
    </w:p>
    <w:p>
      <w:pPr>
        <w:spacing w:after="200" w:line="276"/>
        <w:jc w:val="both"/>
      </w:pPr>
      <w:r>
        <w:rPr>
          <w:rFonts w:ascii="Arial" w:cs="Arial" w:eastAsia="Arial" w:hAnsi="Arial"/>
          <w:sz w:val="24"/>
          <w:szCs w:val="24"/>
        </w:rPr>
        <w:t xml:space="preserve">This Technical Specification Document provides a comprehensive blueprint for establishing a national MRV system that is robust, transparent, and consistent with international standards. The scope encompasses all anthropogenic GHG emissions by sources and removals by sinks covered under the UNFCCC, including carbon dioxide (CO2), methane (CH4), nitrous oxide (N2O), hydrofluorocarbons (HFCs), perfluorocarbons (PFCs), sulphur hexafluoride (SF6), and nitrogen trifluoride (NF3).</w:t>
      </w:r>
    </w:p>
    <w:p>
      <w:pPr>
        <w:pStyle w:val="Heading2"/>
      </w:pPr>
      <w:r>
        <w:rPr>
          <w:b/>
          <w:bCs/>
        </w:rPr>
        <w:t xml:space="preserve">1.3 Regulatory Framework Alignment</w:t>
      </w:r>
    </w:p>
    <w:p>
      <w:pPr>
        <w:spacing w:after="200" w:line="276"/>
        <w:jc w:val="both"/>
      </w:pPr>
      <w:r>
        <w:rPr>
          <w:rFonts w:ascii="Arial" w:cs="Arial" w:eastAsia="Arial" w:hAnsi="Arial"/>
          <w:sz w:val="24"/>
          <w:szCs w:val="24"/>
        </w:rPr>
        <w:t xml:space="preserve">The MRV system is designed to comply with the following international frameworks and guidelines:</w:t>
      </w:r>
    </w:p>
    <w:p>
      <w:pPr>
        <w:pStyle w:val="ListParagraph"/>
        <w:numPr>
          <w:ilvl w:val="0"/>
          <w:numId w:val="2"/>
        </w:numPr>
        <w:spacing w:after="120"/>
      </w:pPr>
      <w:r>
        <w:rPr>
          <w:rFonts w:ascii="Arial" w:cs="Arial" w:eastAsia="Arial" w:hAnsi="Arial"/>
          <w:sz w:val="24"/>
          <w:szCs w:val="24"/>
        </w:rPr>
        <w:t xml:space="preserve">UNFCCC Enhanced Transparency Framework (Article 13 of the Paris Agreement)</w:t>
      </w:r>
    </w:p>
    <w:p>
      <w:pPr>
        <w:pStyle w:val="ListParagraph"/>
        <w:numPr>
          <w:ilvl w:val="0"/>
          <w:numId w:val="2"/>
        </w:numPr>
        <w:spacing w:after="120"/>
      </w:pPr>
      <w:r>
        <w:rPr>
          <w:rFonts w:ascii="Arial" w:cs="Arial" w:eastAsia="Arial" w:hAnsi="Arial"/>
          <w:sz w:val="24"/>
          <w:szCs w:val="24"/>
        </w:rPr>
        <w:t xml:space="preserve">Modalities, Procedures and Guidelines (MPGs) for the transparency framework</w:t>
      </w:r>
    </w:p>
    <w:p>
      <w:pPr>
        <w:pStyle w:val="ListParagraph"/>
        <w:numPr>
          <w:ilvl w:val="0"/>
          <w:numId w:val="2"/>
        </w:numPr>
        <w:spacing w:after="120"/>
      </w:pPr>
      <w:r>
        <w:rPr>
          <w:rFonts w:ascii="Arial" w:cs="Arial" w:eastAsia="Arial" w:hAnsi="Arial"/>
          <w:sz w:val="24"/>
          <w:szCs w:val="24"/>
        </w:rPr>
        <w:t xml:space="preserve">2006 IPCC Guidelines for National Greenhouse Gas Inventories</w:t>
      </w:r>
    </w:p>
    <w:p>
      <w:pPr>
        <w:pStyle w:val="ListParagraph"/>
        <w:numPr>
          <w:ilvl w:val="0"/>
          <w:numId w:val="2"/>
        </w:numPr>
        <w:spacing w:after="120"/>
      </w:pPr>
      <w:r>
        <w:rPr>
          <w:rFonts w:ascii="Arial" w:cs="Arial" w:eastAsia="Arial" w:hAnsi="Arial"/>
          <w:sz w:val="24"/>
          <w:szCs w:val="24"/>
        </w:rPr>
        <w:t xml:space="preserve">2019 Refinement to the 2006 IPCC Guidelines</w:t>
      </w:r>
    </w:p>
    <w:p>
      <w:pPr>
        <w:pStyle w:val="ListParagraph"/>
        <w:numPr>
          <w:ilvl w:val="0"/>
          <w:numId w:val="2"/>
        </w:numPr>
        <w:spacing w:after="200"/>
      </w:pPr>
      <w:r>
        <w:rPr>
          <w:rFonts w:ascii="Arial" w:cs="Arial" w:eastAsia="Arial" w:hAnsi="Arial"/>
          <w:sz w:val="24"/>
          <w:szCs w:val="24"/>
        </w:rPr>
        <w:t xml:space="preserve">Biennial Transparency Report (BTR) and National Inventory Report (NIR) requirements</w:t>
      </w:r>
    </w:p>
    <w:p>
      <w:pPr>
        <w:pStyle w:val="Heading2"/>
      </w:pPr>
      <w:r>
        <w:rPr>
          <w:b/>
          <w:bCs/>
        </w:rPr>
        <w:t xml:space="preserve">1.4 Guiding Principles</w:t>
      </w:r>
    </w:p>
    <w:p>
      <w:pPr>
        <w:spacing w:after="200" w:line="276"/>
        <w:jc w:val="both"/>
      </w:pPr>
      <w:r>
        <w:rPr>
          <w:rFonts w:ascii="Arial" w:cs="Arial" w:eastAsia="Arial" w:hAnsi="Arial"/>
          <w:sz w:val="24"/>
          <w:szCs w:val="24"/>
        </w:rPr>
        <w:t xml:space="preserve">The National MRV System adheres to the TACCC principles established by the IPCC: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Principle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Transparency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Sufficient documentation and clear methodology to enable third-party verification and replication of estimates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Accuracy</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Estimates that are neither systematically over nor under true emissions, with uncertainties minimized as far as practicable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Completeness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sources and sinks included, with full geographic coverage and complete time series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Consistency</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Methodologies that allow meaningful comparisons across time and alignment with international guidelines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Comparability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Estimates presented in formats that enable comparison with other countries and reporting requirements</w:t>
            </w:r>
          </w:p>
        </w:tc>
      </w:tr>
    </w:tbl>
    <w:p>
      <w:pPr>
        <w:spacing w:before="200"/>
      </w:pPr>
    </w:p>
    <w:p>
      <w:r>
        <w:br w:type="page"/>
      </w:r>
    </w:p>
    <w:p>
      <w:pPr>
        <w:pStyle w:val="Heading1"/>
      </w:pPr>
      <w:r>
        <w:rPr>
          <w:b/>
          <w:bCs/>
        </w:rPr>
        <w:t xml:space="preserve">2. LEGAL AND POLICY FRAMEWORK</w:t>
      </w:r>
    </w:p>
    <w:p>
      <w:pPr>
        <w:pStyle w:val="Heading2"/>
      </w:pPr>
      <w:r>
        <w:rPr>
          <w:b/>
          <w:bCs/>
        </w:rPr>
        <w:t xml:space="preserve">2.1 International Obligations</w:t>
      </w:r>
    </w:p>
    <w:p>
      <w:pPr>
        <w:spacing w:after="200" w:line="276"/>
        <w:jc w:val="both"/>
      </w:pPr>
      <w:r>
        <w:rPr>
          <w:rFonts w:ascii="Arial" w:cs="Arial" w:eastAsia="Arial" w:hAnsi="Arial"/>
          <w:sz w:val="24"/>
          <w:szCs w:val="24"/>
        </w:rPr>
        <w:t xml:space="preserve">The legal foundation for the National MRV System derives from multiple international instruments. As a Party to the UNFCCC, the nation is obligated to develop, periodically update, and make available national inventories of anthropogenic GHG emissions and removals. The Paris Agreement further strengthens these obligations through the Enhanced Transparency Framework.</w:t>
      </w:r>
    </w:p>
    <w:p>
      <w:pPr>
        <w:pStyle w:val="Heading3"/>
      </w:pPr>
      <w:r>
        <w:rPr>
          <w:b/>
          <w:bCs/>
        </w:rPr>
        <w:t xml:space="preserve">2.1.1 Paris Agreement Requirements</w:t>
      </w:r>
    </w:p>
    <w:p>
      <w:pPr>
        <w:spacing w:after="200" w:line="276"/>
        <w:jc w:val="both"/>
      </w:pPr>
      <w:r>
        <w:rPr>
          <w:rFonts w:ascii="Arial" w:cs="Arial" w:eastAsia="Arial" w:hAnsi="Arial"/>
          <w:sz w:val="24"/>
          <w:szCs w:val="24"/>
        </w:rPr>
        <w:t xml:space="preserve">Under Article 13 of the Paris Agreement, each Party shall regularly provide a national inventory report of anthropogenic emissions by sources and removals by sinks, prepared using good practice methodologies accepted by the IPCC. Additionally, Parties shall provide information necessary to track progress in implementing and achieving their Nationally Determined Contributions (NDCs).</w:t>
      </w:r>
    </w:p>
    <w:p>
      <w:pPr>
        <w:pStyle w:val="Heading3"/>
      </w:pPr>
      <w:r>
        <w:rPr>
          <w:b/>
          <w:bCs/>
        </w:rPr>
        <w:t xml:space="preserve">2.1.2 Reporting Timelines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Report 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Frequency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First Submission</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Contents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Biennial Transparency Report (BTR)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2 years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 December 2024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GHG inventory, NDC progress, climate actions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National Inventory Report (NIR)</w:t>
            </w:r>
          </w:p>
        </w:tc>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Every 2 years</w:t>
            </w:r>
          </w:p>
        </w:tc>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With BTR</w:t>
            </w:r>
          </w:p>
        </w:tc>
        <w:tc>
          <w:tcPr>
            <w:tcW w:type="dxa" w:w="3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Detailed sectoral emissions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Communication (NC)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4 years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Ongoing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Comprehensive climate information</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Adaptation Communication</w:t>
            </w:r>
          </w:p>
        </w:tc>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Periodic</w:t>
            </w:r>
          </w:p>
        </w:tc>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Voluntary</w:t>
            </w:r>
          </w:p>
        </w:tc>
        <w:tc>
          <w:tcPr>
            <w:tcW w:type="dxa" w:w="3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Adaptation actions and needs</w:t>
            </w:r>
          </w:p>
        </w:tc>
      </w:tr>
    </w:tbl>
    <w:p>
      <w:pPr>
        <w:spacing w:before="200"/>
      </w:pPr>
    </w:p>
    <w:p>
      <w:pPr>
        <w:pStyle w:val="Heading2"/>
      </w:pPr>
      <w:r>
        <w:rPr>
          <w:b/>
          <w:bCs/>
        </w:rPr>
        <w:t xml:space="preserve">2.2 National Legal Framework</w:t>
      </w:r>
    </w:p>
    <w:p>
      <w:pPr>
        <w:spacing w:after="200" w:line="276"/>
        <w:jc w:val="both"/>
      </w:pPr>
      <w:r>
        <w:rPr>
          <w:rFonts w:ascii="Arial" w:cs="Arial" w:eastAsia="Arial" w:hAnsi="Arial"/>
          <w:sz w:val="24"/>
          <w:szCs w:val="24"/>
        </w:rPr>
        <w:t xml:space="preserve">A robust national legal framework is essential for the effective operation of the MRV system. This framework should establish the legal mandate for GHG reporting, data collection authorities, and institutional responsibilities.</w:t>
      </w:r>
    </w:p>
    <w:p>
      <w:pPr>
        <w:pStyle w:val="Heading3"/>
      </w:pPr>
      <w:r>
        <w:rPr>
          <w:b/>
          <w:bCs/>
        </w:rPr>
        <w:t xml:space="preserve">2.2.1 Recommended Legislative Elements</w:t>
      </w:r>
    </w:p>
    <w:p>
      <w:pPr>
        <w:pStyle w:val="ListParagraph"/>
        <w:numPr>
          <w:ilvl w:val="0"/>
          <w:numId w:val="3"/>
        </w:numPr>
        <w:spacing w:after="120"/>
      </w:pPr>
      <w:r>
        <w:rPr>
          <w:rFonts w:ascii="Arial" w:cs="Arial" w:eastAsia="Arial" w:hAnsi="Arial"/>
          <w:sz w:val="24"/>
          <w:szCs w:val="24"/>
        </w:rPr>
        <w:t xml:space="preserve">Climate Change Act or Environmental Protection Law establishing the mandate for GHG inventory preparation and reporting</w:t>
      </w:r>
    </w:p>
    <w:p>
      <w:pPr>
        <w:pStyle w:val="ListParagraph"/>
        <w:numPr>
          <w:ilvl w:val="0"/>
          <w:numId w:val="3"/>
        </w:numPr>
        <w:spacing w:after="120"/>
      </w:pPr>
      <w:r>
        <w:rPr>
          <w:rFonts w:ascii="Arial" w:cs="Arial" w:eastAsia="Arial" w:hAnsi="Arial"/>
          <w:sz w:val="24"/>
          <w:szCs w:val="24"/>
        </w:rPr>
        <w:t xml:space="preserve">Regulations specifying mandatory reporting requirements for large emitters and key sectors</w:t>
      </w:r>
    </w:p>
    <w:p>
      <w:pPr>
        <w:pStyle w:val="ListParagraph"/>
        <w:numPr>
          <w:ilvl w:val="0"/>
          <w:numId w:val="3"/>
        </w:numPr>
        <w:spacing w:after="120"/>
      </w:pPr>
      <w:r>
        <w:rPr>
          <w:rFonts w:ascii="Arial" w:cs="Arial" w:eastAsia="Arial" w:hAnsi="Arial"/>
          <w:sz w:val="24"/>
          <w:szCs w:val="24"/>
        </w:rPr>
        <w:t xml:space="preserve">Data sharing agreements between government ministries and agencies</w:t>
      </w:r>
    </w:p>
    <w:p>
      <w:pPr>
        <w:pStyle w:val="ListParagraph"/>
        <w:numPr>
          <w:ilvl w:val="0"/>
          <w:numId w:val="3"/>
        </w:numPr>
        <w:spacing w:after="120"/>
      </w:pPr>
      <w:r>
        <w:rPr>
          <w:rFonts w:ascii="Arial" w:cs="Arial" w:eastAsia="Arial" w:hAnsi="Arial"/>
          <w:sz w:val="24"/>
          <w:szCs w:val="24"/>
        </w:rPr>
        <w:t xml:space="preserve">Confidentiality protections for commercially sensitive information</w:t>
      </w:r>
    </w:p>
    <w:p>
      <w:pPr>
        <w:pStyle w:val="ListParagraph"/>
        <w:numPr>
          <w:ilvl w:val="0"/>
          <w:numId w:val="3"/>
        </w:numPr>
        <w:spacing w:after="200"/>
      </w:pPr>
      <w:r>
        <w:rPr>
          <w:rFonts w:ascii="Arial" w:cs="Arial" w:eastAsia="Arial" w:hAnsi="Arial"/>
          <w:sz w:val="24"/>
          <w:szCs w:val="24"/>
        </w:rPr>
        <w:t xml:space="preserve">Enforcement mechanisms and penalties for non-compliance</w:t>
      </w:r>
    </w:p>
    <w:p>
      <w:pPr>
        <w:pStyle w:val="Heading2"/>
      </w:pPr>
      <w:r>
        <w:rPr>
          <w:b/>
          <w:bCs/>
        </w:rPr>
        <w:t xml:space="preserve">2.3 Policy Integration</w:t>
      </w:r>
    </w:p>
    <w:p>
      <w:pPr>
        <w:spacing w:after="200" w:line="276"/>
        <w:jc w:val="both"/>
      </w:pPr>
      <w:r>
        <w:rPr>
          <w:rFonts w:ascii="Arial" w:cs="Arial" w:eastAsia="Arial" w:hAnsi="Arial"/>
          <w:sz w:val="24"/>
          <w:szCs w:val="24"/>
        </w:rPr>
        <w:t xml:space="preserve">The MRV system should be integrated with national climate policies, including the Nationally Determined Contribution (NDC), Long-term Low Emission Development Strategy (LT-LEDS), National Adaptation Plan (NAP), and sectoral policies for energy, transport, agriculture, forestry, and waste management. This integration ensures that MRV outputs directly support policy development, implementation monitoring, and impact assessment.</w:t>
      </w:r>
    </w:p>
    <w:p>
      <w:r>
        <w:br w:type="page"/>
      </w:r>
    </w:p>
    <w:p>
      <w:pPr>
        <w:pStyle w:val="Heading1"/>
      </w:pPr>
      <w:r>
        <w:rPr>
          <w:b/>
          <w:bCs/>
        </w:rPr>
        <w:t xml:space="preserve">3. INSTITUTIONAL ARRANGEMENTS</w:t>
      </w:r>
    </w:p>
    <w:p>
      <w:pPr>
        <w:pStyle w:val="Heading2"/>
      </w:pPr>
      <w:r>
        <w:rPr>
          <w:b/>
          <w:bCs/>
        </w:rPr>
        <w:t xml:space="preserve">3.1 Overview of Institutional Structure</w:t>
      </w:r>
    </w:p>
    <w:p>
      <w:pPr>
        <w:spacing w:after="200" w:line="276"/>
        <w:jc w:val="both"/>
      </w:pPr>
      <w:r>
        <w:rPr>
          <w:rFonts w:ascii="Arial" w:cs="Arial" w:eastAsia="Arial" w:hAnsi="Arial"/>
          <w:sz w:val="24"/>
          <w:szCs w:val="24"/>
        </w:rPr>
        <w:t xml:space="preserve">Effective institutional arrangements are fundamental to the sustainability and quality of the National MRV System. These arrangements encompass the organizations involved, their roles and responsibilities, and the mechanisms for coordination and collaboration. The institutional framework should ensure continuity, promote ownership, and facilitate continuous improvement.</w:t>
      </w:r>
    </w:p>
    <w:p>
      <w:pPr>
        <w:pStyle w:val="Heading2"/>
      </w:pPr>
      <w:r>
        <w:rPr>
          <w:b/>
          <w:bCs/>
        </w:rPr>
        <w:t xml:space="preserve">3.2 Core Institutional Components</w:t>
      </w:r>
    </w:p>
    <w:p>
      <w:pPr>
        <w:pStyle w:val="Heading3"/>
      </w:pPr>
      <w:r>
        <w:rPr>
          <w:b/>
          <w:bCs/>
        </w:rPr>
        <w:t xml:space="preserve">3.2.1 National Climate Change Committee</w:t>
      </w:r>
    </w:p>
    <w:p>
      <w:pPr>
        <w:spacing w:after="200" w:line="276"/>
        <w:jc w:val="both"/>
      </w:pPr>
      <w:r>
        <w:rPr>
          <w:rFonts w:ascii="Arial" w:cs="Arial" w:eastAsia="Arial" w:hAnsi="Arial"/>
          <w:sz w:val="24"/>
          <w:szCs w:val="24"/>
        </w:rPr>
        <w:t xml:space="preserve">The National Climate Change Committee (NCCC) serves as the highest decision-making body for climate policy, including the MRV system. Chaired by a senior government official (ministerial level), the committee comprises representatives from all relevant ministries and provides strategic oversight and policy direction for the MRV system.</w:t>
      </w:r>
    </w:p>
    <w:p>
      <w:pPr>
        <w:pStyle w:val="Heading3"/>
      </w:pPr>
      <w:r>
        <w:rPr>
          <w:b/>
          <w:bCs/>
        </w:rPr>
        <w:t xml:space="preserve">3.2.2 Lead Inventory Agency</w:t>
      </w:r>
    </w:p>
    <w:p>
      <w:pPr>
        <w:spacing w:after="200" w:line="276"/>
        <w:jc w:val="both"/>
      </w:pPr>
      <w:r>
        <w:rPr>
          <w:rFonts w:ascii="Arial" w:cs="Arial" w:eastAsia="Arial" w:hAnsi="Arial"/>
          <w:sz w:val="24"/>
          <w:szCs w:val="24"/>
        </w:rPr>
        <w:t xml:space="preserve">The Lead Inventory Agency (LIA) holds primary responsibility for coordinating the national GHG inventory. Typically housed within the Ministry of Environment or equivalent, the LIA manages the inventory compilation process, ensures quality control, and submits reports to the UNFCCC. The LIA should have sufficient technical capacity, budget authority, and institutional mandate to fulfill its role effectively.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Function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Lead Inventory Agency 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Coordination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 relationships with data providers and sector leads; convene technical working groups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Quality Management</w:t>
            </w:r>
          </w:p>
        </w:tc>
        <w:tc>
          <w:tcPr>
            <w:tcW w:type="dxa" w:w="71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Implement QA/QC procedures; maintain documentation and archive system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Compilation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Aggregate sectoral data; ensure consistency across sectors and time series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Reporting</w:t>
            </w:r>
          </w:p>
        </w:tc>
        <w:tc>
          <w:tcPr>
            <w:tcW w:type="dxa" w:w="71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Prepare NIR and BTR submissions; respond to UNFCCC review teams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Improvement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 and implement inventory improvement plans; track progress on key categories</w:t>
            </w:r>
          </w:p>
        </w:tc>
      </w:tr>
    </w:tbl>
    <w:p>
      <w:pPr>
        <w:spacing w:before="200"/>
      </w:pPr>
    </w:p>
    <w:p>
      <w:pPr>
        <w:pStyle w:val="Heading3"/>
      </w:pPr>
      <w:r>
        <w:rPr>
          <w:b/>
          <w:bCs/>
        </w:rPr>
        <w:t xml:space="preserve">3.2.3 Sector Lead Agencies</w:t>
      </w:r>
    </w:p>
    <w:p>
      <w:pPr>
        <w:spacing w:after="200" w:line="276"/>
        <w:jc w:val="both"/>
      </w:pPr>
      <w:r>
        <w:rPr>
          <w:rFonts w:ascii="Arial" w:cs="Arial" w:eastAsia="Arial" w:hAnsi="Arial"/>
          <w:sz w:val="24"/>
          <w:szCs w:val="24"/>
        </w:rPr>
        <w:t xml:space="preserve">Each IPCC sector is assigned to a Sector Lead Agency with technical expertise and data access for that sector. These agencies are responsible for collecting activity data, applying appropriate emission factors, calculating sectoral emissions, and preparing sectoral inventory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Sector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Typical Lead Agency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Data Sources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Ministry of Energy / Energy Authority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balances, fuel sales, power generation statistics</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IPPU</w:t>
            </w:r>
          </w:p>
        </w:tc>
        <w:tc>
          <w:tcPr>
            <w:tcW w:type="dxa" w:w="3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Ministry of Industry</w:t>
            </w:r>
          </w:p>
        </w:tc>
        <w:tc>
          <w:tcPr>
            <w:tcW w:type="dxa" w:w="43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Production data, industrial surveys, trade statistics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Agriculture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Ministry of Agriculture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Livestock censuses, crop production, fertilizer use</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LULUCF</w:t>
            </w:r>
          </w:p>
        </w:tc>
        <w:tc>
          <w:tcPr>
            <w:tcW w:type="dxa" w:w="3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Ministry of Environment / Forestry</w:t>
            </w:r>
          </w:p>
        </w:tc>
        <w:tc>
          <w:tcPr>
            <w:tcW w:type="dxa" w:w="43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Forest inventories, land use maps, remote sensing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Ministry of Environment / Municipalities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Waste generation data, landfill records, wastewater statistics</w:t>
            </w:r>
          </w:p>
        </w:tc>
      </w:tr>
    </w:tbl>
    <w:p>
      <w:pPr>
        <w:spacing w:before="200"/>
      </w:pPr>
    </w:p>
    <w:p>
      <w:pPr>
        <w:pStyle w:val="Heading3"/>
      </w:pPr>
      <w:r>
        <w:rPr>
          <w:b/>
          <w:bCs/>
        </w:rPr>
        <w:t xml:space="preserve">3.2.4 QA/QC Coordinator</w:t>
      </w:r>
    </w:p>
    <w:p>
      <w:pPr>
        <w:spacing w:after="200" w:line="276"/>
        <w:jc w:val="both"/>
      </w:pPr>
      <w:r>
        <w:rPr>
          <w:rFonts w:ascii="Arial" w:cs="Arial" w:eastAsia="Arial" w:hAnsi="Arial"/>
          <w:sz w:val="24"/>
          <w:szCs w:val="24"/>
        </w:rPr>
        <w:t xml:space="preserve">The QA/QC Coordinator is responsible for developing and overseeing the implementation of the QA/QC plan. This role ensures that quality procedures are consistently applied across all sectors, coordinates external reviews, and maintains documentation of QA/QC activities.</w:t>
      </w:r>
    </w:p>
    <w:p>
      <w:pPr>
        <w:pStyle w:val="Heading2"/>
      </w:pPr>
      <w:r>
        <w:rPr>
          <w:b/>
          <w:bCs/>
        </w:rPr>
        <w:t xml:space="preserve">3.3 Coordination Mechanisms</w:t>
      </w:r>
    </w:p>
    <w:p>
      <w:pPr>
        <w:spacing w:after="200" w:line="276"/>
        <w:jc w:val="both"/>
      </w:pPr>
      <w:r>
        <w:rPr>
          <w:rFonts w:ascii="Arial" w:cs="Arial" w:eastAsia="Arial" w:hAnsi="Arial"/>
          <w:sz w:val="24"/>
          <w:szCs w:val="24"/>
        </w:rPr>
        <w:t xml:space="preserve">Effective coordination requires formal mechanisms including Memoranda of Understanding (MOUs) between agencies, Technical Working Groups for each sector, regular coordination meetings (quarterly or more frequent), clear data sharing protocols and timelines, and designated focal points in each contributing agency.</w:t>
      </w:r>
    </w:p>
    <w:p>
      <w:r>
        <w:br w:type="page"/>
      </w:r>
    </w:p>
    <w:p>
      <w:pPr>
        <w:pStyle w:val="Heading1"/>
      </w:pPr>
      <w:r>
        <w:rPr>
          <w:b/>
          <w:bCs/>
        </w:rPr>
        <w:t xml:space="preserve">4. ENERGY SECTOR MRV</w:t>
      </w:r>
    </w:p>
    <w:p>
      <w:pPr>
        <w:pStyle w:val="Heading2"/>
      </w:pPr>
      <w:r>
        <w:rPr>
          <w:b/>
          <w:bCs/>
        </w:rPr>
        <w:t xml:space="preserve">4.1 Sector Overview</w:t>
      </w:r>
    </w:p>
    <w:p>
      <w:pPr>
        <w:spacing w:after="200" w:line="276"/>
        <w:jc w:val="both"/>
      </w:pPr>
      <w:r>
        <w:rPr>
          <w:rFonts w:ascii="Arial" w:cs="Arial" w:eastAsia="Arial" w:hAnsi="Arial"/>
          <w:sz w:val="24"/>
          <w:szCs w:val="24"/>
        </w:rPr>
        <w:t xml:space="preserve">The Energy sector typically represents the largest source of GHG emissions in most countries, encompassing fuel combustion activities across all economic sectors and fugitive emissions from fuel extraction and processing. This chapter establishes the MRV specifications for comprehensive energy sector emissions accounting.</w:t>
      </w:r>
    </w:p>
    <w:p>
      <w:pPr>
        <w:pStyle w:val="Heading2"/>
      </w:pPr>
      <w:r>
        <w:rPr>
          <w:b/>
          <w:bCs/>
        </w:rPr>
        <w:t xml:space="preserve">4.2 Category Structure</w:t>
      </w:r>
    </w:p>
    <w:p>
      <w:pPr>
        <w:spacing w:after="200" w:line="276"/>
        <w:jc w:val="both"/>
      </w:pPr>
      <w:r>
        <w:rPr>
          <w:rFonts w:ascii="Arial" w:cs="Arial" w:eastAsia="Arial" w:hAnsi="Arial"/>
          <w:sz w:val="24"/>
          <w:szCs w:val="24"/>
        </w:rPr>
        <w:t xml:space="preserve">Following the 2006 IPCC Guidelines, the Energy sector is organized into the following main categories:</w:t>
      </w:r>
    </w:p>
    <w:p>
      <w:pPr>
        <w:pStyle w:val="Heading3"/>
      </w:pPr>
      <w:r>
        <w:rPr>
          <w:b/>
          <w:bCs/>
        </w:rPr>
        <w:t xml:space="preserve">4.2.1 Fuel Combustion Activities (1A)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Sub-categories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Emission Sources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1A1 Energy Industries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Electricity generation, petroleum refining, manufacture of solid fuels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Combustion of fuels for power and heat production</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1A2 Manufacturing Industries</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Iron and steel, chemicals, pulp and paper, food processing</w:t>
            </w:r>
          </w:p>
        </w:tc>
        <w:tc>
          <w:tcPr>
            <w:tcW w:type="dxa" w:w="36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Industrial fuel use for production processes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1A3 Transport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Road, rail, aviation, navigation, pipelines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 combustion from all transport modes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1A4 Other Sectors</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Commercial, residential, agriculture/forestry/fishing</w:t>
            </w:r>
          </w:p>
        </w:tc>
        <w:tc>
          <w:tcPr>
            <w:tcW w:type="dxa" w:w="36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Fuel use in buildings and other activities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1A5 Non-Specified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Military, other unallocated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Combustion not elsewhere classified</w:t>
            </w:r>
          </w:p>
        </w:tc>
      </w:tr>
    </w:tbl>
    <w:p>
      <w:pPr>
        <w:spacing w:before="200"/>
      </w:pPr>
    </w:p>
    <w:p>
      <w:pPr>
        <w:pStyle w:val="Heading3"/>
      </w:pPr>
      <w:r>
        <w:rPr>
          <w:b/>
          <w:bCs/>
        </w:rPr>
        <w:t xml:space="preserve">4.2.2 Fugitive Emissions (1B)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Sub-categories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Emission Sources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1B1 Solid Fuels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Coal mining, solid fuel transformation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Methane from underground/surface mining, post-mining activities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1B2 Oil and Natural Gas</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Oil exploration, production, refining, gas systems</w:t>
            </w:r>
          </w:p>
        </w:tc>
        <w:tc>
          <w:tcPr>
            <w:tcW w:type="dxa" w:w="36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Venting, flaring, leakage from oil and gas operations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1B3 Other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Geothermal energy production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 and CH4 from geothermal operations</w:t>
            </w:r>
          </w:p>
        </w:tc>
      </w:tr>
    </w:tbl>
    <w:p>
      <w:pPr>
        <w:spacing w:before="200"/>
      </w:pPr>
    </w:p>
    <w:p>
      <w:pPr>
        <w:pStyle w:val="Heading2"/>
      </w:pPr>
      <w:r>
        <w:rPr>
          <w:b/>
          <w:bCs/>
        </w:rPr>
        <w:t xml:space="preserve">4.3 Methodological Approaches</w:t>
      </w:r>
    </w:p>
    <w:p>
      <w:pPr>
        <w:pStyle w:val="Heading3"/>
      </w:pPr>
      <w:r>
        <w:rPr>
          <w:b/>
          <w:bCs/>
        </w:rPr>
        <w:t xml:space="preserve">4.3.1 Reference Approach vs. Sectoral Approach</w:t>
      </w:r>
    </w:p>
    <w:p>
      <w:pPr>
        <w:spacing w:after="200" w:line="276"/>
        <w:jc w:val="both"/>
      </w:pPr>
      <w:r>
        <w:rPr>
          <w:rFonts w:ascii="Arial" w:cs="Arial" w:eastAsia="Arial" w:hAnsi="Arial"/>
          <w:sz w:val="24"/>
          <w:szCs w:val="24"/>
        </w:rPr>
        <w:t xml:space="preserve">The IPCC provides two complementary approaches for estimating CO2 emissions from fuel combustion. The Reference Approach is a top-down method based on energy supply statistics, using apparent fuel consumption derived from production, imports, exports, and stock changes. The Sectoral Approach is a bottom-up method based on detailed end-use data, providing greater disaggregation by economic sector.</w:t>
      </w:r>
    </w:p>
    <w:p>
      <w:pPr>
        <w:spacing w:after="200" w:line="276"/>
        <w:jc w:val="both"/>
      </w:pPr>
      <w:r>
        <w:rPr>
          <w:rFonts w:ascii="Arial" w:cs="Arial" w:eastAsia="Arial" w:hAnsi="Arial"/>
          <w:sz w:val="24"/>
          <w:szCs w:val="24"/>
        </w:rPr>
        <w:t xml:space="preserve">Both approaches should be applied, with differences analyzed and explained. Significant discrepancies (greater than 5%) should be investigated and documented.</w:t>
      </w:r>
    </w:p>
    <w:p>
      <w:pPr>
        <w:pStyle w:val="Heading3"/>
      </w:pPr>
      <w:r>
        <w:rPr>
          <w:b/>
          <w:bCs/>
        </w:rPr>
        <w:t xml:space="preserve">4.3.2 Tier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Tier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Data Requirements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Applicability</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Accuracy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emission factors, aggregated activity data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countries, initial inventories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(uncertainty 20-50%)</w:t>
            </w:r>
          </w:p>
        </w:tc>
      </w:tr>
      <w:tr>
        <w:tc>
          <w:tcPr>
            <w:tcW w:type="dxa" w:w="1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Tier 2</w:t>
            </w:r>
          </w:p>
        </w:tc>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Country-specific emission factors, disaggregated data</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Key categories, data available</w:t>
            </w:r>
          </w:p>
        </w:tc>
        <w:tc>
          <w:tcPr>
            <w:tcW w:type="dxa" w:w="23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Medium (uncertainty 10-30%)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Facility-level data, continuous monitoring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Large sources, advanced systems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Higher (uncertainty 5-15%)</w:t>
            </w:r>
          </w:p>
        </w:tc>
      </w:tr>
    </w:tbl>
    <w:p>
      <w:pPr>
        <w:spacing w:before="200"/>
      </w:pPr>
    </w:p>
    <w:p>
      <w:pPr>
        <w:pStyle w:val="Heading2"/>
      </w:pPr>
      <w:r>
        <w:rPr>
          <w:b/>
          <w:bCs/>
        </w:rPr>
        <w:t xml:space="preserve">4.4 Data Requirements</w:t>
      </w:r>
    </w:p>
    <w:p>
      <w:pPr>
        <w:pStyle w:val="Heading3"/>
      </w:pPr>
      <w:r>
        <w:rPr>
          <w:b/>
          <w:bCs/>
        </w:rPr>
        <w:t xml:space="preserve">4.4.1 Activity Data</w:t>
      </w:r>
    </w:p>
    <w:p>
      <w:pPr>
        <w:spacing w:after="200" w:line="276"/>
        <w:jc w:val="both"/>
      </w:pPr>
      <w:r>
        <w:rPr>
          <w:rFonts w:ascii="Arial" w:cs="Arial" w:eastAsia="Arial" w:hAnsi="Arial"/>
          <w:sz w:val="24"/>
          <w:szCs w:val="24"/>
        </w:rPr>
        <w:t xml:space="preserve">Primary activity data for the energy sector includes national energy balance or energy statistics, fuel production, import, export, and stock change data, fuel consumption by sector and fuel type, electricity generation and consumption statistics, and vehicle fleet data and transport statistics.</w:t>
      </w:r>
    </w:p>
    <w:p>
      <w:pPr>
        <w:pStyle w:val="Heading3"/>
      </w:pPr>
      <w:r>
        <w:rPr>
          <w:b/>
          <w:bCs/>
        </w:rPr>
        <w:t xml:space="preserve">4.4.2 Emission Factors</w:t>
      </w:r>
    </w:p>
    <w:p>
      <w:pPr>
        <w:spacing w:after="200" w:line="276"/>
        <w:jc w:val="both"/>
      </w:pPr>
      <w:r>
        <w:rPr>
          <w:rFonts w:ascii="Arial" w:cs="Arial" w:eastAsia="Arial" w:hAnsi="Arial"/>
          <w:sz w:val="24"/>
          <w:szCs w:val="24"/>
        </w:rPr>
        <w:t xml:space="preserve">Emission factors should be selected based on availability of country-specific data and the significance of the category. For Tier 1, IPCC default emission factors are applied. For Tier 2, country-specific factors are developed based on fuel properties and combustion technologies. For Tier 3, plant-specific factors may be derived from continuous emissions monitoring systems.</w:t>
      </w:r>
    </w:p>
    <w:p>
      <w:r>
        <w:br w:type="page"/>
      </w:r>
    </w:p>
    <w:p>
      <w:pPr>
        <w:pStyle w:val="Heading1"/>
      </w:pPr>
      <w:r>
        <w:rPr>
          <w:b/>
          <w:bCs/>
        </w:rPr>
        <w:t xml:space="preserve">5. INDUSTRIAL PROCESSES AND PRODUCT USE (IPPU) SECTOR MRV</w:t>
      </w:r>
    </w:p>
    <w:p>
      <w:pPr>
        <w:pStyle w:val="Heading2"/>
      </w:pPr>
      <w:r>
        <w:rPr>
          <w:b/>
          <w:bCs/>
        </w:rPr>
        <w:t xml:space="preserve">5.1 Sector Overview</w:t>
      </w:r>
    </w:p>
    <w:p>
      <w:pPr>
        <w:spacing w:after="200" w:line="276"/>
        <w:jc w:val="both"/>
      </w:pPr>
      <w:r>
        <w:rPr>
          <w:rFonts w:ascii="Arial" w:cs="Arial" w:eastAsia="Arial" w:hAnsi="Arial"/>
          <w:sz w:val="24"/>
          <w:szCs w:val="24"/>
        </w:rPr>
        <w:t xml:space="preserve">The IPPU sector covers GHG emissions from industrial processes where chemical or physical transformations of materials generate emissions, as well as emissions from the use of GHGs in products. Unlike energy sector emissions from fuel combustion in industrial facilities, IPPU emissions arise from the process itself.</w:t>
      </w:r>
    </w:p>
    <w:p>
      <w:pPr>
        <w:pStyle w:val="Heading2"/>
      </w:pPr>
      <w:r>
        <w:rPr>
          <w:b/>
          <w:bCs/>
        </w:rPr>
        <w:t xml:space="preserve">5.2 Category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Sub-categories</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GHGs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2A Mineral Industry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Cement, lime, glass, other carbonates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2B Chemical Industry</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Ammonia, nitric acid, adipic acid, petrochemicals</w:t>
            </w:r>
          </w:p>
        </w:tc>
        <w:tc>
          <w:tcPr>
            <w:tcW w:type="dxa" w:w="2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CO2, N2O, CH4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2C Metal Industry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Iron and steel, ferroalloys, aluminum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 CH4, PFCs</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2D Non-Energy Products</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Lubricant and wax use, solvents</w:t>
            </w:r>
          </w:p>
        </w:tc>
        <w:tc>
          <w:tcPr>
            <w:tcW w:type="dxa" w:w="2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CO2, NMVOCs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2E Electronics Industry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Semiconductor manufacturing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HFCs, PFCs, SF6, NF3</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2F Product Uses as Substitutes</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Refrigeration, air conditioning, foams, aerosols</w:t>
            </w:r>
          </w:p>
        </w:tc>
        <w:tc>
          <w:tcPr>
            <w:tcW w:type="dxa" w:w="2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HFCs, PFCs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2G Other Product Use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Electrical equipment, SF6 in other applications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SF6, N2O</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2H Other</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Pulp and paper, food and beverage</w:t>
            </w:r>
          </w:p>
        </w:tc>
        <w:tc>
          <w:tcPr>
            <w:tcW w:type="dxa" w:w="2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CO2</w:t>
            </w:r>
          </w:p>
        </w:tc>
      </w:tr>
    </w:tbl>
    <w:p>
      <w:pPr>
        <w:spacing w:before="200"/>
      </w:pPr>
    </w:p>
    <w:p>
      <w:pPr>
        <w:pStyle w:val="Heading2"/>
      </w:pPr>
      <w:r>
        <w:rPr>
          <w:b/>
          <w:bCs/>
        </w:rPr>
        <w:t xml:space="preserve">5.3 Key Methodological Considerations</w:t>
      </w:r>
    </w:p>
    <w:p>
      <w:pPr>
        <w:pStyle w:val="Heading3"/>
      </w:pPr>
      <w:r>
        <w:rPr>
          <w:b/>
          <w:bCs/>
        </w:rPr>
        <w:t xml:space="preserve">5.3.1 Cement Production</w:t>
      </w:r>
    </w:p>
    <w:p>
      <w:pPr>
        <w:spacing w:after="200" w:line="276"/>
        <w:jc w:val="both"/>
      </w:pPr>
      <w:r>
        <w:rPr>
          <w:rFonts w:ascii="Arial" w:cs="Arial" w:eastAsia="Arial" w:hAnsi="Arial"/>
          <w:sz w:val="24"/>
          <w:szCs w:val="24"/>
        </w:rPr>
        <w:t xml:space="preserve">Cement production is typically one of the largest IPPU emission sources. CO2 emissions arise from calcination of limestone (process emissions) and fuel combustion (reported under Energy sector). The Tier 1 method uses clinker production data with default emission factor (0.52 tCO2/t clinker). Tier 2 applies country-specific emission factors based on calcium and magnesium oxide content. Tier 3 uses plant-specific data and mass balance approaches.</w:t>
      </w:r>
    </w:p>
    <w:p>
      <w:pPr>
        <w:pStyle w:val="Heading3"/>
      </w:pPr>
      <w:r>
        <w:rPr>
          <w:b/>
          <w:bCs/>
        </w:rPr>
        <w:t xml:space="preserve">5.3.2 Fluorinated Gases (F-gases)</w:t>
      </w:r>
    </w:p>
    <w:p>
      <w:pPr>
        <w:spacing w:after="200" w:line="276"/>
        <w:jc w:val="both"/>
      </w:pPr>
      <w:r>
        <w:rPr>
          <w:rFonts w:ascii="Arial" w:cs="Arial" w:eastAsia="Arial" w:hAnsi="Arial"/>
          <w:sz w:val="24"/>
          <w:szCs w:val="24"/>
        </w:rPr>
        <w:t xml:space="preserve">F-gases (HFCs, PFCs, SF6, NF3) require special attention due to their high global warming potentials. Estimation methods include production and consumption data, equipment-based approaches using stock data and annual leakage rates, and bottom-up surveys of refrigeration and air conditioning equipment.</w:t>
      </w:r>
    </w:p>
    <w:p>
      <w:pPr>
        <w:pStyle w:val="Heading2"/>
      </w:pPr>
      <w:r>
        <w:rPr>
          <w:b/>
          <w:bCs/>
        </w:rPr>
        <w:t xml:space="preserve">5.4 Data Collection Strategy</w:t>
      </w:r>
    </w:p>
    <w:p>
      <w:pPr>
        <w:spacing w:after="200" w:line="276"/>
        <w:jc w:val="both"/>
      </w:pPr>
      <w:r>
        <w:rPr>
          <w:rFonts w:ascii="Arial" w:cs="Arial" w:eastAsia="Arial" w:hAnsi="Arial"/>
          <w:sz w:val="24"/>
          <w:szCs w:val="24"/>
        </w:rPr>
        <w:t xml:space="preserve">IPPU data collection typically requires direct engagement with industry through mandatory reporting programs for large facilities, industry association surveys, import and export data from customs authorities, and facility permits and environmental reports.</w:t>
      </w:r>
    </w:p>
    <w:p>
      <w:r>
        <w:br w:type="page"/>
      </w:r>
    </w:p>
    <w:p>
      <w:pPr>
        <w:pStyle w:val="Heading1"/>
      </w:pPr>
      <w:r>
        <w:rPr>
          <w:b/>
          <w:bCs/>
        </w:rPr>
        <w:t xml:space="preserve">6. AGRICULTURE SECTOR MRV</w:t>
      </w:r>
    </w:p>
    <w:p>
      <w:pPr>
        <w:pStyle w:val="Heading2"/>
      </w:pPr>
      <w:r>
        <w:rPr>
          <w:b/>
          <w:bCs/>
        </w:rPr>
        <w:t xml:space="preserve">6.1 Sector Overview</w:t>
      </w:r>
    </w:p>
    <w:p>
      <w:pPr>
        <w:spacing w:after="200" w:line="276"/>
        <w:jc w:val="both"/>
      </w:pPr>
      <w:r>
        <w:rPr>
          <w:rFonts w:ascii="Arial" w:cs="Arial" w:eastAsia="Arial" w:hAnsi="Arial"/>
          <w:sz w:val="24"/>
          <w:szCs w:val="24"/>
        </w:rPr>
        <w:t xml:space="preserve">The Agriculture sector covers GHG emissions from livestock production, rice cultivation, agricultural soils, and burning of agricultural residues. It is a significant source of non-CO2 greenhouse gases, particularly methane (CH4) from enteric fermentation and rice paddies, and nitrous oxide (N2O) from agricultural soils.</w:t>
      </w:r>
    </w:p>
    <w:p>
      <w:pPr>
        <w:pStyle w:val="Heading2"/>
      </w:pPr>
      <w:r>
        <w:rPr>
          <w:b/>
          <w:bCs/>
        </w:rPr>
        <w:t xml:space="preserve">6.2 Category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30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GHGs</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Main Drivers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3A Enteric Fermentation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Digestive process in ruminants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Livestock population, feed quality</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3B Manure Management</w:t>
            </w:r>
          </w:p>
        </w:tc>
        <w:tc>
          <w:tcPr>
            <w:tcW w:type="dxa" w:w="26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Storage and treatment of animal manure</w:t>
            </w:r>
          </w:p>
        </w:tc>
        <w:tc>
          <w:tcPr>
            <w:tcW w:type="dxa" w:w="1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CH4, N2O</w:t>
            </w:r>
          </w:p>
        </w:tc>
        <w:tc>
          <w:tcPr>
            <w:tcW w:type="dxa" w:w="3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Livestock type, management systems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3C Rice Cultivation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Flooded rice paddy emissions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Rice area, water regime, organic inputs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3D Agricultural Soils</w:t>
            </w:r>
          </w:p>
        </w:tc>
        <w:tc>
          <w:tcPr>
            <w:tcW w:type="dxa" w:w="26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Soil emissions from N inputs</w:t>
            </w:r>
          </w:p>
        </w:tc>
        <w:tc>
          <w:tcPr>
            <w:tcW w:type="dxa" w:w="1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N2O, CO2</w:t>
            </w:r>
          </w:p>
        </w:tc>
        <w:tc>
          <w:tcPr>
            <w:tcW w:type="dxa" w:w="3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Fertilizer use, crop residues, cultivation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3E Burning - Savannas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Prescribed and wild fires in savannas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CH4, N2O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Area burned, biomass density</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3F Burning - Agricultural Residues</w:t>
            </w:r>
          </w:p>
        </w:tc>
        <w:tc>
          <w:tcPr>
            <w:tcW w:type="dxa" w:w="26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Open field burning of crop residues</w:t>
            </w:r>
          </w:p>
        </w:tc>
        <w:tc>
          <w:tcPr>
            <w:tcW w:type="dxa" w:w="1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CH4, N2O</w:t>
            </w:r>
          </w:p>
        </w:tc>
        <w:tc>
          <w:tcPr>
            <w:tcW w:type="dxa" w:w="3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Crop production, burning practices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3G Liming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Application of limestone/dolomite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Lime application rates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3H Urea Application</w:t>
            </w:r>
          </w:p>
        </w:tc>
        <w:tc>
          <w:tcPr>
            <w:tcW w:type="dxa" w:w="26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Hydrolysis of applied urea</w:t>
            </w:r>
          </w:p>
        </w:tc>
        <w:tc>
          <w:tcPr>
            <w:tcW w:type="dxa" w:w="1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CO2</w:t>
            </w:r>
          </w:p>
        </w:tc>
        <w:tc>
          <w:tcPr>
            <w:tcW w:type="dxa" w:w="3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Urea fertilizer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3I Other Carbon-Containing Fertilizers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Other fertilizer applications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Fertilizer composition and use</w:t>
            </w:r>
          </w:p>
        </w:tc>
      </w:tr>
    </w:tbl>
    <w:p>
      <w:pPr>
        <w:spacing w:before="200"/>
      </w:pPr>
    </w:p>
    <w:p>
      <w:pPr>
        <w:pStyle w:val="Heading2"/>
      </w:pPr>
      <w:r>
        <w:rPr>
          <w:b/>
          <w:bCs/>
        </w:rPr>
        <w:t xml:space="preserve">6.3 Methodological Approaches</w:t>
      </w:r>
    </w:p>
    <w:p>
      <w:pPr>
        <w:pStyle w:val="Heading3"/>
      </w:pPr>
      <w:r>
        <w:rPr>
          <w:b/>
          <w:bCs/>
        </w:rPr>
        <w:t xml:space="preserve">6.3.1 Enteric Fermentation</w:t>
      </w:r>
    </w:p>
    <w:p>
      <w:pPr>
        <w:spacing w:after="200" w:line="276"/>
        <w:jc w:val="both"/>
      </w:pPr>
      <w:r>
        <w:rPr>
          <w:rFonts w:ascii="Arial" w:cs="Arial" w:eastAsia="Arial" w:hAnsi="Arial"/>
          <w:sz w:val="24"/>
          <w:szCs w:val="24"/>
        </w:rPr>
        <w:t xml:space="preserve">Tier 1 methods use default emission factors based on livestock category and regional averages. Tier 2 methods require country-specific emission factors developed from detailed characterization of livestock populations, including body weight, feed intake, diet composition, and production systems. Tier 3 methods employ sophisticated models that simulate rumen fermentation processes.</w:t>
      </w:r>
    </w:p>
    <w:p>
      <w:pPr>
        <w:pStyle w:val="Heading3"/>
      </w:pPr>
      <w:r>
        <w:rPr>
          <w:b/>
          <w:bCs/>
        </w:rPr>
        <w:t xml:space="preserve">6.3.2 Agricultural Soils</w:t>
      </w:r>
    </w:p>
    <w:p>
      <w:pPr>
        <w:spacing w:after="200" w:line="276"/>
        <w:jc w:val="both"/>
      </w:pPr>
      <w:r>
        <w:rPr>
          <w:rFonts w:ascii="Arial" w:cs="Arial" w:eastAsia="Arial" w:hAnsi="Arial"/>
          <w:sz w:val="24"/>
          <w:szCs w:val="24"/>
        </w:rPr>
        <w:t xml:space="preserve">N2O emissions from agricultural soils include direct emissions from synthetic fertilizers, organic amendments, crop residues, and cultivation of organic soils, as well as indirect emissions from atmospheric deposition and leaching/runoff. The Tier 1 approach uses default emission factors (1% for direct N2O-N emissions from N inputs). Higher tiers incorporate country-specific factors reflecting soil type, climate, and management practices.</w:t>
      </w:r>
    </w:p>
    <w:p>
      <w:pPr>
        <w:pStyle w:val="Heading2"/>
      </w:pPr>
      <w:r>
        <w:rPr>
          <w:b/>
          <w:bCs/>
        </w:rPr>
        <w:t xml:space="preserve">6.4 Data Requirements</w:t>
      </w:r>
    </w:p>
    <w:p>
      <w:pPr>
        <w:spacing w:after="200" w:line="276"/>
        <w:jc w:val="both"/>
      </w:pPr>
      <w:r>
        <w:rPr>
          <w:rFonts w:ascii="Arial" w:cs="Arial" w:eastAsia="Arial" w:hAnsi="Arial"/>
          <w:sz w:val="24"/>
          <w:szCs w:val="24"/>
        </w:rPr>
        <w:t xml:space="preserve">Key activity data includes livestock population statistics (by species, category, and production system), crop production data and harvested area, fertilizer consumption (synthetic and organic) by type, agricultural land area under different management practices, and rice cultivation area by water management regime.</w:t>
      </w:r>
    </w:p>
    <w:p>
      <w:r>
        <w:br w:type="page"/>
      </w:r>
    </w:p>
    <w:p>
      <w:pPr>
        <w:pStyle w:val="Heading1"/>
      </w:pPr>
      <w:r>
        <w:rPr>
          <w:b/>
          <w:bCs/>
        </w:rPr>
        <w:t xml:space="preserve">7. LAND USE, LAND-USE CHANGE AND FORESTRY (LULUCF) SECTOR MRV</w:t>
      </w:r>
    </w:p>
    <w:p>
      <w:pPr>
        <w:pStyle w:val="Heading2"/>
      </w:pPr>
      <w:r>
        <w:rPr>
          <w:b/>
          <w:bCs/>
        </w:rPr>
        <w:t xml:space="preserve">7.1 Sector Overview</w:t>
      </w:r>
    </w:p>
    <w:p>
      <w:pPr>
        <w:spacing w:after="200" w:line="276"/>
        <w:jc w:val="both"/>
      </w:pPr>
      <w:r>
        <w:rPr>
          <w:rFonts w:ascii="Arial" w:cs="Arial" w:eastAsia="Arial" w:hAnsi="Arial"/>
          <w:sz w:val="24"/>
          <w:szCs w:val="24"/>
        </w:rPr>
        <w:t xml:space="preserve">The LULUCF sector addresses GHG emissions and removals associated with land use, land-use change, and forestry activities. This sector is unique in that it can serve as either a source or a sink of greenhouse gases. Forests and other vegetated lands can sequester atmospheric CO2, while deforestation and land degradation release stored carbon.</w:t>
      </w:r>
    </w:p>
    <w:p>
      <w:pPr>
        <w:pStyle w:val="Heading2"/>
      </w:pPr>
      <w:r>
        <w:rPr>
          <w:b/>
          <w:bCs/>
        </w:rPr>
        <w:t xml:space="preserve">7.2 Land Use Categories</w:t>
      </w:r>
    </w:p>
    <w:p>
      <w:pPr>
        <w:spacing w:after="200" w:line="276"/>
        <w:jc w:val="both"/>
      </w:pPr>
      <w:r>
        <w:rPr>
          <w:rFonts w:ascii="Arial" w:cs="Arial" w:eastAsia="Arial" w:hAnsi="Arial"/>
          <w:sz w:val="24"/>
          <w:szCs w:val="24"/>
        </w:rPr>
        <w:t xml:space="preserve">The IPCC framework organizes land into six categories, with emissions estimated for lands remaining in each category and lands converting between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Description</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Carbon Pools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Forest Land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 with tree cover meeting national forest definition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Above-ground biomass, below-ground biomass, dead wood, litter, soil organic carbon</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Cropland</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Arable and tillage land, perennial crops</w:t>
            </w:r>
          </w:p>
        </w:tc>
        <w:tc>
          <w:tcPr>
            <w:tcW w:type="dxa" w:w="3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Above-ground biomass, soil organic carbon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Grassland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Rangelands, pastures, natural grasslands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Above-ground biomass, below-ground biomass, soil organic carbon</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Wetlands</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Peatlands, mangroves, flooded land</w:t>
            </w:r>
          </w:p>
        </w:tc>
        <w:tc>
          <w:tcPr>
            <w:tcW w:type="dxa" w:w="3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Above-ground biomass, soil organic carbon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Settlements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Urban and rural settlements, infrastructure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Above-ground biomass in urban trees</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Other Land</w:t>
            </w:r>
          </w:p>
        </w:tc>
        <w:tc>
          <w:tcPr>
            <w:tcW w:type="dxa" w:w="4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Bare soil, rock, ice, unmanaged land</w:t>
            </w:r>
          </w:p>
        </w:tc>
        <w:tc>
          <w:tcPr>
            <w:tcW w:type="dxa" w:w="3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Limited carbon stocks</w:t>
            </w:r>
          </w:p>
        </w:tc>
      </w:tr>
    </w:tbl>
    <w:p>
      <w:pPr>
        <w:spacing w:before="200"/>
      </w:pPr>
    </w:p>
    <w:p>
      <w:pPr>
        <w:pStyle w:val="Heading2"/>
      </w:pPr>
      <w:r>
        <w:rPr>
          <w:b/>
          <w:bCs/>
        </w:rPr>
        <w:t xml:space="preserve">7.3 National Forest Monitoring System</w:t>
      </w:r>
    </w:p>
    <w:p>
      <w:pPr>
        <w:spacing w:after="200" w:line="276"/>
        <w:jc w:val="both"/>
      </w:pPr>
      <w:r>
        <w:rPr>
          <w:rFonts w:ascii="Arial" w:cs="Arial" w:eastAsia="Arial" w:hAnsi="Arial"/>
          <w:sz w:val="24"/>
          <w:szCs w:val="24"/>
        </w:rPr>
        <w:t xml:space="preserve">A comprehensive National Forest Monitoring System (NFMS) is essential for LULUCF MRV and REDD+ implementation. The NFMS integrates satellite remote sensing for area assessment, national forest inventory for carbon stock estimation, and community-based monitoring for ground-truthing and local data.</w:t>
      </w:r>
    </w:p>
    <w:p>
      <w:pPr>
        <w:pStyle w:val="Heading3"/>
      </w:pPr>
      <w:r>
        <w:rPr>
          <w:b/>
          <w:bCs/>
        </w:rPr>
        <w:t xml:space="preserve">7.3.1 Remote Sensing Integration</w:t>
      </w:r>
    </w:p>
    <w:p>
      <w:pPr>
        <w:spacing w:after="200" w:line="276"/>
        <w:jc w:val="both"/>
      </w:pPr>
      <w:r>
        <w:rPr>
          <w:rFonts w:ascii="Arial" w:cs="Arial" w:eastAsia="Arial" w:hAnsi="Arial"/>
          <w:sz w:val="24"/>
          <w:szCs w:val="24"/>
        </w:rPr>
        <w:t xml:space="preserve">Satellite remote sensing provides cost-effective, consistent monitoring of land use and land-use change. Key technologies include optical imagery (Landsat, Sentinel-2) for forest cover mapping, radar imagery (Sentinel-1, ALOS PALSAR) for all-weather monitoring, LiDAR for biomass estimation and forest structure, and very high resolution imagery for sample-based area estimation.</w:t>
      </w:r>
    </w:p>
    <w:p>
      <w:pPr>
        <w:pStyle w:val="Heading3"/>
      </w:pPr>
      <w:r>
        <w:rPr>
          <w:b/>
          <w:bCs/>
        </w:rPr>
        <w:t xml:space="preserve">7.3.2 National Forest Inventory</w:t>
      </w:r>
    </w:p>
    <w:p>
      <w:pPr>
        <w:spacing w:after="200" w:line="276"/>
        <w:jc w:val="both"/>
      </w:pPr>
      <w:r>
        <w:rPr>
          <w:rFonts w:ascii="Arial" w:cs="Arial" w:eastAsia="Arial" w:hAnsi="Arial"/>
          <w:sz w:val="24"/>
          <w:szCs w:val="24"/>
        </w:rPr>
        <w:t xml:space="preserve">The National Forest Inventory (NFI) provides ground-based data for carbon stock estimation. A statistically robust sampling design ensures representative coverage across forest types and regions. Key measurements include tree species, diameter at breast height, tree height, and site characteristics.</w:t>
      </w:r>
    </w:p>
    <w:p>
      <w:pPr>
        <w:pStyle w:val="Heading2"/>
      </w:pPr>
      <w:r>
        <w:rPr>
          <w:b/>
          <w:bCs/>
        </w:rPr>
        <w:t xml:space="preserve">7.4 REDD+ Integration</w:t>
      </w:r>
    </w:p>
    <w:p>
      <w:pPr>
        <w:spacing w:after="200" w:line="276"/>
        <w:jc w:val="both"/>
      </w:pPr>
      <w:r>
        <w:rPr>
          <w:rFonts w:ascii="Arial" w:cs="Arial" w:eastAsia="Arial" w:hAnsi="Arial"/>
          <w:sz w:val="24"/>
          <w:szCs w:val="24"/>
        </w:rPr>
        <w:t xml:space="preserve">For countries participating in REDD+, the MRV system should support monitoring of deforestation, forest degradation, sustainable forest management, conservation, and enhancement of forest carbon stocks. Forest Reference Emission Levels (FRELs) and Forest Reference Levels (FRLs) provide benchmarks against which performance is measured.</w:t>
      </w:r>
    </w:p>
    <w:p>
      <w:r>
        <w:br w:type="page"/>
      </w:r>
    </w:p>
    <w:p>
      <w:pPr>
        <w:pStyle w:val="Heading1"/>
      </w:pPr>
      <w:r>
        <w:rPr>
          <w:b/>
          <w:bCs/>
        </w:rPr>
        <w:t xml:space="preserve">8. WASTE SECTOR MRV</w:t>
      </w:r>
    </w:p>
    <w:p>
      <w:pPr>
        <w:pStyle w:val="Heading2"/>
      </w:pPr>
      <w:r>
        <w:rPr>
          <w:b/>
          <w:bCs/>
        </w:rPr>
        <w:t xml:space="preserve">8.1 Sector Overview</w:t>
      </w:r>
    </w:p>
    <w:p>
      <w:pPr>
        <w:spacing w:after="200" w:line="276"/>
        <w:jc w:val="both"/>
      </w:pPr>
      <w:r>
        <w:rPr>
          <w:rFonts w:ascii="Arial" w:cs="Arial" w:eastAsia="Arial" w:hAnsi="Arial"/>
          <w:sz w:val="24"/>
          <w:szCs w:val="24"/>
        </w:rPr>
        <w:t xml:space="preserve">The Waste sector covers GHG emissions from solid waste disposal, biological treatment of solid waste, incineration and open burning, and wastewater treatment and discharge. Methane from anaerobic decomposition in landfills is typically the dominant emission source.</w:t>
      </w:r>
    </w:p>
    <w:p>
      <w:pPr>
        <w:pStyle w:val="Heading2"/>
      </w:pPr>
      <w:r>
        <w:rPr>
          <w:b/>
          <w:bCs/>
        </w:rPr>
        <w:t xml:space="preserve">8.2 Category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Sub-categories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GHGs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Main Drivers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5A Solid Waste Disposal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Managed landfills, unmanaged sites, uncategorized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Waste quantity, composition, disposal practices</w:t>
            </w:r>
          </w:p>
        </w:tc>
      </w:tr>
      <w:tr>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5B Biological Treatment</w:t>
            </w:r>
          </w:p>
        </w:tc>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Composting, anaerobic digestion</w:t>
            </w:r>
          </w:p>
        </w:tc>
        <w:tc>
          <w:tcPr>
            <w:tcW w:type="dxa" w:w="16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CH4, N2O</w:t>
            </w:r>
          </w:p>
        </w:tc>
        <w:tc>
          <w:tcPr>
            <w:tcW w:type="dxa" w:w="29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Organic waste treatment capacity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5C Incineration and Open Burning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Controlled incineration, open burning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 CH4, N2O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Waste burned, combustion conditions</w:t>
            </w:r>
          </w:p>
        </w:tc>
      </w:tr>
      <w:tr>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5D Wastewater Treatment</w:t>
            </w:r>
          </w:p>
        </w:tc>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Domestic, industrial, other</w:t>
            </w:r>
          </w:p>
        </w:tc>
        <w:tc>
          <w:tcPr>
            <w:tcW w:type="dxa" w:w="16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CH4, N2O</w:t>
            </w:r>
          </w:p>
        </w:tc>
        <w:tc>
          <w:tcPr>
            <w:tcW w:type="dxa" w:w="29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Wastewater volume, treatment type, organic load</w:t>
            </w:r>
          </w:p>
        </w:tc>
      </w:tr>
    </w:tbl>
    <w:p>
      <w:pPr>
        <w:spacing w:before="200"/>
      </w:pPr>
    </w:p>
    <w:p>
      <w:pPr>
        <w:pStyle w:val="Heading2"/>
      </w:pPr>
      <w:r>
        <w:rPr>
          <w:b/>
          <w:bCs/>
        </w:rPr>
        <w:t xml:space="preserve">8.3 Methodological Approaches</w:t>
      </w:r>
    </w:p>
    <w:p>
      <w:pPr>
        <w:pStyle w:val="Heading3"/>
      </w:pPr>
      <w:r>
        <w:rPr>
          <w:b/>
          <w:bCs/>
        </w:rPr>
        <w:t xml:space="preserve">8.3.1 Solid Waste Disposal Sites (SWDS)</w:t>
      </w:r>
    </w:p>
    <w:p>
      <w:pPr>
        <w:spacing w:after="200" w:line="276"/>
        <w:jc w:val="both"/>
      </w:pPr>
      <w:r>
        <w:rPr>
          <w:rFonts w:ascii="Arial" w:cs="Arial" w:eastAsia="Arial" w:hAnsi="Arial"/>
          <w:sz w:val="24"/>
          <w:szCs w:val="24"/>
        </w:rPr>
        <w:t xml:space="preserve">The First Order Decay (FOD) model is the recommended method for estimating CH4 emissions from SWDS. This model accounts for the gradual decomposition of organic waste over time and requires historical waste disposal data (typically 50+ years for full decay), waste composition by material type, degradable organic carbon (DOC) content, decay rates (half-life values) for each waste type, and methane correction factors based on disposal site management.</w:t>
      </w:r>
    </w:p>
    <w:p>
      <w:pPr>
        <w:pStyle w:val="Heading3"/>
      </w:pPr>
      <w:r>
        <w:rPr>
          <w:b/>
          <w:bCs/>
        </w:rPr>
        <w:t xml:space="preserve">8.3.2 Wastewater Treatment</w:t>
      </w:r>
    </w:p>
    <w:p>
      <w:pPr>
        <w:spacing w:after="200" w:line="276"/>
        <w:jc w:val="both"/>
      </w:pPr>
      <w:r>
        <w:rPr>
          <w:rFonts w:ascii="Arial" w:cs="Arial" w:eastAsia="Arial" w:hAnsi="Arial"/>
          <w:sz w:val="24"/>
          <w:szCs w:val="24"/>
        </w:rPr>
        <w:t xml:space="preserve">Wastewater emissions depend on the treatment system type. Anaerobic systems (lagoons, septic tanks) generate significant CH4, while aerobic systems produce less CH4 but may generate N2O. Key parameters include population served, biochemical oxygen demand (BOD) or chemical oxygen demand (COD), treatment system type and efficiency, and sludge management practices.</w:t>
      </w:r>
    </w:p>
    <w:p>
      <w:pPr>
        <w:pStyle w:val="Heading2"/>
      </w:pPr>
      <w:r>
        <w:rPr>
          <w:b/>
          <w:bCs/>
        </w:rPr>
        <w:t xml:space="preserve">8.4 Data Requirements</w:t>
      </w:r>
    </w:p>
    <w:p>
      <w:pPr>
        <w:spacing w:after="200" w:line="276"/>
        <w:jc w:val="both"/>
      </w:pPr>
      <w:r>
        <w:rPr>
          <w:rFonts w:ascii="Arial" w:cs="Arial" w:eastAsia="Arial" w:hAnsi="Arial"/>
          <w:sz w:val="24"/>
          <w:szCs w:val="24"/>
        </w:rPr>
        <w:t xml:space="preserve">Waste sector data collection presents unique challenges due to the dispersed nature of waste management. Key data needs include municipal solid waste generation rates and time series, waste composition studies, landfill site inventories and management practices, wastewater treatment plant characteristics, and industrial wastewater discharge data.</w:t>
      </w:r>
    </w:p>
    <w:p>
      <w:r>
        <w:br w:type="page"/>
      </w:r>
    </w:p>
    <w:p>
      <w:pPr>
        <w:pStyle w:val="Heading1"/>
      </w:pPr>
      <w:r>
        <w:rPr>
          <w:b/>
          <w:bCs/>
        </w:rPr>
        <w:t xml:space="preserve">9. DATA MANAGEMENT SYSTEM</w:t>
      </w:r>
    </w:p>
    <w:p>
      <w:pPr>
        <w:pStyle w:val="Heading2"/>
      </w:pPr>
      <w:r>
        <w:rPr>
          <w:b/>
          <w:bCs/>
        </w:rPr>
        <w:t xml:space="preserve">9.1 System Architecture</w:t>
      </w:r>
    </w:p>
    <w:p>
      <w:pPr>
        <w:spacing w:after="200" w:line="276"/>
        <w:jc w:val="both"/>
      </w:pPr>
      <w:r>
        <w:rPr>
          <w:rFonts w:ascii="Arial" w:cs="Arial" w:eastAsia="Arial" w:hAnsi="Arial"/>
          <w:sz w:val="24"/>
          <w:szCs w:val="24"/>
        </w:rPr>
        <w:t xml:space="preserve">The Data Management System (DMS) provides the technical infrastructure for collecting, processing, storing, and managing all data required for the GHG inventory. A well-designed DMS ensures data integrity, facilitates quality control, supports analysis, and enables efficient reporting.</w:t>
      </w:r>
    </w:p>
    <w:p>
      <w:pPr>
        <w:pStyle w:val="Heading3"/>
      </w:pPr>
      <w:r>
        <w:rPr>
          <w:b/>
          <w:bCs/>
        </w:rPr>
        <w:t xml:space="preserve">9.1.1 Core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Component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Function</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Collection Module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Acquire data from multiple sources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Standardized templates, automated imports, validation rules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Data Processing Module</w:t>
            </w:r>
          </w:p>
        </w:tc>
        <w:tc>
          <w:tcPr>
            <w:tcW w:type="dxa" w:w="3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Transform and calculate emissions</w:t>
            </w:r>
          </w:p>
        </w:tc>
        <w:tc>
          <w:tcPr>
            <w:tcW w:type="dxa" w:w="39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Calculation engines, unit conversions, aggregation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Storage Module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Secure repository for all data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 control, backup systems, access controls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Reporting Module</w:t>
            </w:r>
          </w:p>
        </w:tc>
        <w:tc>
          <w:tcPr>
            <w:tcW w:type="dxa" w:w="3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Generate required outputs</w:t>
            </w:r>
          </w:p>
        </w:tc>
        <w:tc>
          <w:tcPr>
            <w:tcW w:type="dxa" w:w="39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CRF tables, custom reports, visualization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Archive Module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Maintain historical records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Documentation, audit trails, long-term preservation</w:t>
            </w:r>
          </w:p>
        </w:tc>
      </w:tr>
    </w:tbl>
    <w:p>
      <w:pPr>
        <w:spacing w:before="200"/>
      </w:pPr>
    </w:p>
    <w:p>
      <w:pPr>
        <w:pStyle w:val="Heading2"/>
      </w:pPr>
      <w:r>
        <w:rPr>
          <w:b/>
          <w:bCs/>
        </w:rPr>
        <w:t xml:space="preserve">9.2 Data Collection Protocols</w:t>
      </w:r>
    </w:p>
    <w:p>
      <w:pPr>
        <w:spacing w:after="200" w:line="276"/>
        <w:jc w:val="both"/>
      </w:pPr>
      <w:r>
        <w:rPr>
          <w:rFonts w:ascii="Arial" w:cs="Arial" w:eastAsia="Arial" w:hAnsi="Arial"/>
          <w:sz w:val="24"/>
          <w:szCs w:val="24"/>
        </w:rPr>
        <w:t xml:space="preserve">Standardized data collection protocols ensure consistency and quality. Each data type should have a defined protocol specifying the data provider and their responsibilities, data format and structure requirements, collection frequency and submission deadlines, quality requirements and validation criteria, and documentation requirements.</w:t>
      </w:r>
    </w:p>
    <w:p>
      <w:pPr>
        <w:pStyle w:val="Heading2"/>
      </w:pPr>
      <w:r>
        <w:rPr>
          <w:b/>
          <w:bCs/>
        </w:rPr>
        <w:t xml:space="preserve">9.3 Database Structure</w:t>
      </w:r>
    </w:p>
    <w:p>
      <w:pPr>
        <w:spacing w:after="200" w:line="276"/>
        <w:jc w:val="both"/>
      </w:pPr>
      <w:r>
        <w:rPr>
          <w:rFonts w:ascii="Arial" w:cs="Arial" w:eastAsia="Arial" w:hAnsi="Arial"/>
          <w:sz w:val="24"/>
          <w:szCs w:val="24"/>
        </w:rPr>
        <w:t xml:space="preserve">The database should be structured to support the full inventory compilation process, with separate but linked tables for activity data by sector, category, and subcategory, emission factors (default, country-specific, facility-specific), calculated emissions by source and sink, uncertainty estimates and parameters, and time series data with annual values from base year forward.</w:t>
      </w:r>
    </w:p>
    <w:p>
      <w:pPr>
        <w:pStyle w:val="Heading2"/>
      </w:pPr>
      <w:r>
        <w:rPr>
          <w:b/>
          <w:bCs/>
        </w:rPr>
        <w:t xml:space="preserve">9.4 Digital MRV Technologies</w:t>
      </w:r>
    </w:p>
    <w:p>
      <w:pPr>
        <w:spacing w:after="200" w:line="276"/>
        <w:jc w:val="both"/>
      </w:pPr>
      <w:r>
        <w:rPr>
          <w:rFonts w:ascii="Arial" w:cs="Arial" w:eastAsia="Arial" w:hAnsi="Arial"/>
          <w:sz w:val="24"/>
          <w:szCs w:val="24"/>
        </w:rPr>
        <w:t xml:space="preserve">Emerging digital technologies offer opportunities to enhance MRV system efficiency and accuracy. These include automated data integration through APIs and electronic data exchange, machine learning for data validation and gap-filling, blockchain for transparent verification and tracking, satellite-based monitoring integrated with ground data, and real-time monitoring and reporting capabilities.</w:t>
      </w:r>
    </w:p>
    <w:p>
      <w:r>
        <w:br w:type="page"/>
      </w:r>
    </w:p>
    <w:p>
      <w:pPr>
        <w:pStyle w:val="Heading1"/>
      </w:pPr>
      <w:r>
        <w:rPr>
          <w:b/>
          <w:bCs/>
        </w:rPr>
        <w:t xml:space="preserve">10. QUALITY ASSURANCE AND QUALITY CONTROL FRAMEWORK</w:t>
      </w:r>
    </w:p>
    <w:p>
      <w:pPr>
        <w:pStyle w:val="Heading2"/>
      </w:pPr>
      <w:r>
        <w:rPr>
          <w:b/>
          <w:bCs/>
        </w:rPr>
        <w:t xml:space="preserve">10.1 QA/QC Plan Overview</w:t>
      </w:r>
    </w:p>
    <w:p>
      <w:pPr>
        <w:spacing w:after="200" w:line="276"/>
        <w:jc w:val="both"/>
      </w:pPr>
      <w:r>
        <w:rPr>
          <w:rFonts w:ascii="Arial" w:cs="Arial" w:eastAsia="Arial" w:hAnsi="Arial"/>
          <w:sz w:val="24"/>
          <w:szCs w:val="24"/>
        </w:rPr>
        <w:t xml:space="preserve">The QA/QC plan is a fundamental element of the MRV system, outlining the activities, responsibilities, and timelines for ensuring inventory quality. Quality Control (QC) refers to routine technical activities implemented during inventory development, while Quality Assurance (QA) involves independent review procedures conducted by personnel not directly involved in compilation.</w:t>
      </w:r>
    </w:p>
    <w:p>
      <w:pPr>
        <w:pStyle w:val="Heading2"/>
      </w:pPr>
      <w:r>
        <w:rPr>
          <w:b/>
          <w:bCs/>
        </w:rPr>
        <w:t xml:space="preserve">10.2 Quality Control Procedures</w:t>
      </w:r>
    </w:p>
    <w:p>
      <w:pPr>
        <w:pStyle w:val="Heading3"/>
      </w:pPr>
      <w:r>
        <w:rPr>
          <w:b/>
          <w:bCs/>
        </w:rPr>
        <w:t xml:space="preserve">10.2.1 Tier 1 QC (General Procedures)</w:t>
      </w:r>
    </w:p>
    <w:p>
      <w:pPr>
        <w:spacing w:after="200" w:line="276"/>
        <w:jc w:val="both"/>
      </w:pPr>
      <w:r>
        <w:rPr>
          <w:rFonts w:ascii="Arial" w:cs="Arial" w:eastAsia="Arial" w:hAnsi="Arial"/>
          <w:sz w:val="24"/>
          <w:szCs w:val="24"/>
        </w:rPr>
        <w:t xml:space="preserve">Tier 1 QC procedures are applied to all categories and include verification that data are correctly transcribed and referenced, checks that emission calculations are correct, confirmation that units are properly labeled and converted, verification of time series consistency, and documentation of QC activities and findings.</w:t>
      </w:r>
    </w:p>
    <w:p>
      <w:pPr>
        <w:pStyle w:val="Heading3"/>
      </w:pPr>
      <w:r>
        <w:rPr>
          <w:b/>
          <w:bCs/>
        </w:rPr>
        <w:t xml:space="preserve">10.2.2 Tier 2 QC (Category-Specific Procedures)</w:t>
      </w:r>
    </w:p>
    <w:p>
      <w:pPr>
        <w:spacing w:after="200" w:line="276"/>
        <w:jc w:val="both"/>
      </w:pPr>
      <w:r>
        <w:rPr>
          <w:rFonts w:ascii="Arial" w:cs="Arial" w:eastAsia="Arial" w:hAnsi="Arial"/>
          <w:sz w:val="24"/>
          <w:szCs w:val="24"/>
        </w:rPr>
        <w:t xml:space="preserve">Tier 2 QC procedures are applied to key categories and include comparison with independent data sources, assessment of emission factor appropriateness, review of activity data quality and representativeness, analysis of unusual trends or outliers, and verification of country-specific methodologies.</w:t>
      </w:r>
    </w:p>
    <w:p>
      <w:pPr>
        <w:pStyle w:val="Heading2"/>
      </w:pPr>
      <w:r>
        <w:rPr>
          <w:b/>
          <w:bCs/>
        </w:rPr>
        <w:t xml:space="preserve">10.3 Quality Assurance Procedures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QA Activity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Frequency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Responsible Party</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Outputs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Technical 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experts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 report with findings and recommendations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Peer Review</w:t>
            </w:r>
          </w:p>
        </w:tc>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Biennial</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International experts</w:t>
            </w:r>
          </w:p>
        </w:tc>
        <w:tc>
          <w:tcPr>
            <w:tcW w:type="dxa" w:w="2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Detailed assessment of key categories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 required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 public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Compiled comments and responses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Verification</w:t>
            </w:r>
          </w:p>
        </w:tc>
        <w:tc>
          <w:tcPr>
            <w:tcW w:type="dxa" w:w="1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Periodic</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Third-party verifiers</w:t>
            </w:r>
          </w:p>
        </w:tc>
        <w:tc>
          <w:tcPr>
            <w:tcW w:type="dxa" w:w="25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Verification statement</w:t>
            </w:r>
          </w:p>
        </w:tc>
      </w:tr>
    </w:tbl>
    <w:p>
      <w:pPr>
        <w:spacing w:before="200"/>
      </w:pPr>
    </w:p>
    <w:p>
      <w:pPr>
        <w:pStyle w:val="Heading2"/>
      </w:pPr>
      <w:r>
        <w:rPr>
          <w:b/>
          <w:bCs/>
        </w:rPr>
        <w:t xml:space="preserve">10.4 Uncertainty Assessment</w:t>
      </w:r>
    </w:p>
    <w:p>
      <w:pPr>
        <w:spacing w:after="200" w:line="276"/>
        <w:jc w:val="both"/>
      </w:pPr>
      <w:r>
        <w:rPr>
          <w:rFonts w:ascii="Arial" w:cs="Arial" w:eastAsia="Arial" w:hAnsi="Arial"/>
          <w:sz w:val="24"/>
          <w:szCs w:val="24"/>
        </w:rPr>
        <w:t xml:space="preserve">Uncertainty assessment is an essential component of inventory quality, providing transparency about the confidence level of emission estimates. The IPCC provides two approaches for uncertainty analysis. Approach 1 uses error propagation equations for combining uncertainties. Approach 2 uses Monte Carlo simulation for complex distributions.</w:t>
      </w:r>
    </w:p>
    <w:p>
      <w:pPr>
        <w:pStyle w:val="Heading2"/>
      </w:pPr>
      <w:r>
        <w:rPr>
          <w:b/>
          <w:bCs/>
        </w:rPr>
        <w:t xml:space="preserve">10.5 Key Category Analysis</w:t>
      </w:r>
    </w:p>
    <w:p>
      <w:pPr>
        <w:spacing w:after="200" w:line="276"/>
        <w:jc w:val="both"/>
      </w:pPr>
      <w:r>
        <w:rPr>
          <w:rFonts w:ascii="Arial" w:cs="Arial" w:eastAsia="Arial" w:hAnsi="Arial"/>
          <w:sz w:val="24"/>
          <w:szCs w:val="24"/>
        </w:rPr>
        <w:t xml:space="preserve">Key category analysis identifies categories that contribute most significantly to total emissions, trends, or uncertainty. These categories should receive priority attention for methodological improvement, data quality enhancement, and QA/QC resources.</w:t>
      </w:r>
    </w:p>
    <w:p>
      <w:r>
        <w:br w:type="page"/>
      </w:r>
    </w:p>
    <w:p>
      <w:pPr>
        <w:pStyle w:val="Heading1"/>
      </w:pPr>
      <w:r>
        <w:rPr>
          <w:b/>
          <w:bCs/>
        </w:rPr>
        <w:t xml:space="preserve">11. VERIFICATION PROCEDURES</w:t>
      </w:r>
    </w:p>
    <w:p>
      <w:pPr>
        <w:pStyle w:val="Heading2"/>
      </w:pPr>
      <w:r>
        <w:rPr>
          <w:b/>
          <w:bCs/>
        </w:rPr>
        <w:t xml:space="preserve">11.1 Verification Framework</w:t>
      </w:r>
    </w:p>
    <w:p>
      <w:pPr>
        <w:spacing w:after="200" w:line="276"/>
        <w:jc w:val="both"/>
      </w:pPr>
      <w:r>
        <w:rPr>
          <w:rFonts w:ascii="Arial" w:cs="Arial" w:eastAsia="Arial" w:hAnsi="Arial"/>
          <w:sz w:val="24"/>
          <w:szCs w:val="24"/>
        </w:rPr>
        <w:t xml:space="preserve">Verification provides independent confirmation that reported GHG information is accurate and complete. Under the Enhanced Transparency Framework, submitted BTRs and NIRs undergo Technical Expert Review (TER), followed by Facilitative Multilateral Consideration of Progress (FMCP).</w:t>
      </w:r>
    </w:p>
    <w:p>
      <w:pPr>
        <w:pStyle w:val="Heading2"/>
      </w:pPr>
      <w:r>
        <w:rPr>
          <w:b/>
          <w:bCs/>
        </w:rPr>
        <w:t xml:space="preserve">11.2 Internal Verification</w:t>
      </w:r>
    </w:p>
    <w:p>
      <w:pPr>
        <w:spacing w:after="200" w:line="276"/>
        <w:jc w:val="both"/>
      </w:pPr>
      <w:r>
        <w:rPr>
          <w:rFonts w:ascii="Arial" w:cs="Arial" w:eastAsia="Arial" w:hAnsi="Arial"/>
          <w:sz w:val="24"/>
          <w:szCs w:val="24"/>
        </w:rPr>
        <w:t xml:space="preserve">Internal verification procedures are implemented before report submission and include cross-checking with independent data sources (energy balances, economic statistics), comparison with previous inventory years (trend analysis), application of mass balance approaches where possible, reconciliation of top-down and bottom-up estimates, and review against neighboring countries or regional data.</w:t>
      </w:r>
    </w:p>
    <w:p>
      <w:pPr>
        <w:pStyle w:val="Heading2"/>
      </w:pPr>
      <w:r>
        <w:rPr>
          <w:b/>
          <w:bCs/>
        </w:rPr>
        <w:t xml:space="preserve">11.3 External Verification</w:t>
      </w:r>
    </w:p>
    <w:p>
      <w:pPr>
        <w:pStyle w:val="Heading3"/>
      </w:pPr>
      <w:r>
        <w:rPr>
          <w:b/>
          <w:bCs/>
        </w:rPr>
        <w:t xml:space="preserve">11.3.1 UNFCCC Technical Expert Review</w:t>
      </w:r>
    </w:p>
    <w:p>
      <w:pPr>
        <w:spacing w:after="200" w:line="276"/>
        <w:jc w:val="both"/>
      </w:pPr>
      <w:r>
        <w:rPr>
          <w:rFonts w:ascii="Arial" w:cs="Arial" w:eastAsia="Arial" w:hAnsi="Arial"/>
          <w:sz w:val="24"/>
          <w:szCs w:val="24"/>
        </w:rPr>
        <w:t xml:space="preserve">Following BTR submission, the UNFCCC Secretariat organizes a Technical Expert Review. Review teams examine methodological consistency with IPCC Guidelines, accuracy and completeness of reported information, time series consistency and trend explanations, implementation of improvements from previous reviews, and compliance with MPG requirements.</w:t>
      </w:r>
    </w:p>
    <w:p>
      <w:pPr>
        <w:pStyle w:val="Heading3"/>
      </w:pPr>
      <w:r>
        <w:rPr>
          <w:b/>
          <w:bCs/>
        </w:rPr>
        <w:t xml:space="preserve">11.3.2 Third-Party Verification</w:t>
      </w:r>
    </w:p>
    <w:p>
      <w:pPr>
        <w:spacing w:after="200" w:line="276"/>
        <w:jc w:val="both"/>
      </w:pPr>
      <w:r>
        <w:rPr>
          <w:rFonts w:ascii="Arial" w:cs="Arial" w:eastAsia="Arial" w:hAnsi="Arial"/>
          <w:sz w:val="24"/>
          <w:szCs w:val="24"/>
        </w:rPr>
        <w:t xml:space="preserve">Countries may engage third-party verification bodies to provide additional assurance. Verification activities may include document review and data analysis, site visits to key facilities and data providers, interviews with inventory compilers and sector experts, and testing of calculation procedures and data trails.</w:t>
      </w:r>
    </w:p>
    <w:p>
      <w:pPr>
        <w:pStyle w:val="Heading2"/>
      </w:pPr>
      <w:r>
        <w:rPr>
          <w:b/>
          <w:bCs/>
        </w:rPr>
        <w:t xml:space="preserve">11.4 Response to Review Findings</w:t>
      </w:r>
    </w:p>
    <w:p>
      <w:pPr>
        <w:spacing w:after="200" w:line="276"/>
        <w:jc w:val="both"/>
      </w:pPr>
      <w:r>
        <w:rPr>
          <w:rFonts w:ascii="Arial" w:cs="Arial" w:eastAsia="Arial" w:hAnsi="Arial"/>
          <w:sz w:val="24"/>
          <w:szCs w:val="24"/>
        </w:rPr>
        <w:t xml:space="preserve">A systematic process for addressing review findings includes documenting all review comments and recommendations, classifying findings by category and priority, developing corrective actions with clear timelines, implementing improvements in subsequent inventory cycles, and tracking resolution status and reporting progress.</w:t>
      </w:r>
    </w:p>
    <w:p>
      <w:r>
        <w:br w:type="page"/>
      </w:r>
    </w:p>
    <w:p>
      <w:pPr>
        <w:pStyle w:val="Heading1"/>
      </w:pPr>
      <w:r>
        <w:rPr>
          <w:b/>
          <w:bCs/>
        </w:rPr>
        <w:t xml:space="preserve">12. REPORTING REQUIREMENTS</w:t>
      </w:r>
    </w:p>
    <w:p>
      <w:pPr>
        <w:pStyle w:val="Heading2"/>
      </w:pPr>
      <w:r>
        <w:rPr>
          <w:b/>
          <w:bCs/>
        </w:rPr>
        <w:t xml:space="preserve">12.1 Biennial Transparency Report Structure</w:t>
      </w:r>
    </w:p>
    <w:p>
      <w:pPr>
        <w:spacing w:after="200" w:line="276"/>
        <w:jc w:val="both"/>
      </w:pPr>
      <w:r>
        <w:rPr>
          <w:rFonts w:ascii="Arial" w:cs="Arial" w:eastAsia="Arial" w:hAnsi="Arial"/>
          <w:sz w:val="24"/>
          <w:szCs w:val="24"/>
        </w:rPr>
        <w:t xml:space="preserve">The BTR is the primary reporting vehicle under the Enhanced Transparency Framework. It integrates all transparency-related information in a single document submitted every two years.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BTR Chapter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Contents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Requirements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Inventory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GHG emissions and removals by sector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CRF tables, methodology descriptions, uncertainty analysis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NDC Progress Tracking</w:t>
            </w:r>
          </w:p>
        </w:tc>
        <w:tc>
          <w:tcPr>
            <w:tcW w:type="dxa" w:w="3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Information to track NDC implementation</w:t>
            </w:r>
          </w:p>
        </w:tc>
        <w:tc>
          <w:tcPr>
            <w:tcW w:type="dxa" w:w="39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Indicators, accounting approaches, progress assessment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Change Impacts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Impacts and adaptation measures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Vulnerabilities, adaptation actions, support needs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Support Information</w:t>
            </w:r>
          </w:p>
        </w:tc>
        <w:tc>
          <w:tcPr>
            <w:tcW w:type="dxa" w:w="3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Financial, technology, capacity support</w:t>
            </w:r>
          </w:p>
        </w:tc>
        <w:tc>
          <w:tcPr>
            <w:tcW w:type="dxa" w:w="39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Support provided/received, needs assessment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Improvement Plans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Areas for improvement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Plans for enhancing transparency</w:t>
            </w:r>
          </w:p>
        </w:tc>
      </w:tr>
    </w:tbl>
    <w:p>
      <w:pPr>
        <w:spacing w:before="200"/>
      </w:pPr>
    </w:p>
    <w:p>
      <w:pPr>
        <w:pStyle w:val="Heading2"/>
      </w:pPr>
      <w:r>
        <w:rPr>
          <w:b/>
          <w:bCs/>
        </w:rPr>
        <w:t xml:space="preserve">12.2 National Inventory Report</w:t>
      </w:r>
    </w:p>
    <w:p>
      <w:pPr>
        <w:spacing w:after="200" w:line="276"/>
        <w:jc w:val="both"/>
      </w:pPr>
      <w:r>
        <w:rPr>
          <w:rFonts w:ascii="Arial" w:cs="Arial" w:eastAsia="Arial" w:hAnsi="Arial"/>
          <w:sz w:val="24"/>
          <w:szCs w:val="24"/>
        </w:rPr>
        <w:t xml:space="preserve">The NIR provides detailed information supporting the summary information in Common Reporting Format (CRF) tables. Required elements include executive summary and national context, description of institutional arrangements for inventory preparation, detailed methodology descriptions by sector, uncertainty analysis and assessment, quality assurance/quality control procedures, recalculations and improvements, and source/sink category documentation.</w:t>
      </w:r>
    </w:p>
    <w:p>
      <w:pPr>
        <w:pStyle w:val="Heading2"/>
      </w:pPr>
      <w:r>
        <w:rPr>
          <w:b/>
          <w:bCs/>
        </w:rPr>
        <w:t xml:space="preserve">12.3 Common Reporting Format Tables</w:t>
      </w:r>
    </w:p>
    <w:p>
      <w:pPr>
        <w:spacing w:after="200" w:line="276"/>
        <w:jc w:val="both"/>
      </w:pPr>
      <w:r>
        <w:rPr>
          <w:rFonts w:ascii="Arial" w:cs="Arial" w:eastAsia="Arial" w:hAnsi="Arial"/>
          <w:sz w:val="24"/>
          <w:szCs w:val="24"/>
        </w:rPr>
        <w:t xml:space="preserve">CRF tables provide standardized reporting formats for GHG data. The electronic CRF Reporter tool facilitates preparation and submission. Tables cover sectoral emissions by source category, national totals and trends, implied emission factors, activity data summaries, and uncertainty estimates.</w:t>
      </w:r>
    </w:p>
    <w:p>
      <w:pPr>
        <w:pStyle w:val="Heading2"/>
      </w:pPr>
      <w:r>
        <w:rPr>
          <w:b/>
          <w:bCs/>
        </w:rPr>
        <w:t xml:space="preserve">12.4 Reporting Flexibility</w:t>
      </w:r>
    </w:p>
    <w:p>
      <w:pPr>
        <w:spacing w:after="200" w:line="276"/>
        <w:jc w:val="both"/>
      </w:pPr>
      <w:r>
        <w:rPr>
          <w:rFonts w:ascii="Arial" w:cs="Arial" w:eastAsia="Arial" w:hAnsi="Arial"/>
          <w:sz w:val="24"/>
          <w:szCs w:val="24"/>
        </w:rPr>
        <w:t xml:space="preserve">Developing country Parties may apply flexibility provisions in the MPGs where capacity constraints exist. When flexibility is applied, clear justification must be provided, along with information on capacity-building needs and improvement timelines.</w:t>
      </w:r>
    </w:p>
    <w:p>
      <w:r>
        <w:br w:type="page"/>
      </w:r>
    </w:p>
    <w:p>
      <w:pPr>
        <w:pStyle w:val="Heading1"/>
      </w:pPr>
      <w:r>
        <w:rPr>
          <w:b/>
          <w:bCs/>
        </w:rPr>
        <w:t xml:space="preserve">13. CAPACITY BUILDING AND TRAINING</w:t>
      </w:r>
    </w:p>
    <w:p>
      <w:pPr>
        <w:pStyle w:val="Heading2"/>
      </w:pPr>
      <w:r>
        <w:rPr>
          <w:b/>
          <w:bCs/>
        </w:rPr>
        <w:t xml:space="preserve">13.1 Capacity Needs Assessment</w:t>
      </w:r>
    </w:p>
    <w:p>
      <w:pPr>
        <w:spacing w:after="200" w:line="276"/>
        <w:jc w:val="both"/>
      </w:pPr>
      <w:r>
        <w:rPr>
          <w:rFonts w:ascii="Arial" w:cs="Arial" w:eastAsia="Arial" w:hAnsi="Arial"/>
          <w:sz w:val="24"/>
          <w:szCs w:val="24"/>
        </w:rPr>
        <w:t xml:space="preserve">Effective MRV system operation requires sustained human and institutional capacity. A comprehensive capacity needs assessment should evaluate current technical expertise, identify gaps, and prioritize capacity building activities across institutional capacity (organizational structures, legal frameworks, coordination mechanisms), technical capacity (methodological expertise, data management skills, QA/QC knowledge), and systemic capacity (information systems, monitoring networks, analytical tools).</w:t>
      </w:r>
    </w:p>
    <w:p>
      <w:pPr>
        <w:pStyle w:val="Heading2"/>
      </w:pPr>
      <w:r>
        <w:rPr>
          <w:b/>
          <w:bCs/>
        </w:rPr>
        <w:t xml:space="preserve">13.2 Training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Training Area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Target Audience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Delivery Method</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Frequency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IPCC Guidelines and Methodologies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Sector leads, inventory compilers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Workshops, online courses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Data Collection and Management</w:t>
            </w:r>
          </w:p>
        </w:tc>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Data providers, IT staff</w:t>
            </w:r>
          </w:p>
        </w:tc>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Hands-on training</w:t>
            </w:r>
          </w:p>
        </w:tc>
        <w:tc>
          <w:tcPr>
            <w:tcW w:type="dxa" w:w="24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Annual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QA/QC Procedures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inventory staff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Workshops, mentoring</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Biennial</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Sector-Specific Methods</w:t>
            </w:r>
          </w:p>
        </w:tc>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Sector specialists</w:t>
            </w:r>
          </w:p>
        </w:tc>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Technical workshops</w:t>
            </w:r>
          </w:p>
        </w:tc>
        <w:tc>
          <w:tcPr>
            <w:tcW w:type="dxa" w:w="24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As needed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Reporting Tools (CRF Reporter)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compilers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training</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With software updates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Remote Sensing/GIS</w:t>
            </w:r>
          </w:p>
        </w:tc>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LULUCF specialists</w:t>
            </w:r>
          </w:p>
        </w:tc>
        <w:tc>
          <w:tcPr>
            <w:tcW w:type="dxa" w:w="22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Technical training</w:t>
            </w:r>
          </w:p>
        </w:tc>
        <w:tc>
          <w:tcPr>
            <w:tcW w:type="dxa" w:w="24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Annual</w:t>
            </w:r>
          </w:p>
        </w:tc>
      </w:tr>
    </w:tbl>
    <w:p>
      <w:pPr>
        <w:spacing w:before="200"/>
      </w:pPr>
    </w:p>
    <w:p>
      <w:pPr>
        <w:pStyle w:val="Heading2"/>
      </w:pPr>
      <w:r>
        <w:rPr>
          <w:b/>
          <w:bCs/>
        </w:rPr>
        <w:t xml:space="preserve">13.3 Knowledge Management</w:t>
      </w:r>
    </w:p>
    <w:p>
      <w:pPr>
        <w:spacing w:after="200" w:line="276"/>
        <w:jc w:val="both"/>
      </w:pPr>
      <w:r>
        <w:rPr>
          <w:rFonts w:ascii="Arial" w:cs="Arial" w:eastAsia="Arial" w:hAnsi="Arial"/>
          <w:sz w:val="24"/>
          <w:szCs w:val="24"/>
        </w:rPr>
        <w:t xml:space="preserve">Sustainable capacity requires effective knowledge management systems including documentation of methods and procedures, training materials and resources, lessons learned from previous inventory cycles, staff rotation and succession planning, and engagement with international networks and communities of practice.</w:t>
      </w:r>
    </w:p>
    <w:p>
      <w:pPr>
        <w:pStyle w:val="Heading2"/>
      </w:pPr>
      <w:r>
        <w:rPr>
          <w:b/>
          <w:bCs/>
        </w:rPr>
        <w:t xml:space="preserve">13.4 International Support</w:t>
      </w:r>
    </w:p>
    <w:p>
      <w:pPr>
        <w:spacing w:after="200" w:line="276"/>
        <w:jc w:val="both"/>
      </w:pPr>
      <w:r>
        <w:rPr>
          <w:rFonts w:ascii="Arial" w:cs="Arial" w:eastAsia="Arial" w:hAnsi="Arial"/>
          <w:sz w:val="24"/>
          <w:szCs w:val="24"/>
        </w:rPr>
        <w:t xml:space="preserve">Multiple international organizations provide capacity building support for MRV systems. Key programs include the UNFCCC Consultative Group of Experts (CGE), which provides training on BTR preparation. The Global Environment Facility (GEF) provides financial support for capacity building projects. The Partnership on Transparency provides peer learning and technical assistance. UN agencies (FAO, UNEP, UNDP) offer sectoral technical support.</w:t>
      </w:r>
    </w:p>
    <w:p>
      <w:r>
        <w:br w:type="page"/>
      </w:r>
    </w:p>
    <w:p>
      <w:pPr>
        <w:pStyle w:val="Heading1"/>
      </w:pPr>
      <w:r>
        <w:rPr>
          <w:b/>
          <w:bCs/>
        </w:rPr>
        <w:t xml:space="preserve">14. FINANCING MECHANISMS</w:t>
      </w:r>
    </w:p>
    <w:p>
      <w:pPr>
        <w:pStyle w:val="Heading2"/>
      </w:pPr>
      <w:r>
        <w:rPr>
          <w:b/>
          <w:bCs/>
        </w:rPr>
        <w:t xml:space="preserve">14.1 Budget Requirements</w:t>
      </w:r>
    </w:p>
    <w:p>
      <w:pPr>
        <w:spacing w:after="200" w:line="276"/>
        <w:jc w:val="both"/>
      </w:pPr>
      <w:r>
        <w:rPr>
          <w:rFonts w:ascii="Arial" w:cs="Arial" w:eastAsia="Arial" w:hAnsi="Arial"/>
          <w:sz w:val="24"/>
          <w:szCs w:val="24"/>
        </w:rPr>
        <w:t xml:space="preserve">Sustainable MRV system operation requires adequate and predictable financing. Budget components include staff costs (inventory compilers, sector experts, QA/QC coordinators), data acquisition (surveys, monitoring, remote sensing data), equipment and software (computers, GIS systems, inventory software), training and capacity building, external reviews and verification, and operational costs (office, communications, travel).</w:t>
      </w:r>
    </w:p>
    <w:p>
      <w:pPr>
        <w:pStyle w:val="Heading2"/>
      </w:pPr>
      <w:r>
        <w:rPr>
          <w:b/>
          <w:bCs/>
        </w:rPr>
        <w:t xml:space="preserve">14.2 Domestic Financing</w:t>
      </w:r>
    </w:p>
    <w:p>
      <w:pPr>
        <w:spacing w:after="200" w:line="276"/>
        <w:jc w:val="both"/>
      </w:pPr>
      <w:r>
        <w:rPr>
          <w:rFonts w:ascii="Arial" w:cs="Arial" w:eastAsia="Arial" w:hAnsi="Arial"/>
          <w:sz w:val="24"/>
          <w:szCs w:val="24"/>
        </w:rPr>
        <w:t xml:space="preserve">Long-term sustainability requires mainstreaming MRV costs into national budgets. Strategies include establishing the MRV system as a core government function with recurrent budget allocation, integrating MRV costs into climate change or environmental agency budgets, cost-sharing arrangements among contributing ministries and agencies, and public-private partnerships for data collection and monitoring.</w:t>
      </w:r>
    </w:p>
    <w:p>
      <w:pPr>
        <w:pStyle w:val="Heading2"/>
      </w:pPr>
      <w:r>
        <w:rPr>
          <w:b/>
          <w:bCs/>
        </w:rPr>
        <w:t xml:space="preserve">14.3 International Climate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Funding Source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Type of Support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Access Mechanism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Environment Facility (GEF)</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Biennial transparency reports, capacity building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implementing agencies</w:t>
            </w:r>
          </w:p>
        </w:tc>
      </w:tr>
      <w:tr>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Green Climate Fund (GCF)</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Large-scale capacity building, REDD+</w:t>
            </w:r>
          </w:p>
        </w:tc>
        <w:tc>
          <w:tcPr>
            <w:tcW w:type="dxa" w:w="2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Accredited entities, direct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Bilateral Programs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Technical assistance, equipment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Government-to-government agreements</w:t>
            </w:r>
          </w:p>
        </w:tc>
      </w:tr>
      <w:tr>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CBIT (Capacity Building Initiative)</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Transparency-specific support</w:t>
            </w:r>
          </w:p>
        </w:tc>
        <w:tc>
          <w:tcPr>
            <w:tcW w:type="dxa" w:w="2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GEF agency applications</w:t>
            </w:r>
          </w:p>
        </w:tc>
      </w:tr>
    </w:tbl>
    <w:p>
      <w:pPr>
        <w:spacing w:before="200"/>
      </w:pPr>
    </w:p>
    <w:p>
      <w:pPr>
        <w:pStyle w:val="Heading2"/>
      </w:pPr>
      <w:r>
        <w:rPr>
          <w:b/>
          <w:bCs/>
        </w:rPr>
        <w:t xml:space="preserve">14.4 Cost-Effectiveness Strategies</w:t>
      </w:r>
    </w:p>
    <w:p>
      <w:pPr>
        <w:spacing w:after="200" w:line="276"/>
        <w:jc w:val="both"/>
      </w:pPr>
      <w:r>
        <w:rPr>
          <w:rFonts w:ascii="Arial" w:cs="Arial" w:eastAsia="Arial" w:hAnsi="Arial"/>
          <w:sz w:val="24"/>
          <w:szCs w:val="24"/>
        </w:rPr>
        <w:t xml:space="preserve">Maximizing the efficiency of MRV investments includes leveraging existing data systems and surveys, prioritizing improvements based on key category analysis, utilizing open-source tools and freely available data (e.g., Landsat, Sentinel), regional cooperation and data sharing, and phased implementation aligned with available resources.</w:t>
      </w:r>
    </w:p>
    <w:p>
      <w:r>
        <w:br w:type="page"/>
      </w:r>
    </w:p>
    <w:p>
      <w:pPr>
        <w:pStyle w:val="Heading1"/>
      </w:pPr>
      <w:r>
        <w:rPr>
          <w:b/>
          <w:bCs/>
        </w:rPr>
        <w:t xml:space="preserve">15. IMPLEMENTATION ROADMAP</w:t>
      </w:r>
    </w:p>
    <w:p>
      <w:pPr>
        <w:pStyle w:val="Heading2"/>
      </w:pPr>
      <w:r>
        <w:rPr>
          <w:b/>
          <w:bCs/>
        </w:rPr>
        <w:t xml:space="preserve">15.1 Phased Implementation Approach</w:t>
      </w:r>
    </w:p>
    <w:p>
      <w:pPr>
        <w:spacing w:after="200" w:line="276"/>
        <w:jc w:val="both"/>
      </w:pPr>
      <w:r>
        <w:rPr>
          <w:rFonts w:ascii="Arial" w:cs="Arial" w:eastAsia="Arial" w:hAnsi="Arial"/>
          <w:sz w:val="24"/>
          <w:szCs w:val="24"/>
        </w:rPr>
        <w:t xml:space="preserve">MRV system implementation should follow a phased approach, allowing for progressive enhancement of capabilities while meeting immediate reporting obligations.</w:t>
      </w:r>
    </w:p>
    <w:p>
      <w:pPr>
        <w:pStyle w:val="Heading3"/>
      </w:pPr>
      <w:r>
        <w:rPr>
          <w:b/>
          <w:bCs/>
        </w:rPr>
        <w:t xml:space="preserve">Phase 1: Foundation (Year 1)</w:t>
      </w:r>
    </w:p>
    <w:p>
      <w:pPr>
        <w:pStyle w:val="ListParagraph"/>
        <w:numPr>
          <w:ilvl w:val="0"/>
          <w:numId w:val="2"/>
        </w:numPr>
        <w:spacing w:after="120"/>
      </w:pPr>
      <w:r>
        <w:rPr>
          <w:rFonts w:ascii="Arial" w:cs="Arial" w:eastAsia="Arial" w:hAnsi="Arial"/>
          <w:sz w:val="24"/>
          <w:szCs w:val="24"/>
        </w:rPr>
        <w:t xml:space="preserve">Establish institutional arrangements and designate Lead Inventory Agency</w:t>
      </w:r>
    </w:p>
    <w:p>
      <w:pPr>
        <w:pStyle w:val="ListParagraph"/>
        <w:numPr>
          <w:ilvl w:val="0"/>
          <w:numId w:val="2"/>
        </w:numPr>
        <w:spacing w:after="120"/>
      </w:pPr>
      <w:r>
        <w:rPr>
          <w:rFonts w:ascii="Arial" w:cs="Arial" w:eastAsia="Arial" w:hAnsi="Arial"/>
          <w:sz w:val="24"/>
          <w:szCs w:val="24"/>
        </w:rPr>
        <w:t xml:space="preserve">Develop legal and regulatory framework</w:t>
      </w:r>
    </w:p>
    <w:p>
      <w:pPr>
        <w:pStyle w:val="ListParagraph"/>
        <w:numPr>
          <w:ilvl w:val="0"/>
          <w:numId w:val="2"/>
        </w:numPr>
        <w:spacing w:after="120"/>
      </w:pPr>
      <w:r>
        <w:rPr>
          <w:rFonts w:ascii="Arial" w:cs="Arial" w:eastAsia="Arial" w:hAnsi="Arial"/>
          <w:sz w:val="24"/>
          <w:szCs w:val="24"/>
        </w:rPr>
        <w:t xml:space="preserve">Conduct initial capacity assessment</w:t>
      </w:r>
    </w:p>
    <w:p>
      <w:pPr>
        <w:pStyle w:val="ListParagraph"/>
        <w:numPr>
          <w:ilvl w:val="0"/>
          <w:numId w:val="2"/>
        </w:numPr>
        <w:spacing w:after="200"/>
      </w:pPr>
      <w:r>
        <w:rPr>
          <w:rFonts w:ascii="Arial" w:cs="Arial" w:eastAsia="Arial" w:hAnsi="Arial"/>
          <w:sz w:val="24"/>
          <w:szCs w:val="24"/>
        </w:rPr>
        <w:t xml:space="preserve">Begin Tier 1 inventory compilation using IPCC defaults</w:t>
      </w:r>
    </w:p>
    <w:p>
      <w:pPr>
        <w:pStyle w:val="Heading3"/>
      </w:pPr>
      <w:r>
        <w:rPr>
          <w:b/>
          <w:bCs/>
        </w:rPr>
        <w:t xml:space="preserve">Phase 2: Consolidation (Years 2-3)</w:t>
      </w:r>
    </w:p>
    <w:p>
      <w:pPr>
        <w:pStyle w:val="ListParagraph"/>
        <w:numPr>
          <w:ilvl w:val="0"/>
          <w:numId w:val="2"/>
        </w:numPr>
        <w:spacing w:after="120"/>
      </w:pPr>
      <w:r>
        <w:rPr>
          <w:rFonts w:ascii="Arial" w:cs="Arial" w:eastAsia="Arial" w:hAnsi="Arial"/>
          <w:sz w:val="24"/>
          <w:szCs w:val="24"/>
        </w:rPr>
        <w:t xml:space="preserve">Implement data management system</w:t>
      </w:r>
    </w:p>
    <w:p>
      <w:pPr>
        <w:pStyle w:val="ListParagraph"/>
        <w:numPr>
          <w:ilvl w:val="0"/>
          <w:numId w:val="2"/>
        </w:numPr>
        <w:spacing w:after="120"/>
      </w:pPr>
      <w:r>
        <w:rPr>
          <w:rFonts w:ascii="Arial" w:cs="Arial" w:eastAsia="Arial" w:hAnsi="Arial"/>
          <w:sz w:val="24"/>
          <w:szCs w:val="24"/>
        </w:rPr>
        <w:t xml:space="preserve">Develop QA/QC plan and begin implementation</w:t>
      </w:r>
    </w:p>
    <w:p>
      <w:pPr>
        <w:pStyle w:val="ListParagraph"/>
        <w:numPr>
          <w:ilvl w:val="0"/>
          <w:numId w:val="2"/>
        </w:numPr>
        <w:spacing w:after="120"/>
      </w:pPr>
      <w:r>
        <w:rPr>
          <w:rFonts w:ascii="Arial" w:cs="Arial" w:eastAsia="Arial" w:hAnsi="Arial"/>
          <w:sz w:val="24"/>
          <w:szCs w:val="24"/>
        </w:rPr>
        <w:t xml:space="preserve">Conduct key category analysis</w:t>
      </w:r>
    </w:p>
    <w:p>
      <w:pPr>
        <w:pStyle w:val="ListParagraph"/>
        <w:numPr>
          <w:ilvl w:val="0"/>
          <w:numId w:val="2"/>
        </w:numPr>
        <w:spacing w:after="120"/>
      </w:pPr>
      <w:r>
        <w:rPr>
          <w:rFonts w:ascii="Arial" w:cs="Arial" w:eastAsia="Arial" w:hAnsi="Arial"/>
          <w:sz w:val="24"/>
          <w:szCs w:val="24"/>
        </w:rPr>
        <w:t xml:space="preserve">Begin development of country-specific emission factors for key categories</w:t>
      </w:r>
    </w:p>
    <w:p>
      <w:pPr>
        <w:pStyle w:val="ListParagraph"/>
        <w:numPr>
          <w:ilvl w:val="0"/>
          <w:numId w:val="2"/>
        </w:numPr>
        <w:spacing w:after="200"/>
      </w:pPr>
      <w:r>
        <w:rPr>
          <w:rFonts w:ascii="Arial" w:cs="Arial" w:eastAsia="Arial" w:hAnsi="Arial"/>
          <w:sz w:val="24"/>
          <w:szCs w:val="24"/>
        </w:rPr>
        <w:t xml:space="preserve">Submit first BTR and NIR</w:t>
      </w:r>
    </w:p>
    <w:p>
      <w:pPr>
        <w:pStyle w:val="Heading3"/>
      </w:pPr>
      <w:r>
        <w:rPr>
          <w:b/>
          <w:bCs/>
        </w:rPr>
        <w:t xml:space="preserve">Phase 3: Enhancement (Years 4-6)</w:t>
      </w:r>
    </w:p>
    <w:p>
      <w:pPr>
        <w:pStyle w:val="ListParagraph"/>
        <w:numPr>
          <w:ilvl w:val="0"/>
          <w:numId w:val="2"/>
        </w:numPr>
        <w:spacing w:after="120"/>
      </w:pPr>
      <w:r>
        <w:rPr>
          <w:rFonts w:ascii="Arial" w:cs="Arial" w:eastAsia="Arial" w:hAnsi="Arial"/>
          <w:sz w:val="24"/>
          <w:szCs w:val="24"/>
        </w:rPr>
        <w:t xml:space="preserve">Transition key categories to Tier 2/3 methodologies</w:t>
      </w:r>
    </w:p>
    <w:p>
      <w:pPr>
        <w:pStyle w:val="ListParagraph"/>
        <w:numPr>
          <w:ilvl w:val="0"/>
          <w:numId w:val="2"/>
        </w:numPr>
        <w:spacing w:after="120"/>
      </w:pPr>
      <w:r>
        <w:rPr>
          <w:rFonts w:ascii="Arial" w:cs="Arial" w:eastAsia="Arial" w:hAnsi="Arial"/>
          <w:sz w:val="24"/>
          <w:szCs w:val="24"/>
        </w:rPr>
        <w:t xml:space="preserve">Integrate digital MRV technologies</w:t>
      </w:r>
    </w:p>
    <w:p>
      <w:pPr>
        <w:pStyle w:val="ListParagraph"/>
        <w:numPr>
          <w:ilvl w:val="0"/>
          <w:numId w:val="2"/>
        </w:numPr>
        <w:spacing w:after="120"/>
      </w:pPr>
      <w:r>
        <w:rPr>
          <w:rFonts w:ascii="Arial" w:cs="Arial" w:eastAsia="Arial" w:hAnsi="Arial"/>
          <w:sz w:val="24"/>
          <w:szCs w:val="24"/>
        </w:rPr>
        <w:t xml:space="preserve">Establish facility-level reporting for large emitters</w:t>
      </w:r>
    </w:p>
    <w:p>
      <w:pPr>
        <w:pStyle w:val="ListParagraph"/>
        <w:numPr>
          <w:ilvl w:val="0"/>
          <w:numId w:val="2"/>
        </w:numPr>
        <w:spacing w:after="120"/>
      </w:pPr>
      <w:r>
        <w:rPr>
          <w:rFonts w:ascii="Arial" w:cs="Arial" w:eastAsia="Arial" w:hAnsi="Arial"/>
          <w:sz w:val="24"/>
          <w:szCs w:val="24"/>
        </w:rPr>
        <w:t xml:space="preserve">Implement uncertainty reduction program</w:t>
      </w:r>
    </w:p>
    <w:p>
      <w:pPr>
        <w:pStyle w:val="ListParagraph"/>
        <w:numPr>
          <w:ilvl w:val="0"/>
          <w:numId w:val="2"/>
        </w:numPr>
        <w:spacing w:after="200"/>
      </w:pPr>
      <w:r>
        <w:rPr>
          <w:rFonts w:ascii="Arial" w:cs="Arial" w:eastAsia="Arial" w:hAnsi="Arial"/>
          <w:sz w:val="24"/>
          <w:szCs w:val="24"/>
        </w:rPr>
        <w:t xml:space="preserve">Mainstream MRV costs into national budget</w:t>
      </w:r>
    </w:p>
    <w:p>
      <w:pPr>
        <w:pStyle w:val="Heading3"/>
      </w:pPr>
      <w:r>
        <w:rPr>
          <w:b/>
          <w:bCs/>
        </w:rPr>
        <w:t xml:space="preserve">Phase 4: Optimization (Years 7+)</w:t>
      </w:r>
    </w:p>
    <w:p>
      <w:pPr>
        <w:pStyle w:val="ListParagraph"/>
        <w:numPr>
          <w:ilvl w:val="0"/>
          <w:numId w:val="2"/>
        </w:numPr>
        <w:spacing w:after="120"/>
      </w:pPr>
      <w:r>
        <w:rPr>
          <w:rFonts w:ascii="Arial" w:cs="Arial" w:eastAsia="Arial" w:hAnsi="Arial"/>
          <w:sz w:val="24"/>
          <w:szCs w:val="24"/>
        </w:rPr>
        <w:t xml:space="preserve">Continuous improvement based on international reviews</w:t>
      </w:r>
    </w:p>
    <w:p>
      <w:pPr>
        <w:pStyle w:val="ListParagraph"/>
        <w:numPr>
          <w:ilvl w:val="0"/>
          <w:numId w:val="2"/>
        </w:numPr>
        <w:spacing w:after="120"/>
      </w:pPr>
      <w:r>
        <w:rPr>
          <w:rFonts w:ascii="Arial" w:cs="Arial" w:eastAsia="Arial" w:hAnsi="Arial"/>
          <w:sz w:val="24"/>
          <w:szCs w:val="24"/>
        </w:rPr>
        <w:t xml:space="preserve">Real-time monitoring integration where feasible</w:t>
      </w:r>
    </w:p>
    <w:p>
      <w:pPr>
        <w:pStyle w:val="ListParagraph"/>
        <w:numPr>
          <w:ilvl w:val="0"/>
          <w:numId w:val="2"/>
        </w:numPr>
        <w:spacing w:after="120"/>
      </w:pPr>
      <w:r>
        <w:rPr>
          <w:rFonts w:ascii="Arial" w:cs="Arial" w:eastAsia="Arial" w:hAnsi="Arial"/>
          <w:sz w:val="24"/>
          <w:szCs w:val="24"/>
        </w:rPr>
        <w:t xml:space="preserve">Regional collaboration and data sharing</w:t>
      </w:r>
    </w:p>
    <w:p>
      <w:pPr>
        <w:pStyle w:val="ListParagraph"/>
        <w:numPr>
          <w:ilvl w:val="0"/>
          <w:numId w:val="2"/>
        </w:numPr>
        <w:spacing w:after="200"/>
      </w:pPr>
      <w:r>
        <w:rPr>
          <w:rFonts w:ascii="Arial" w:cs="Arial" w:eastAsia="Arial" w:hAnsi="Arial"/>
          <w:sz w:val="24"/>
          <w:szCs w:val="24"/>
        </w:rPr>
        <w:t xml:space="preserve">Support for other countries based on lessons learned</w:t>
      </w:r>
    </w:p>
    <w:p>
      <w:pPr>
        <w:pStyle w:val="Heading2"/>
      </w:pPr>
      <w:r>
        <w:rPr>
          <w:b/>
          <w:bCs/>
        </w:rPr>
        <w:t xml:space="preserve">15.2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Indicator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Target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completeness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95%+ of sources covered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Completeness checklist</w:t>
            </w:r>
          </w:p>
        </w:tc>
      </w:tr>
      <w:tr>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Timeliness</w:t>
            </w:r>
          </w:p>
        </w:tc>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BTR submitted by deadline</w:t>
            </w:r>
          </w:p>
        </w:tc>
        <w:tc>
          <w:tcPr>
            <w:tcW w:type="dxa" w:w="33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Submission 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category coverage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2+ for all key categories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Method assessment</w:t>
            </w:r>
          </w:p>
        </w:tc>
      </w:tr>
      <w:tr>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Uncertainty reduction</w:t>
            </w:r>
          </w:p>
        </w:tc>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10% reduction per cycle</w:t>
            </w:r>
          </w:p>
        </w:tc>
        <w:tc>
          <w:tcPr>
            <w:tcW w:type="dxa" w:w="33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Uncertainty analysis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Staff retention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 retention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tracking</w:t>
            </w:r>
          </w:p>
        </w:tc>
      </w:tr>
      <w:tr>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Data provider compliance</w:t>
            </w:r>
          </w:p>
        </w:tc>
        <w:tc>
          <w:tcPr>
            <w:tcW w:type="dxa" w:w="3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90% response rate</w:t>
            </w:r>
          </w:p>
        </w:tc>
        <w:tc>
          <w:tcPr>
            <w:tcW w:type="dxa" w:w="33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Data collection records</w:t>
            </w:r>
          </w:p>
        </w:tc>
      </w:tr>
    </w:tbl>
    <w:p>
      <w:pPr>
        <w:spacing w:before="200"/>
      </w:pPr>
    </w:p>
    <w:p>
      <w:r>
        <w:br w:type="page"/>
      </w:r>
    </w:p>
    <w:p>
      <w:pPr>
        <w:pStyle w:val="Heading1"/>
      </w:pPr>
      <w:r>
        <w:rPr>
          <w:b/>
          <w:bCs/>
        </w:rPr>
        <w:t xml:space="preserve">ANNEXES</w:t>
      </w:r>
    </w:p>
    <w:p>
      <w:pPr>
        <w:pStyle w:val="Heading2"/>
      </w:pPr>
      <w:r>
        <w:rPr>
          <w:b/>
          <w:bCs/>
        </w:rPr>
        <w:t xml:space="preserve">Annex A: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Term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Activity Data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on the magnitude of human activity resulting in emissions or removals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BTR</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Biennial Transparency Report submitted under the Paris Agreement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CRF</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Common Reporting Format for standardized GHG data presentation</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Emission Factor</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Coefficient that relates activity to GHG emissions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ETF</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Enhanced Transparency Framework under the Paris Agreement Article 13</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FREL/FRL</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Forest Reference Emission Level/Forest Reference Level for REDD+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Greenhouse Gas - gases that absorb and emit infrared radiation</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GWP</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Global Warming Potential - measure of radiative forcing relative to CO2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Category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 that is prioritized based on contribution to emissions or trends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LIA</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Lead Inventory Agency responsible for coordinating the national GHG inventory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LULUCF</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 Use, Land-Use Change and Forestry sector</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MPGs</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Modalities, Procedures and Guidelines for the transparency framework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MRV</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Monitoring, Reporting, and Verification</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NDC</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Nationally Determined Contribution under the Paris Agreement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Inventory Report accompanying CRF tables</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QA/QC</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Quality Assurance and Quality Control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TACCC</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Transparency, Accuracy, Completeness, Consistency, Comparability</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TER</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Technical Expert Review of BTR submissions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Level of methodological complexity (Tier 1 = basic, Tier 3 = advanced)</w:t>
            </w:r>
          </w:p>
        </w:tc>
      </w:tr>
      <w:tr>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UNFCCC</w:t>
            </w:r>
          </w:p>
        </w:tc>
        <w:tc>
          <w:tcPr>
            <w:tcW w:type="dxa" w:w="6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United Nations Framework Convention on Climate Change</w:t>
            </w:r>
          </w:p>
        </w:tc>
      </w:tr>
    </w:tbl>
    <w:p>
      <w:pPr>
        <w:spacing w:before="200"/>
      </w:pPr>
    </w:p>
    <w:p>
      <w:r>
        <w:br w:type="page"/>
      </w:r>
    </w:p>
    <w:p>
      <w:pPr>
        <w:pStyle w:val="Heading2"/>
      </w:pPr>
      <w:r>
        <w:rPr>
          <w:b/>
          <w:bCs/>
        </w:rPr>
        <w:t xml:space="preserve">Annex B: IPCC Sector and Category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Code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Sub-categories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1A Fuel Combustion, 1B Fugitive Emissions, 1C CO2 Transport and Storage</w:t>
            </w:r>
          </w:p>
        </w:tc>
      </w:tr>
      <w:tr>
        <w:tc>
          <w:tcPr>
            <w:tcW w:type="dxa" w:w="1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Industrial Processes and Product Use</w:t>
            </w:r>
          </w:p>
        </w:tc>
        <w:tc>
          <w:tcPr>
            <w:tcW w:type="dxa" w:w="4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2A Mineral, 2B Chemical, 2C Metal, 2D-H Other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Agriculture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3A Enteric Fermentation, 3B Manure, 3C Rice, 3D Soils, 3E-I Other</w:t>
            </w:r>
          </w:p>
        </w:tc>
      </w:tr>
      <w:tr>
        <w:tc>
          <w:tcPr>
            <w:tcW w:type="dxa" w:w="1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Land Use, Land-Use Change and Forestry</w:t>
            </w:r>
          </w:p>
        </w:tc>
        <w:tc>
          <w:tcPr>
            <w:tcW w:type="dxa" w:w="48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4A-F Land categories, 4G Harvested Wood Products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5A Solid Waste Disposal, 5B Biological Treatment, 5C Incineration, 5D Wastewater</w:t>
            </w:r>
          </w:p>
        </w:tc>
      </w:tr>
    </w:tbl>
    <w:p>
      <w:pPr>
        <w:spacing w:before="200"/>
      </w:pPr>
    </w:p>
    <w:p>
      <w:pPr>
        <w:pStyle w:val="Heading2"/>
      </w:pPr>
      <w:r>
        <w:rPr>
          <w:b/>
          <w:bCs/>
        </w:rPr>
        <w:t xml:space="preserve">Annex C: Global Warming Potentials</w:t>
      </w:r>
    </w:p>
    <w:p>
      <w:pPr>
        <w:spacing w:after="200" w:line="276"/>
        <w:jc w:val="both"/>
      </w:pPr>
      <w:r>
        <w:rPr>
          <w:rFonts w:ascii="Arial" w:cs="Arial" w:eastAsia="Arial" w:hAnsi="Arial"/>
          <w:sz w:val="24"/>
          <w:szCs w:val="24"/>
        </w:rPr>
        <w:t xml:space="preserve">The following GWP values (100-year time horizon) from the IPCC Fifth Assessment Report should be used for reporting under the Enhanced Transparency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20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Gas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Chemical Formula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GWP (AR5)</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Lifetime (years)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Carbon Dioxide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Methane</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CH4</w:t>
            </w:r>
          </w:p>
        </w:tc>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28</w:t>
            </w:r>
          </w:p>
        </w:tc>
        <w:tc>
          <w:tcPr>
            <w:tcW w:type="dxa" w:w="2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12.4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Nitrous Oxide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N2O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121</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HFC-134a</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CH2FCF3</w:t>
            </w:r>
          </w:p>
        </w:tc>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1,300</w:t>
            </w:r>
          </w:p>
        </w:tc>
        <w:tc>
          <w:tcPr>
            <w:tcW w:type="dxa" w:w="2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13.4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HFC-32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CH2F2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677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Sulfur Hexafluoride</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SF6</w:t>
            </w:r>
          </w:p>
        </w:tc>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23,500</w:t>
            </w:r>
          </w:p>
        </w:tc>
        <w:tc>
          <w:tcPr>
            <w:tcW w:type="dxa" w:w="2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3,200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Nitrogen Trifluoride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NF3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16,100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r>
      <w:tr>
        <w:tc>
          <w:tcPr>
            <w:tcW w:type="dxa" w:w="28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PFC-14</w:t>
            </w:r>
          </w:p>
        </w:tc>
        <w:tc>
          <w:tcPr>
            <w:tcW w:type="dxa" w:w="25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CF4</w:t>
            </w:r>
          </w:p>
        </w:tc>
        <w:tc>
          <w:tcPr>
            <w:tcW w:type="dxa" w:w="200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6,630</w:t>
            </w:r>
          </w:p>
        </w:tc>
        <w:tc>
          <w:tcPr>
            <w:tcW w:type="dxa" w:w="2060"/>
            <w:tcBorders>
              <w:top w:val="single" w:color="CCCCCC" w:sz="1"/>
              <w:left w:val="single" w:color="CCCCCC" w:sz="1"/>
              <w:bottom w:val="single" w:color="CCCCCC" w:sz="1"/>
              <w:right w:val="single" w:color="CCCCCC" w:sz="1"/>
            </w:tcBorders>
            <w:shd w:fill="F2F8FC" w:val="clear"/>
            <w:tcMar>
              <w:top w:type="dxa" w:w="60"/>
              <w:left w:type="dxa" w:w="120"/>
              <w:bottom w:type="dxa" w:w="60"/>
              <w:right w:type="dxa" w:w="120"/>
            </w:tcMar>
          </w:tcPr>
          <w:p>
            <w:r>
              <w:rPr>
                <w:rFonts w:ascii="Arial" w:cs="Arial" w:eastAsia="Arial" w:hAnsi="Arial"/>
                <w:sz w:val="20"/>
                <w:szCs w:val="20"/>
              </w:rPr>
              <w:t xml:space="preserve">50,000</w:t>
            </w:r>
          </w:p>
        </w:tc>
      </w:tr>
    </w:tbl>
    <w:p>
      <w:pPr>
        <w:spacing w:before="200"/>
      </w:pPr>
    </w:p>
    <w:p>
      <w:r>
        <w:br w:type="page"/>
      </w:r>
    </w:p>
    <w:p>
      <w:pPr>
        <w:pStyle w:val="Heading2"/>
      </w:pPr>
      <w:r>
        <w:rPr>
          <w:b/>
          <w:bCs/>
        </w:rPr>
        <w:t xml:space="preserve">Annex D: Data Collection Templates</w:t>
      </w:r>
    </w:p>
    <w:p>
      <w:pPr>
        <w:spacing w:after="200" w:line="276"/>
        <w:jc w:val="both"/>
      </w:pPr>
      <w:r>
        <w:rPr>
          <w:rFonts w:ascii="Arial" w:cs="Arial" w:eastAsia="Arial" w:hAnsi="Arial"/>
          <w:sz w:val="24"/>
          <w:szCs w:val="24"/>
        </w:rPr>
        <w:t xml:space="preserve">Standardized templates for data collection are essential for ensuring consistency and quality. The following template categories should be developed and maintained:</w:t>
      </w:r>
    </w:p>
    <w:p>
      <w:pPr>
        <w:pStyle w:val="ListParagraph"/>
        <w:numPr>
          <w:ilvl w:val="0"/>
          <w:numId w:val="3"/>
        </w:numPr>
        <w:spacing w:after="120"/>
      </w:pPr>
      <w:r>
        <w:rPr>
          <w:rFonts w:ascii="Arial" w:cs="Arial" w:eastAsia="Arial" w:hAnsi="Arial"/>
          <w:sz w:val="24"/>
          <w:szCs w:val="24"/>
        </w:rPr>
        <w:t xml:space="preserve">Energy Balance Template - Annual fuel production, imports, exports, stocks, and consumption by sector</w:t>
      </w:r>
    </w:p>
    <w:p>
      <w:pPr>
        <w:pStyle w:val="ListParagraph"/>
        <w:numPr>
          <w:ilvl w:val="0"/>
          <w:numId w:val="3"/>
        </w:numPr>
        <w:spacing w:after="120"/>
      </w:pPr>
      <w:r>
        <w:rPr>
          <w:rFonts w:ascii="Arial" w:cs="Arial" w:eastAsia="Arial" w:hAnsi="Arial"/>
          <w:sz w:val="24"/>
          <w:szCs w:val="24"/>
        </w:rPr>
        <w:t xml:space="preserve">Industrial Facility Reporting Template - Production data, fuel use, and process emissions by facility</w:t>
      </w:r>
    </w:p>
    <w:p>
      <w:pPr>
        <w:pStyle w:val="ListParagraph"/>
        <w:numPr>
          <w:ilvl w:val="0"/>
          <w:numId w:val="3"/>
        </w:numPr>
        <w:spacing w:after="120"/>
      </w:pPr>
      <w:r>
        <w:rPr>
          <w:rFonts w:ascii="Arial" w:cs="Arial" w:eastAsia="Arial" w:hAnsi="Arial"/>
          <w:sz w:val="24"/>
          <w:szCs w:val="24"/>
        </w:rPr>
        <w:t xml:space="preserve">Livestock Census Template - Animal populations by species, category, and management system</w:t>
      </w:r>
    </w:p>
    <w:p>
      <w:pPr>
        <w:pStyle w:val="ListParagraph"/>
        <w:numPr>
          <w:ilvl w:val="0"/>
          <w:numId w:val="3"/>
        </w:numPr>
        <w:spacing w:after="120"/>
      </w:pPr>
      <w:r>
        <w:rPr>
          <w:rFonts w:ascii="Arial" w:cs="Arial" w:eastAsia="Arial" w:hAnsi="Arial"/>
          <w:sz w:val="24"/>
          <w:szCs w:val="24"/>
        </w:rPr>
        <w:t xml:space="preserve">Land Use Matrix Template - Area by land use category and transitions</w:t>
      </w:r>
    </w:p>
    <w:p>
      <w:pPr>
        <w:pStyle w:val="ListParagraph"/>
        <w:numPr>
          <w:ilvl w:val="0"/>
          <w:numId w:val="3"/>
        </w:numPr>
        <w:spacing w:after="120"/>
      </w:pPr>
      <w:r>
        <w:rPr>
          <w:rFonts w:ascii="Arial" w:cs="Arial" w:eastAsia="Arial" w:hAnsi="Arial"/>
          <w:sz w:val="24"/>
          <w:szCs w:val="24"/>
        </w:rPr>
        <w:t xml:space="preserve">Waste Generation Template - Municipal and industrial waste by type and disposal method</w:t>
      </w:r>
    </w:p>
    <w:p>
      <w:pPr>
        <w:pStyle w:val="ListParagraph"/>
        <w:numPr>
          <w:ilvl w:val="0"/>
          <w:numId w:val="3"/>
        </w:numPr>
        <w:spacing w:after="200"/>
      </w:pPr>
      <w:r>
        <w:rPr>
          <w:rFonts w:ascii="Arial" w:cs="Arial" w:eastAsia="Arial" w:hAnsi="Arial"/>
          <w:sz w:val="24"/>
          <w:szCs w:val="24"/>
        </w:rPr>
        <w:t xml:space="preserve">QA/QC Checklist Template - Standardized verification procedures by category</w:t>
      </w:r>
    </w:p>
    <w:p>
      <w:pPr>
        <w:pStyle w:val="Heading2"/>
      </w:pPr>
      <w:r>
        <w:rPr>
          <w:b/>
          <w:bCs/>
        </w:rPr>
        <w:t xml:space="preserve">Annex E: Reference Documents</w:t>
      </w:r>
    </w:p>
    <w:p>
      <w:pPr>
        <w:spacing w:after="200" w:line="276"/>
        <w:jc w:val="both"/>
      </w:pPr>
      <w:r>
        <w:rPr>
          <w:rFonts w:ascii="Arial" w:cs="Arial" w:eastAsia="Arial" w:hAnsi="Arial"/>
          <w:sz w:val="24"/>
          <w:szCs w:val="24"/>
        </w:rPr>
        <w:t xml:space="preserve">The following documents provide additional guidance for MRV system implementation:</w:t>
      </w:r>
    </w:p>
    <w:p>
      <w:pPr>
        <w:pStyle w:val="ListParagraph"/>
        <w:numPr>
          <w:ilvl w:val="0"/>
          <w:numId w:val="2"/>
        </w:numPr>
        <w:spacing w:after="120"/>
      </w:pPr>
      <w:r>
        <w:rPr>
          <w:rFonts w:ascii="Arial" w:cs="Arial" w:eastAsia="Arial" w:hAnsi="Arial"/>
          <w:sz w:val="24"/>
          <w:szCs w:val="24"/>
        </w:rPr>
        <w:t xml:space="preserve">2006 IPCC Guidelines for National Greenhouse Gas Inventories</w:t>
      </w:r>
    </w:p>
    <w:p>
      <w:pPr>
        <w:pStyle w:val="ListParagraph"/>
        <w:numPr>
          <w:ilvl w:val="0"/>
          <w:numId w:val="2"/>
        </w:numPr>
        <w:spacing w:after="120"/>
      </w:pPr>
      <w:r>
        <w:rPr>
          <w:rFonts w:ascii="Arial" w:cs="Arial" w:eastAsia="Arial" w:hAnsi="Arial"/>
          <w:sz w:val="24"/>
          <w:szCs w:val="24"/>
        </w:rPr>
        <w:t xml:space="preserve">2019 Refinement to the 2006 IPCC Guidelines for National Greenhouse Gas Inventories</w:t>
      </w:r>
    </w:p>
    <w:p>
      <w:pPr>
        <w:pStyle w:val="ListParagraph"/>
        <w:numPr>
          <w:ilvl w:val="0"/>
          <w:numId w:val="2"/>
        </w:numPr>
        <w:spacing w:after="120"/>
      </w:pPr>
      <w:r>
        <w:rPr>
          <w:rFonts w:ascii="Arial" w:cs="Arial" w:eastAsia="Arial" w:hAnsi="Arial"/>
          <w:sz w:val="24"/>
          <w:szCs w:val="24"/>
        </w:rPr>
        <w:t xml:space="preserve">Decision 18/CMA.1: Modalities, procedures and guidelines for the transparency framework (MPGs)</w:t>
      </w:r>
    </w:p>
    <w:p>
      <w:pPr>
        <w:pStyle w:val="ListParagraph"/>
        <w:numPr>
          <w:ilvl w:val="0"/>
          <w:numId w:val="2"/>
        </w:numPr>
        <w:spacing w:after="120"/>
      </w:pPr>
      <w:r>
        <w:rPr>
          <w:rFonts w:ascii="Arial" w:cs="Arial" w:eastAsia="Arial" w:hAnsi="Arial"/>
          <w:sz w:val="24"/>
          <w:szCs w:val="24"/>
        </w:rPr>
        <w:t xml:space="preserve">U.S. EPA Toolkit for Building National GHG Inventory Systems</w:t>
      </w:r>
    </w:p>
    <w:p>
      <w:pPr>
        <w:pStyle w:val="ListParagraph"/>
        <w:numPr>
          <w:ilvl w:val="0"/>
          <w:numId w:val="2"/>
        </w:numPr>
        <w:spacing w:after="120"/>
      </w:pPr>
      <w:r>
        <w:rPr>
          <w:rFonts w:ascii="Arial" w:cs="Arial" w:eastAsia="Arial" w:hAnsi="Arial"/>
          <w:sz w:val="24"/>
          <w:szCs w:val="24"/>
        </w:rPr>
        <w:t xml:space="preserve">FAO Guidelines for National Forest Monitoring Systems</w:t>
      </w:r>
    </w:p>
    <w:p>
      <w:pPr>
        <w:pStyle w:val="ListParagraph"/>
        <w:numPr>
          <w:ilvl w:val="0"/>
          <w:numId w:val="2"/>
        </w:numPr>
        <w:spacing w:after="200"/>
      </w:pPr>
      <w:r>
        <w:rPr>
          <w:rFonts w:ascii="Arial" w:cs="Arial" w:eastAsia="Arial" w:hAnsi="Arial"/>
          <w:sz w:val="24"/>
          <w:szCs w:val="24"/>
        </w:rPr>
        <w:t xml:space="preserve">GHG Protocol Corporate Standard and Scope 3 Standard</w:t>
      </w:r>
    </w:p>
    <w:p>
      <w:r>
        <w:br w:type="page"/>
      </w:r>
    </w:p>
    <w:p>
      <w:pPr>
        <w:spacing w:before="4000"/>
        <w:jc w:val="center"/>
      </w:pPr>
      <w:r>
        <w:rPr>
          <w:rFonts w:ascii="Arial" w:cs="Arial" w:eastAsia="Arial" w:hAnsi="Arial"/>
          <w:color w:val="1B4F72"/>
          <w:sz w:val="28"/>
          <w:szCs w:val="28"/>
        </w:rPr>
        <w:t xml:space="preserve">END OF DOCUMENT</w:t>
      </w:r>
    </w:p>
    <w:p>
      <w:pPr>
        <w:spacing w:before="400"/>
        <w:jc w:val="center"/>
      </w:pPr>
      <w:r>
        <w:rPr>
          <w:rFonts w:ascii="Arial" w:cs="Arial" w:eastAsia="Arial" w:hAnsi="Arial"/>
          <w:i/>
          <w:iCs/>
          <w:color w:val="2C3E50"/>
          <w:sz w:val="22"/>
          <w:szCs w:val="22"/>
        </w:rPr>
        <w:t xml:space="preserve">National MRV System Technical Specification</w:t>
      </w:r>
    </w:p>
    <w:p>
      <w:pPr>
        <w:spacing w:before="200"/>
        <w:jc w:val="center"/>
      </w:pPr>
      <w:r>
        <w:rPr>
          <w:rFonts w:ascii="Arial" w:cs="Arial" w:eastAsia="Arial" w:hAnsi="Arial"/>
          <w:color w:val="2874A6"/>
          <w:sz w:val="20"/>
          <w:szCs w:val="20"/>
        </w:rPr>
        <w:t xml:space="preserve">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874A6"/>
        <w:sz w:val="18"/>
        <w:szCs w:val="18"/>
      </w:rPr>
      <w:t xml:space="preserve">National MRV System: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3E50"/>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2026-02-02T06:29:51.995Z</dcterms:created>
  <dcterms:modified xsi:type="dcterms:W3CDTF">2026-02-02T06:29:51.995Z</dcterms:modified>
</cp:coreProperties>
</file>

<file path=docProps/custom.xml><?xml version="1.0" encoding="utf-8"?>
<Properties xmlns="http://schemas.openxmlformats.org/officeDocument/2006/custom-properties" xmlns:vt="http://schemas.openxmlformats.org/officeDocument/2006/docPropsVTypes"/>
</file>