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A57C0" w14:textId="77777777" w:rsidR="00ED32E6" w:rsidRPr="00ED32E6" w:rsidRDefault="00ED32E6" w:rsidP="00ED32E6">
      <w:pPr>
        <w:pBdr>
          <w:bottom w:val="single" w:sz="8" w:space="4" w:color="4F81BD"/>
        </w:pBdr>
        <w:spacing w:after="0" w:line="22" w:lineRule="atLeast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r w:rsidRPr="00ED32E6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Proposal for National Cybersecurity and Smart City Intelligence Platform</w:t>
      </w:r>
    </w:p>
    <w:p w14:paraId="223558DD" w14:textId="77777777" w:rsidR="00ED32E6" w:rsidRPr="00ED32E6" w:rsidRDefault="00ED32E6" w:rsidP="00ED32E6">
      <w:pPr>
        <w:spacing w:after="0" w:line="22" w:lineRule="atLeast"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t>Submitted to: Government of Peru</w:t>
      </w:r>
    </w:p>
    <w:p w14:paraId="739ED05A" w14:textId="77777777" w:rsidR="00ED32E6" w:rsidRPr="00ED32E6" w:rsidRDefault="00ED32E6" w:rsidP="00ED32E6">
      <w:pPr>
        <w:spacing w:after="0" w:line="22" w:lineRule="atLeast"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t>Submitted by: Visium Technologies, Inc.</w:t>
      </w:r>
    </w:p>
    <w:p w14:paraId="2EAC0422" w14:textId="77777777" w:rsidR="00ED32E6" w:rsidRPr="00ED32E6" w:rsidRDefault="00ED32E6" w:rsidP="00ED32E6">
      <w:pPr>
        <w:spacing w:after="0" w:line="22" w:lineRule="atLeast"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t>Date: April 2025</w:t>
      </w:r>
    </w:p>
    <w:p w14:paraId="18275483" w14:textId="77777777" w:rsidR="00ED32E6" w:rsidRPr="00ED32E6" w:rsidRDefault="00ED32E6" w:rsidP="00ED32E6">
      <w:pPr>
        <w:spacing w:after="0" w:line="22" w:lineRule="atLeast"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</w:p>
    <w:p w14:paraId="37E1D5FF" w14:textId="77777777" w:rsidR="00ED32E6" w:rsidRPr="00ED32E6" w:rsidRDefault="00ED32E6" w:rsidP="00ED32E6">
      <w:pPr>
        <w:keepNext/>
        <w:keepLines/>
        <w:spacing w:after="0" w:line="22" w:lineRule="atLeast"/>
        <w:outlineLvl w:val="0"/>
        <w:rPr>
          <w:rFonts w:ascii="Calibri" w:eastAsia="MS Gothic" w:hAnsi="Calibri" w:cs="Times New Roman"/>
          <w:b/>
          <w:bCs/>
          <w:color w:val="365F91"/>
          <w:kern w:val="0"/>
          <w:szCs w:val="28"/>
          <w:lang w:val="en-US"/>
          <w14:ligatures w14:val="none"/>
        </w:rPr>
      </w:pPr>
      <w:r w:rsidRPr="00ED32E6">
        <w:rPr>
          <w:rFonts w:ascii="Calibri" w:eastAsia="MS Gothic" w:hAnsi="Calibri" w:cs="Times New Roman"/>
          <w:b/>
          <w:bCs/>
          <w:color w:val="365F91"/>
          <w:kern w:val="0"/>
          <w:szCs w:val="28"/>
          <w:lang w:val="en-US"/>
          <w14:ligatures w14:val="none"/>
        </w:rPr>
        <w:t>Executive Summary</w:t>
      </w:r>
    </w:p>
    <w:p w14:paraId="6DDB5826" w14:textId="77777777" w:rsidR="00ED32E6" w:rsidRPr="00ED32E6" w:rsidRDefault="00ED32E6" w:rsidP="00ED32E6">
      <w:pPr>
        <w:spacing w:after="0" w:line="22" w:lineRule="atLeast"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t>Visium Technologies proposes deployment of its TruContext™ solution to support Peru’s national cybersecurity priorities, IT/OT network defense, smart city operations, and public safety initiatives. Leveraging AI-driven analytics, real-time correlation, and deep integration with the IREX ELI smart city platform, TruContext provides a unified data intelligence layer across government entities.</w:t>
      </w: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br/>
      </w: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br/>
        <w:t>This proposal includes scalable packages for national and regional deployment, supporting both current operations and future expansion.</w:t>
      </w:r>
    </w:p>
    <w:p w14:paraId="12D192B5" w14:textId="77777777" w:rsidR="00ED32E6" w:rsidRPr="00ED32E6" w:rsidRDefault="00ED32E6" w:rsidP="00ED32E6">
      <w:pPr>
        <w:spacing w:after="0" w:line="22" w:lineRule="atLeast"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</w:p>
    <w:p w14:paraId="0CF5E89F" w14:textId="77777777" w:rsidR="00ED32E6" w:rsidRPr="00ED32E6" w:rsidRDefault="00ED32E6" w:rsidP="00ED32E6">
      <w:pPr>
        <w:keepNext/>
        <w:keepLines/>
        <w:spacing w:after="0" w:line="22" w:lineRule="atLeast"/>
        <w:outlineLvl w:val="0"/>
        <w:rPr>
          <w:rFonts w:ascii="Calibri" w:eastAsia="MS Gothic" w:hAnsi="Calibri" w:cs="Times New Roman"/>
          <w:b/>
          <w:bCs/>
          <w:color w:val="365F91"/>
          <w:kern w:val="0"/>
          <w:szCs w:val="28"/>
          <w:lang w:val="en-US"/>
          <w14:ligatures w14:val="none"/>
        </w:rPr>
      </w:pPr>
      <w:r w:rsidRPr="00ED32E6">
        <w:rPr>
          <w:rFonts w:ascii="Calibri" w:eastAsia="MS Gothic" w:hAnsi="Calibri" w:cs="Times New Roman"/>
          <w:b/>
          <w:bCs/>
          <w:color w:val="365F91"/>
          <w:kern w:val="0"/>
          <w:szCs w:val="28"/>
          <w:lang w:val="en-US"/>
          <w14:ligatures w14:val="none"/>
        </w:rPr>
        <w:t>Solution Overview: TruContext™</w:t>
      </w:r>
    </w:p>
    <w:p w14:paraId="50E9DE72" w14:textId="77777777" w:rsidR="00ED32E6" w:rsidRPr="00ED32E6" w:rsidRDefault="00ED32E6" w:rsidP="00ED32E6">
      <w:pPr>
        <w:spacing w:after="0" w:line="22" w:lineRule="atLeast"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t>TruContext™ is a real-time data analytics platform that transforms cyber, IT, OT, and operational data into actionable insights. It enables:</w:t>
      </w:r>
    </w:p>
    <w:p w14:paraId="3707AE94" w14:textId="77777777" w:rsidR="00ED32E6" w:rsidRPr="00ED32E6" w:rsidRDefault="00ED32E6" w:rsidP="00ED32E6">
      <w:pPr>
        <w:tabs>
          <w:tab w:val="num" w:pos="360"/>
        </w:tabs>
        <w:spacing w:after="0" w:line="22" w:lineRule="atLeast"/>
        <w:ind w:left="360" w:hanging="360"/>
        <w:contextualSpacing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t>Centralized visibility across departments and systems</w:t>
      </w:r>
    </w:p>
    <w:p w14:paraId="3CC14493" w14:textId="77777777" w:rsidR="00ED32E6" w:rsidRPr="00ED32E6" w:rsidRDefault="00ED32E6" w:rsidP="00ED32E6">
      <w:pPr>
        <w:tabs>
          <w:tab w:val="num" w:pos="360"/>
        </w:tabs>
        <w:spacing w:after="0" w:line="22" w:lineRule="atLeast"/>
        <w:ind w:left="360" w:hanging="360"/>
        <w:contextualSpacing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t>Detection of anomalous behavior across IT and OT environments</w:t>
      </w:r>
    </w:p>
    <w:p w14:paraId="5D7088F4" w14:textId="77777777" w:rsidR="00ED32E6" w:rsidRPr="00ED32E6" w:rsidRDefault="00ED32E6" w:rsidP="00ED32E6">
      <w:pPr>
        <w:tabs>
          <w:tab w:val="num" w:pos="360"/>
        </w:tabs>
        <w:spacing w:after="0" w:line="22" w:lineRule="atLeast"/>
        <w:ind w:left="360" w:hanging="360"/>
        <w:contextualSpacing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t>Integration of smart surveillance and IoT data</w:t>
      </w:r>
    </w:p>
    <w:p w14:paraId="4142D268" w14:textId="77777777" w:rsidR="00ED32E6" w:rsidRPr="00ED32E6" w:rsidRDefault="00ED32E6" w:rsidP="00ED32E6">
      <w:pPr>
        <w:tabs>
          <w:tab w:val="num" w:pos="360"/>
        </w:tabs>
        <w:spacing w:after="0" w:line="22" w:lineRule="atLeast"/>
        <w:ind w:left="360" w:hanging="360"/>
        <w:contextualSpacing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t>Contextual correlation for threat response and decision-making</w:t>
      </w:r>
    </w:p>
    <w:p w14:paraId="3B8EAA7C" w14:textId="77777777" w:rsidR="00ED32E6" w:rsidRPr="00ED32E6" w:rsidRDefault="00ED32E6" w:rsidP="00ED32E6">
      <w:pPr>
        <w:spacing w:after="0" w:line="22" w:lineRule="atLeast"/>
        <w:contextualSpacing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</w:p>
    <w:p w14:paraId="6B2F348E" w14:textId="77777777" w:rsidR="00ED32E6" w:rsidRPr="00ED32E6" w:rsidRDefault="00ED32E6" w:rsidP="00ED32E6">
      <w:pPr>
        <w:keepNext/>
        <w:keepLines/>
        <w:spacing w:after="0" w:line="22" w:lineRule="atLeast"/>
        <w:outlineLvl w:val="0"/>
        <w:rPr>
          <w:rFonts w:ascii="Calibri" w:eastAsia="MS Gothic" w:hAnsi="Calibri" w:cs="Times New Roman"/>
          <w:b/>
          <w:bCs/>
          <w:color w:val="365F91"/>
          <w:kern w:val="0"/>
          <w:szCs w:val="28"/>
          <w:lang w:val="en-US"/>
          <w14:ligatures w14:val="none"/>
        </w:rPr>
      </w:pPr>
      <w:r w:rsidRPr="00ED32E6">
        <w:rPr>
          <w:rFonts w:ascii="Calibri" w:eastAsia="MS Gothic" w:hAnsi="Calibri" w:cs="Times New Roman"/>
          <w:b/>
          <w:bCs/>
          <w:color w:val="365F91"/>
          <w:kern w:val="0"/>
          <w:szCs w:val="28"/>
          <w:lang w:val="en-US"/>
          <w14:ligatures w14:val="none"/>
        </w:rPr>
        <w:t>Recommended Implementation Packages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1440"/>
        <w:gridCol w:w="1440"/>
      </w:tblGrid>
      <w:tr w:rsidR="00ED32E6" w:rsidRPr="00ED32E6" w14:paraId="27762FFF" w14:textId="77777777" w:rsidTr="00ED32E6">
        <w:tc>
          <w:tcPr>
            <w:tcW w:w="2880" w:type="dxa"/>
            <w:hideMark/>
          </w:tcPr>
          <w:p w14:paraId="0D001FCE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Initiative</w:t>
            </w:r>
          </w:p>
        </w:tc>
        <w:tc>
          <w:tcPr>
            <w:tcW w:w="2880" w:type="dxa"/>
            <w:hideMark/>
          </w:tcPr>
          <w:p w14:paraId="58D0CAD2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Package</w:t>
            </w:r>
          </w:p>
        </w:tc>
        <w:tc>
          <w:tcPr>
            <w:tcW w:w="2880" w:type="dxa"/>
            <w:gridSpan w:val="2"/>
            <w:hideMark/>
          </w:tcPr>
          <w:p w14:paraId="5D01C1D7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Monthly Cost</w:t>
            </w:r>
          </w:p>
        </w:tc>
      </w:tr>
      <w:tr w:rsidR="00ED32E6" w:rsidRPr="00ED32E6" w14:paraId="48C2A74E" w14:textId="77777777" w:rsidTr="00ED32E6">
        <w:trPr>
          <w:gridAfter w:val="1"/>
          <w:wAfter w:w="1440" w:type="dxa"/>
        </w:trPr>
        <w:tc>
          <w:tcPr>
            <w:tcW w:w="2880" w:type="dxa"/>
            <w:hideMark/>
          </w:tcPr>
          <w:p w14:paraId="7C1C09C6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National Cybersecurity Command Center</w:t>
            </w:r>
          </w:p>
        </w:tc>
        <w:tc>
          <w:tcPr>
            <w:tcW w:w="2880" w:type="dxa"/>
            <w:hideMark/>
          </w:tcPr>
          <w:p w14:paraId="5AAFDD5A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Cybersecurity + IT/OT Modules (Enterprise Tier)</w:t>
            </w:r>
          </w:p>
        </w:tc>
        <w:tc>
          <w:tcPr>
            <w:tcW w:w="1440" w:type="dxa"/>
            <w:hideMark/>
          </w:tcPr>
          <w:p w14:paraId="27CB993E" w14:textId="77777777" w:rsidR="00ED32E6" w:rsidRPr="00ED32E6" w:rsidRDefault="00ED32E6" w:rsidP="00ED32E6">
            <w:pPr>
              <w:spacing w:after="0" w:line="22" w:lineRule="atLeast"/>
              <w:jc w:val="righ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$25,000</w:t>
            </w:r>
          </w:p>
        </w:tc>
      </w:tr>
      <w:tr w:rsidR="00ED32E6" w:rsidRPr="00ED32E6" w14:paraId="34974EB2" w14:textId="77777777" w:rsidTr="00ED32E6">
        <w:trPr>
          <w:gridAfter w:val="1"/>
          <w:wAfter w:w="1440" w:type="dxa"/>
        </w:trPr>
        <w:tc>
          <w:tcPr>
            <w:tcW w:w="2880" w:type="dxa"/>
            <w:hideMark/>
          </w:tcPr>
          <w:p w14:paraId="6E99359F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Lima Smart City Command Center</w:t>
            </w:r>
          </w:p>
        </w:tc>
        <w:tc>
          <w:tcPr>
            <w:tcW w:w="2880" w:type="dxa"/>
            <w:hideMark/>
          </w:tcPr>
          <w:p w14:paraId="06AB103F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IREX ELI + Smart Surveillance Bundle</w:t>
            </w:r>
          </w:p>
        </w:tc>
        <w:tc>
          <w:tcPr>
            <w:tcW w:w="1440" w:type="dxa"/>
            <w:hideMark/>
          </w:tcPr>
          <w:p w14:paraId="6B9B018C" w14:textId="77777777" w:rsidR="00ED32E6" w:rsidRPr="00ED32E6" w:rsidRDefault="00ED32E6" w:rsidP="00ED32E6">
            <w:pPr>
              <w:spacing w:after="0" w:line="22" w:lineRule="atLeast"/>
              <w:jc w:val="righ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$15,000</w:t>
            </w:r>
          </w:p>
        </w:tc>
      </w:tr>
      <w:tr w:rsidR="00ED32E6" w:rsidRPr="00ED32E6" w14:paraId="48611B0B" w14:textId="77777777" w:rsidTr="00ED32E6">
        <w:trPr>
          <w:gridAfter w:val="1"/>
          <w:wAfter w:w="1440" w:type="dxa"/>
        </w:trPr>
        <w:tc>
          <w:tcPr>
            <w:tcW w:w="2880" w:type="dxa"/>
            <w:hideMark/>
          </w:tcPr>
          <w:p w14:paraId="2BB2DFCD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Ministry of Energy and Mines</w:t>
            </w:r>
          </w:p>
        </w:tc>
        <w:tc>
          <w:tcPr>
            <w:tcW w:w="2880" w:type="dxa"/>
            <w:hideMark/>
          </w:tcPr>
          <w:p w14:paraId="08408CD9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IT/OT Analytics + AI Anomaly Detection</w:t>
            </w:r>
          </w:p>
        </w:tc>
        <w:tc>
          <w:tcPr>
            <w:tcW w:w="1440" w:type="dxa"/>
            <w:hideMark/>
          </w:tcPr>
          <w:p w14:paraId="2F681E59" w14:textId="77777777" w:rsidR="00ED32E6" w:rsidRPr="00ED32E6" w:rsidRDefault="00ED32E6" w:rsidP="00ED32E6">
            <w:pPr>
              <w:spacing w:after="0" w:line="22" w:lineRule="atLeast"/>
              <w:jc w:val="righ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$12,000</w:t>
            </w:r>
          </w:p>
        </w:tc>
      </w:tr>
      <w:tr w:rsidR="00ED32E6" w:rsidRPr="00ED32E6" w14:paraId="71D9CB9A" w14:textId="77777777" w:rsidTr="00ED32E6">
        <w:trPr>
          <w:gridAfter w:val="1"/>
          <w:wAfter w:w="1440" w:type="dxa"/>
        </w:trPr>
        <w:tc>
          <w:tcPr>
            <w:tcW w:w="2880" w:type="dxa"/>
            <w:hideMark/>
          </w:tcPr>
          <w:p w14:paraId="50573F40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National Customs and Border Protection</w:t>
            </w:r>
          </w:p>
        </w:tc>
        <w:tc>
          <w:tcPr>
            <w:tcW w:w="2880" w:type="dxa"/>
            <w:hideMark/>
          </w:tcPr>
          <w:p w14:paraId="3E225450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Secure Data Sharing + API Access + Compliance</w:t>
            </w:r>
          </w:p>
        </w:tc>
        <w:tc>
          <w:tcPr>
            <w:tcW w:w="1440" w:type="dxa"/>
            <w:hideMark/>
          </w:tcPr>
          <w:p w14:paraId="460967A4" w14:textId="77777777" w:rsidR="00ED32E6" w:rsidRPr="00ED32E6" w:rsidRDefault="00ED32E6" w:rsidP="00ED32E6">
            <w:pPr>
              <w:spacing w:after="0" w:line="22" w:lineRule="atLeast"/>
              <w:jc w:val="righ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$8,000</w:t>
            </w:r>
          </w:p>
        </w:tc>
      </w:tr>
      <w:tr w:rsidR="00ED32E6" w:rsidRPr="00ED32E6" w14:paraId="04F79900" w14:textId="77777777" w:rsidTr="00ED32E6">
        <w:trPr>
          <w:gridAfter w:val="1"/>
          <w:wAfter w:w="1440" w:type="dxa"/>
        </w:trPr>
        <w:tc>
          <w:tcPr>
            <w:tcW w:w="2880" w:type="dxa"/>
            <w:hideMark/>
          </w:tcPr>
          <w:p w14:paraId="4B64C8A8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Healthcare Infrastructure Security</w:t>
            </w:r>
          </w:p>
        </w:tc>
        <w:tc>
          <w:tcPr>
            <w:tcW w:w="2880" w:type="dxa"/>
            <w:hideMark/>
          </w:tcPr>
          <w:p w14:paraId="7472BCA7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Core Cybersecurity + Compliance</w:t>
            </w:r>
          </w:p>
        </w:tc>
        <w:tc>
          <w:tcPr>
            <w:tcW w:w="1440" w:type="dxa"/>
            <w:hideMark/>
          </w:tcPr>
          <w:p w14:paraId="70BC5AE3" w14:textId="77777777" w:rsidR="00ED32E6" w:rsidRPr="00ED32E6" w:rsidRDefault="00ED32E6" w:rsidP="00ED32E6">
            <w:pPr>
              <w:spacing w:after="0" w:line="22" w:lineRule="atLeast"/>
              <w:jc w:val="righ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$6,000</w:t>
            </w:r>
          </w:p>
        </w:tc>
      </w:tr>
    </w:tbl>
    <w:p w14:paraId="29B54315" w14:textId="77777777" w:rsidR="00ED32E6" w:rsidRPr="00ED32E6" w:rsidRDefault="00ED32E6" w:rsidP="00ED32E6">
      <w:pPr>
        <w:spacing w:after="0" w:line="22" w:lineRule="atLeast"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r w:rsidRPr="00ED32E6">
        <w:rPr>
          <w:rFonts w:eastAsia="MS Mincho" w:cs="Times New Roman"/>
          <w:kern w:val="0"/>
          <w:sz w:val="24"/>
          <w:szCs w:val="24"/>
          <w:lang w:val="en-US"/>
          <w14:ligatures w14:val="none"/>
        </w:rPr>
        <w:br w:type="page"/>
      </w:r>
    </w:p>
    <w:p w14:paraId="29DB4B4E" w14:textId="77777777" w:rsidR="00ED32E6" w:rsidRPr="00ED32E6" w:rsidRDefault="00ED32E6" w:rsidP="00ED32E6">
      <w:pPr>
        <w:keepNext/>
        <w:keepLines/>
        <w:spacing w:after="0" w:line="22" w:lineRule="atLeast"/>
        <w:outlineLvl w:val="0"/>
        <w:rPr>
          <w:rFonts w:ascii="Calibri" w:eastAsia="MS Gothic" w:hAnsi="Calibri" w:cs="Times New Roman"/>
          <w:b/>
          <w:bCs/>
          <w:color w:val="365F91"/>
          <w:kern w:val="0"/>
          <w:szCs w:val="28"/>
          <w:lang w:val="en-US"/>
          <w14:ligatures w14:val="none"/>
        </w:rPr>
      </w:pPr>
      <w:r w:rsidRPr="00ED32E6">
        <w:rPr>
          <w:rFonts w:ascii="Calibri" w:eastAsia="MS Gothic" w:hAnsi="Calibri" w:cs="Times New Roman"/>
          <w:b/>
          <w:bCs/>
          <w:color w:val="365F91"/>
          <w:kern w:val="0"/>
          <w:szCs w:val="28"/>
          <w:lang w:val="en-US"/>
          <w14:ligatures w14:val="none"/>
        </w:rPr>
        <w:t>Optional A La Carte Services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D32E6" w:rsidRPr="00ED32E6" w14:paraId="7C80FDBA" w14:textId="77777777" w:rsidTr="00ED32E6">
        <w:tc>
          <w:tcPr>
            <w:tcW w:w="4320" w:type="dxa"/>
            <w:hideMark/>
          </w:tcPr>
          <w:p w14:paraId="5CE4BE89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Feature</w:t>
            </w:r>
          </w:p>
        </w:tc>
        <w:tc>
          <w:tcPr>
            <w:tcW w:w="4320" w:type="dxa"/>
            <w:hideMark/>
          </w:tcPr>
          <w:p w14:paraId="4E6E6762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Monthly Add-on</w:t>
            </w:r>
          </w:p>
        </w:tc>
      </w:tr>
      <w:tr w:rsidR="00ED32E6" w:rsidRPr="00ED32E6" w14:paraId="61C9E2C4" w14:textId="77777777" w:rsidTr="00ED32E6">
        <w:tc>
          <w:tcPr>
            <w:tcW w:w="4320" w:type="dxa"/>
            <w:hideMark/>
          </w:tcPr>
          <w:p w14:paraId="7B92D4AF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24/7 SOC-as-a-Service</w:t>
            </w:r>
          </w:p>
        </w:tc>
        <w:tc>
          <w:tcPr>
            <w:tcW w:w="4320" w:type="dxa"/>
            <w:hideMark/>
          </w:tcPr>
          <w:p w14:paraId="4AF63130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$3,000–$12,000</w:t>
            </w:r>
          </w:p>
        </w:tc>
      </w:tr>
      <w:tr w:rsidR="00ED32E6" w:rsidRPr="00ED32E6" w14:paraId="5456C960" w14:textId="77777777" w:rsidTr="00ED32E6">
        <w:tc>
          <w:tcPr>
            <w:tcW w:w="4320" w:type="dxa"/>
            <w:hideMark/>
          </w:tcPr>
          <w:p w14:paraId="190D5B5D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Dedicated Technical Account Manager</w:t>
            </w:r>
          </w:p>
        </w:tc>
        <w:tc>
          <w:tcPr>
            <w:tcW w:w="4320" w:type="dxa"/>
            <w:hideMark/>
          </w:tcPr>
          <w:p w14:paraId="3076B050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$2,000</w:t>
            </w:r>
          </w:p>
        </w:tc>
      </w:tr>
      <w:tr w:rsidR="00ED32E6" w:rsidRPr="00ED32E6" w14:paraId="787EECCD" w14:textId="77777777" w:rsidTr="00ED32E6">
        <w:tc>
          <w:tcPr>
            <w:tcW w:w="4320" w:type="dxa"/>
            <w:hideMark/>
          </w:tcPr>
          <w:p w14:paraId="20783953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Custom Integrations (Legacy &amp; National Systems)</w:t>
            </w:r>
          </w:p>
        </w:tc>
        <w:tc>
          <w:tcPr>
            <w:tcW w:w="4320" w:type="dxa"/>
            <w:hideMark/>
          </w:tcPr>
          <w:p w14:paraId="3F3BE9A3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$150/hour</w:t>
            </w:r>
          </w:p>
        </w:tc>
      </w:tr>
      <w:tr w:rsidR="00ED32E6" w:rsidRPr="00ED32E6" w14:paraId="3197E9E7" w14:textId="77777777" w:rsidTr="00ED32E6">
        <w:tc>
          <w:tcPr>
            <w:tcW w:w="4320" w:type="dxa"/>
            <w:hideMark/>
          </w:tcPr>
          <w:p w14:paraId="384F6577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Training &amp; Workshops</w:t>
            </w:r>
          </w:p>
        </w:tc>
        <w:tc>
          <w:tcPr>
            <w:tcW w:w="4320" w:type="dxa"/>
            <w:hideMark/>
          </w:tcPr>
          <w:p w14:paraId="58F45CC5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$10,000–$25,000/project</w:t>
            </w:r>
          </w:p>
        </w:tc>
      </w:tr>
    </w:tbl>
    <w:p w14:paraId="2BF511D2" w14:textId="77777777" w:rsidR="00ED32E6" w:rsidRPr="00ED32E6" w:rsidRDefault="00ED32E6" w:rsidP="00ED32E6">
      <w:pPr>
        <w:spacing w:after="0" w:line="22" w:lineRule="atLeast"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r w:rsidRPr="00ED32E6">
        <w:rPr>
          <w:rFonts w:eastAsia="MS Mincho" w:cs="Times New Roman"/>
          <w:kern w:val="0"/>
          <w:sz w:val="24"/>
          <w:szCs w:val="24"/>
          <w:lang w:val="en-US"/>
          <w14:ligatures w14:val="none"/>
        </w:rPr>
        <w:br w:type="page"/>
      </w:r>
    </w:p>
    <w:p w14:paraId="73B96307" w14:textId="77777777" w:rsidR="00ED32E6" w:rsidRPr="00ED32E6" w:rsidRDefault="00ED32E6" w:rsidP="00ED32E6">
      <w:pPr>
        <w:keepNext/>
        <w:keepLines/>
        <w:spacing w:after="0" w:line="22" w:lineRule="atLeast"/>
        <w:outlineLvl w:val="0"/>
        <w:rPr>
          <w:rFonts w:ascii="Calibri" w:eastAsia="MS Gothic" w:hAnsi="Calibri" w:cs="Times New Roman"/>
          <w:b/>
          <w:bCs/>
          <w:color w:val="365F91"/>
          <w:kern w:val="0"/>
          <w:szCs w:val="28"/>
          <w:lang w:val="en-US"/>
          <w14:ligatures w14:val="none"/>
        </w:rPr>
      </w:pPr>
      <w:r w:rsidRPr="00ED32E6">
        <w:rPr>
          <w:rFonts w:ascii="Calibri" w:eastAsia="MS Gothic" w:hAnsi="Calibri" w:cs="Times New Roman"/>
          <w:b/>
          <w:bCs/>
          <w:color w:val="365F91"/>
          <w:kern w:val="0"/>
          <w:szCs w:val="28"/>
          <w:lang w:val="en-US"/>
          <w14:ligatures w14:val="none"/>
        </w:rPr>
        <w:t>Deployment Roadmap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65"/>
        <w:gridCol w:w="2862"/>
        <w:gridCol w:w="4739"/>
      </w:tblGrid>
      <w:tr w:rsidR="00ED32E6" w:rsidRPr="00ED32E6" w14:paraId="02364E29" w14:textId="77777777" w:rsidTr="00ED32E6"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A18F729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b/>
                <w:bCs/>
                <w:kern w:val="0"/>
                <w:sz w:val="22"/>
                <w:lang w:val="en-US"/>
                <w14:ligatures w14:val="none"/>
              </w:rPr>
              <w:t>Phase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ACE9DDD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b/>
                <w:bCs/>
                <w:kern w:val="0"/>
                <w:sz w:val="22"/>
                <w:lang w:val="en-US"/>
                <w14:ligatures w14:val="none"/>
              </w:rPr>
              <w:t>Duration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38AE315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b/>
                <w:bCs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b/>
                <w:bCs/>
                <w:kern w:val="0"/>
                <w:sz w:val="22"/>
                <w:lang w:val="en-US"/>
                <w14:ligatures w14:val="none"/>
              </w:rPr>
              <w:t>Activities</w:t>
            </w:r>
          </w:p>
        </w:tc>
      </w:tr>
      <w:tr w:rsidR="00ED32E6" w:rsidRPr="00ED32E6" w14:paraId="38E32A72" w14:textId="77777777" w:rsidTr="00ED32E6">
        <w:tc>
          <w:tcPr>
            <w:tcW w:w="2880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786130D7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Phase 1: Assessment</w:t>
            </w:r>
          </w:p>
        </w:tc>
        <w:tc>
          <w:tcPr>
            <w:tcW w:w="2880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439B9FEB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1 month</w:t>
            </w:r>
          </w:p>
        </w:tc>
        <w:tc>
          <w:tcPr>
            <w:tcW w:w="4770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4452D5DC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Requirements gathering, stakeholder alignment</w:t>
            </w:r>
          </w:p>
        </w:tc>
      </w:tr>
      <w:tr w:rsidR="00ED32E6" w:rsidRPr="00ED32E6" w14:paraId="1D6592AF" w14:textId="77777777" w:rsidTr="00ED32E6">
        <w:tc>
          <w:tcPr>
            <w:tcW w:w="2880" w:type="dxa"/>
            <w:hideMark/>
          </w:tcPr>
          <w:p w14:paraId="7DE022DD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Phase 2: Deployment</w:t>
            </w:r>
          </w:p>
        </w:tc>
        <w:tc>
          <w:tcPr>
            <w:tcW w:w="2880" w:type="dxa"/>
            <w:hideMark/>
          </w:tcPr>
          <w:p w14:paraId="1AA6751E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2 months</w:t>
            </w:r>
          </w:p>
        </w:tc>
        <w:tc>
          <w:tcPr>
            <w:tcW w:w="4770" w:type="dxa"/>
            <w:hideMark/>
          </w:tcPr>
          <w:p w14:paraId="7EE7CB0C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Base system setup, cloud/on-prem rollout</w:t>
            </w:r>
          </w:p>
        </w:tc>
      </w:tr>
      <w:tr w:rsidR="00ED32E6" w:rsidRPr="00ED32E6" w14:paraId="31AABBB9" w14:textId="77777777" w:rsidTr="00ED32E6">
        <w:tc>
          <w:tcPr>
            <w:tcW w:w="2880" w:type="dxa"/>
            <w:hideMark/>
          </w:tcPr>
          <w:p w14:paraId="5CB8F8D9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Phase 3: Integration</w:t>
            </w:r>
          </w:p>
        </w:tc>
        <w:tc>
          <w:tcPr>
            <w:tcW w:w="2880" w:type="dxa"/>
            <w:hideMark/>
          </w:tcPr>
          <w:p w14:paraId="3F2F7C4B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3–6 months</w:t>
            </w:r>
          </w:p>
        </w:tc>
        <w:tc>
          <w:tcPr>
            <w:tcW w:w="4770" w:type="dxa"/>
            <w:hideMark/>
          </w:tcPr>
          <w:p w14:paraId="1BC00C76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Agency-specific customizations and integrations</w:t>
            </w:r>
          </w:p>
        </w:tc>
      </w:tr>
      <w:tr w:rsidR="00ED32E6" w:rsidRPr="00ED32E6" w14:paraId="2E576A5F" w14:textId="77777777" w:rsidTr="00ED32E6">
        <w:tc>
          <w:tcPr>
            <w:tcW w:w="2880" w:type="dxa"/>
            <w:hideMark/>
          </w:tcPr>
          <w:p w14:paraId="7DF06C2A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Phase 4: Training &amp; Handover</w:t>
            </w:r>
          </w:p>
        </w:tc>
        <w:tc>
          <w:tcPr>
            <w:tcW w:w="2880" w:type="dxa"/>
            <w:hideMark/>
          </w:tcPr>
          <w:p w14:paraId="0B727DCC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1 month</w:t>
            </w:r>
          </w:p>
        </w:tc>
        <w:tc>
          <w:tcPr>
            <w:tcW w:w="4770" w:type="dxa"/>
            <w:hideMark/>
          </w:tcPr>
          <w:p w14:paraId="4250BC5F" w14:textId="77777777" w:rsidR="00ED32E6" w:rsidRPr="00ED32E6" w:rsidRDefault="00ED32E6" w:rsidP="00ED32E6">
            <w:pPr>
              <w:spacing w:after="0" w:line="22" w:lineRule="atLeast"/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</w:pPr>
            <w:r w:rsidRPr="00ED32E6">
              <w:rPr>
                <w:rFonts w:ascii="Cambria" w:eastAsia="MS Mincho" w:hAnsi="Cambria" w:cs="Times New Roman"/>
                <w:kern w:val="0"/>
                <w:sz w:val="22"/>
                <w:lang w:val="en-US"/>
                <w14:ligatures w14:val="none"/>
              </w:rPr>
              <w:t>Technical training, final documentation</w:t>
            </w:r>
          </w:p>
        </w:tc>
      </w:tr>
    </w:tbl>
    <w:p w14:paraId="6A987A87" w14:textId="77777777" w:rsidR="00ED32E6" w:rsidRPr="00ED32E6" w:rsidRDefault="00ED32E6" w:rsidP="00ED32E6">
      <w:pPr>
        <w:spacing w:after="0" w:line="22" w:lineRule="atLeast"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r w:rsidRPr="00ED32E6">
        <w:rPr>
          <w:rFonts w:eastAsia="MS Mincho" w:cs="Times New Roman"/>
          <w:kern w:val="0"/>
          <w:sz w:val="24"/>
          <w:szCs w:val="24"/>
          <w:lang w:val="en-US"/>
          <w14:ligatures w14:val="none"/>
        </w:rPr>
        <w:br w:type="page"/>
      </w:r>
    </w:p>
    <w:p w14:paraId="76A179D6" w14:textId="77777777" w:rsidR="00ED32E6" w:rsidRPr="00ED32E6" w:rsidRDefault="00ED32E6" w:rsidP="00ED32E6">
      <w:pPr>
        <w:keepNext/>
        <w:keepLines/>
        <w:spacing w:after="0" w:line="22" w:lineRule="atLeast"/>
        <w:outlineLvl w:val="0"/>
        <w:rPr>
          <w:rFonts w:ascii="Calibri" w:eastAsia="MS Gothic" w:hAnsi="Calibri" w:cs="Times New Roman"/>
          <w:b/>
          <w:bCs/>
          <w:color w:val="365F91"/>
          <w:kern w:val="0"/>
          <w:szCs w:val="28"/>
          <w:lang w:val="en-US"/>
          <w14:ligatures w14:val="none"/>
        </w:rPr>
      </w:pPr>
      <w:r w:rsidRPr="00ED32E6">
        <w:rPr>
          <w:rFonts w:ascii="Calibri" w:eastAsia="MS Gothic" w:hAnsi="Calibri" w:cs="Times New Roman"/>
          <w:b/>
          <w:bCs/>
          <w:color w:val="365F91"/>
          <w:kern w:val="0"/>
          <w:szCs w:val="28"/>
          <w:lang w:val="en-US"/>
          <w14:ligatures w14:val="none"/>
        </w:rPr>
        <w:t>Conclusion</w:t>
      </w:r>
    </w:p>
    <w:p w14:paraId="2BCBFD0E" w14:textId="77777777" w:rsidR="00ED32E6" w:rsidRPr="00ED32E6" w:rsidRDefault="00ED32E6" w:rsidP="00ED32E6">
      <w:pPr>
        <w:spacing w:after="0" w:line="22" w:lineRule="atLeast"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proofErr w:type="spellStart"/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t>Visium’s</w:t>
      </w:r>
      <w:proofErr w:type="spellEnd"/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t xml:space="preserve"> TruContext solution offers a secure, scalable, and modular framework for Peru to lead in digital governance and smart city development. With real-time insights, AI-driven intelligence, and national coordination capabilities, this platform will fortify Peru’s infrastructure and support long-term strategic objectives.</w:t>
      </w:r>
    </w:p>
    <w:p w14:paraId="4BB7D4BB" w14:textId="77777777" w:rsidR="00ED32E6" w:rsidRPr="00ED32E6" w:rsidRDefault="00ED32E6" w:rsidP="00ED32E6">
      <w:pPr>
        <w:spacing w:after="0" w:line="22" w:lineRule="atLeast"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</w:p>
    <w:p w14:paraId="6668F12F" w14:textId="77777777" w:rsidR="00ED32E6" w:rsidRPr="00ED32E6" w:rsidRDefault="00ED32E6" w:rsidP="00ED32E6">
      <w:pPr>
        <w:keepNext/>
        <w:keepLines/>
        <w:spacing w:after="0" w:line="22" w:lineRule="atLeast"/>
        <w:outlineLvl w:val="0"/>
        <w:rPr>
          <w:rFonts w:ascii="Calibri" w:eastAsia="MS Gothic" w:hAnsi="Calibri" w:cs="Times New Roman"/>
          <w:b/>
          <w:bCs/>
          <w:color w:val="365F91"/>
          <w:kern w:val="0"/>
          <w:szCs w:val="28"/>
          <w:lang w:val="en-US"/>
          <w14:ligatures w14:val="none"/>
        </w:rPr>
      </w:pPr>
      <w:r w:rsidRPr="00ED32E6">
        <w:rPr>
          <w:rFonts w:ascii="Calibri" w:eastAsia="MS Gothic" w:hAnsi="Calibri" w:cs="Times New Roman"/>
          <w:b/>
          <w:bCs/>
          <w:color w:val="365F91"/>
          <w:kern w:val="0"/>
          <w:szCs w:val="28"/>
          <w:lang w:val="en-US"/>
          <w14:ligatures w14:val="none"/>
        </w:rPr>
        <w:t>Contact Information</w:t>
      </w:r>
    </w:p>
    <w:p w14:paraId="62F97D73" w14:textId="77777777" w:rsidR="00ED32E6" w:rsidRPr="00ED32E6" w:rsidRDefault="00ED32E6" w:rsidP="00ED32E6">
      <w:pPr>
        <w:spacing w:after="0" w:line="22" w:lineRule="atLeast"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t>Visium Technologies, Inc.</w:t>
      </w: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br/>
        <w:t>Website: www.visiumtechnologies.com</w:t>
      </w: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br/>
        <w:t>Contact Person: Mark Lucky</w:t>
      </w: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br/>
        <w:t>Email: Info@visiumtechnologies.com</w:t>
      </w:r>
      <w:r w:rsidRPr="00ED32E6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br/>
        <w:t>Phone: (703) 400-6392</w:t>
      </w:r>
    </w:p>
    <w:p w14:paraId="47741573" w14:textId="77777777" w:rsidR="00F12C76" w:rsidRPr="00ED32E6" w:rsidRDefault="00F12C76" w:rsidP="00ED32E6"/>
    <w:sectPr w:rsidR="00F12C76" w:rsidRPr="00ED32E6" w:rsidSect="00ED32E6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EE"/>
    <w:rsid w:val="00530BD7"/>
    <w:rsid w:val="006763EE"/>
    <w:rsid w:val="006C0B77"/>
    <w:rsid w:val="008242FF"/>
    <w:rsid w:val="00870751"/>
    <w:rsid w:val="00922C48"/>
    <w:rsid w:val="00AB674F"/>
    <w:rsid w:val="00B915B7"/>
    <w:rsid w:val="00EA59DF"/>
    <w:rsid w:val="00ED32E6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B87CF-A0ED-41B0-8C0E-BD90A4B2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3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3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3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3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3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3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3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3E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3E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3E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3EE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3E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3E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3E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3E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63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3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3EE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676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3E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3E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3E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6763E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Noble</dc:creator>
  <cp:keywords/>
  <dc:description/>
  <cp:lastModifiedBy>Ian Noble</cp:lastModifiedBy>
  <cp:revision>2</cp:revision>
  <dcterms:created xsi:type="dcterms:W3CDTF">2025-08-02T04:10:00Z</dcterms:created>
  <dcterms:modified xsi:type="dcterms:W3CDTF">2025-08-02T04:11:00Z</dcterms:modified>
</cp:coreProperties>
</file>