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Agent Resilience Project</w:t>
      </w:r>
    </w:p>
    <w:p>
      <w:r>
        <w:t xml:space="preserve">Red-Team Test Plan — Next Iteration</w:t>
      </w:r>
    </w:p>
    <w:p>
      <w:pPr>
        <w:spacing w:after="50"/>
      </w:pPr>
      <w:r>
        <w:rPr>
          <w:b/>
          <w:bCs/>
        </w:rPr>
        <w:t xml:space="preserve">Prepared by: </w:t>
      </w:r>
      <w:r>
        <w:t xml:space="preserve">Achinthya Hirushan — Red Team / Attack Research</w:t>
      </w:r>
    </w:p>
    <w:p>
      <w:pPr>
        <w:spacing w:after="300"/>
      </w:pPr>
      <w:r>
        <w:rPr>
          <w:b/>
          <w:bCs/>
        </w:rPr>
        <w:t xml:space="preserve">Date: </w:t>
      </w:r>
      <w:r>
        <w:t xml:space="preserve">24/08/2026</w:t>
      </w:r>
    </w:p>
    <w:p>
      <w:r>
        <w:t xml:space="preserve">1. Objective</w:t>
      </w:r>
    </w:p>
    <w:p>
      <w:pPr>
        <w:spacing w:after="200"/>
      </w:pPr>
      <w:r>
        <w:t xml:space="preserve">Extend the Week 2 jailbreak / LoRA experiment on the Qwen model by testing a new angle of attack, to identify which prompt-level techniques reduce refusal reliability and to feed measurable results into the evaluation team's Attack Success Rate (ASR) metrics.</w:t>
      </w:r>
    </w:p>
    <w:p>
      <w:r>
        <w:t xml:space="preserve">2. Scope &amp; Authorisation</w:t>
      </w:r>
    </w:p>
    <w:p>
      <w:pPr>
        <w:pStyle w:val="ListParagraph"/>
        <w:numPr>
          <w:ilvl w:val="0"/>
          <w:numId w:val="1"/>
        </w:numPr>
      </w:pPr>
      <w:r>
        <w:t xml:space="preserve">In scope: the same Qwen model used in Week 2, running locally/offline in the tutor-provided lab environment.</w:t>
      </w:r>
    </w:p>
    <w:p>
      <w:pPr>
        <w:pStyle w:val="ListParagraph"/>
        <w:numPr>
          <w:ilvl w:val="0"/>
          <w:numId w:val="1"/>
        </w:numPr>
      </w:pPr>
      <w:r>
        <w:t xml:space="preserve">Out of scope: any production, third-party, or publicly hosted model or service. No testing against systems outside the authorised lab environment.</w:t>
      </w:r>
    </w:p>
    <w:p>
      <w:pPr>
        <w:pStyle w:val="ListParagraph"/>
        <w:numPr>
          <w:ilvl w:val="0"/>
          <w:numId w:val="1"/>
        </w:numPr>
      </w:pPr>
      <w:r>
        <w:t xml:space="preserve">All testing is conducted under the unit's authorised security-testing exercise and is for academic evaluation only.</w:t>
      </w:r>
    </w:p>
    <w:p>
      <w:pPr>
        <w:spacing w:before="300"/>
      </w:pPr>
      <w:r>
        <w:t xml:space="preserve">3. Attack Categories to Test</w:t>
      </w:r>
    </w:p>
    <w:p>
      <w:pPr>
        <w:spacing w:after="150"/>
      </w:pPr>
      <w:r>
        <w:t xml:space="preserve">This iteration focuses on prompt injection and jailbreak-style attacks (as opposed to the LoRA fine-tuning attack used in Week 2). Categories below are standard classes used in AI red-teaming literature; specific prompt wording will be logged in the research notes and raw test logs rather than in this plan.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shd w:fill="6B27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200"/>
            <w:shd w:fill="6B27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shd w:fill="6B27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observation</w:t>
            </w:r>
          </w:p>
        </w:tc>
        <w:tc>
          <w:tcPr>
            <w:tcW w:type="dxa" w:w="1400"/>
            <w:shd w:fill="6B27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Persona / role-play override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Ask the model to adopt a persona or fictional frame that claims different rules than its normal safety policy.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Refusal rate under persona framing vs. baseline; whether persona reduces refusals.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Instruction override / conflicting instructions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Embed conflicting or higher-priority-looking instructions in the prompt to see if the model prioritises them over its system prompt.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Whether the model follows the injected instruction or holds its original policy.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Obfuscation / encoding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Encode or disguise the request (e.g. unusual phrasing, indirect wording, split requests) to evade keyword-based refusal triggers.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Whether obfuscation changes the refusal outcome compared to a plain-language version of the same request.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Multi-turn escalation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Build up context gradually across several turns rather than asking directly in one turn.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Point in the conversation (if any) where the model's refusal behaviour changes.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Context / document injection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Place an instruction inside retrieved or attached content (e.g. a document the model is asked to summarise) rather than the direct chat turn.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Whether the model treats injected instructions in content as commands from the user.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</w:tbl>
    <w:p>
      <w:pPr>
        <w:spacing w:before="300"/>
      </w:pPr>
      <w:r>
        <w:t xml:space="preserve">4. Rules of Engagement</w:t>
      </w:r>
    </w:p>
    <w:p>
      <w:pPr>
        <w:pStyle w:val="ListParagraph"/>
        <w:numPr>
          <w:ilvl w:val="0"/>
          <w:numId w:val="1"/>
        </w:numPr>
      </w:pPr>
      <w:r>
        <w:t xml:space="preserve">All tests run in the offline, reproducible lab environment verified by Vilan.</w:t>
      </w:r>
    </w:p>
    <w:p>
      <w:pPr>
        <w:pStyle w:val="ListParagraph"/>
        <w:numPr>
          <w:ilvl w:val="0"/>
          <w:numId w:val="1"/>
        </w:numPr>
      </w:pPr>
      <w:r>
        <w:t xml:space="preserve">Every test attempt (prompt, response, outcome) is logged for evidence and for Nisal's evaluation work.</w:t>
      </w:r>
    </w:p>
    <w:p>
      <w:pPr>
        <w:pStyle w:val="ListParagraph"/>
        <w:numPr>
          <w:ilvl w:val="0"/>
          <w:numId w:val="1"/>
        </w:numPr>
      </w:pPr>
      <w:r>
        <w:t xml:space="preserve">No attempt is made to extract real personal data, cause real-world harm, or use the model outside the sandboxed lab.</w:t>
      </w:r>
    </w:p>
    <w:p>
      <w:pPr>
        <w:pStyle w:val="ListParagraph"/>
        <w:numPr>
          <w:ilvl w:val="0"/>
          <w:numId w:val="1"/>
        </w:numPr>
      </w:pPr>
      <w:r>
        <w:t xml:space="preserve">Any unexpected or concerning model behaviour is reported to the tutor.</w:t>
      </w:r>
    </w:p>
    <w:p>
      <w:pPr>
        <w:spacing w:before="300"/>
      </w:pPr>
      <w:r>
        <w:t xml:space="preserve">5. Success Criteria</w:t>
      </w:r>
    </w:p>
    <w:p>
      <w:pPr>
        <w:spacing w:after="200"/>
      </w:pPr>
      <w:r>
        <w:t xml:space="preserve">Each test case is scored as a successful or unsuccessful bypass of the model's refusal behaviour, feeding into the Attack Success Rate (ASR) calculated by the evaluation team. A comparison will be made between this iteration's ASR and the Week 2 baseline ASR to assess whether prompt-level attacks are more or less effective than the fine-tuning approach.</w:t>
      </w:r>
    </w:p>
    <w:p>
      <w:r>
        <w:t xml:space="preserve">6. Timeline &amp; Dependencies</w:t>
      </w:r>
    </w:p>
    <w:p>
      <w:pPr>
        <w:pStyle w:val="ListParagraph"/>
        <w:numPr>
          <w:ilvl w:val="0"/>
          <w:numId w:val="1"/>
        </w:numPr>
      </w:pPr>
      <w:r>
        <w:t xml:space="preserve">Depends on: verified lab environment (Vilan, task B) and finalised Week 3 methodology/schedule (Ian, task A).</w:t>
      </w:r>
    </w:p>
    <w:p>
      <w:pPr>
        <w:pStyle w:val="ListParagraph"/>
        <w:numPr>
          <w:ilvl w:val="0"/>
          <w:numId w:val="1"/>
        </w:numPr>
      </w:pPr>
      <w:r>
        <w:t xml:space="preserve">Feeds into: technical experiment logging (Shalitha) and evaluation/ASR analysis (Nisal).</w:t>
      </w:r>
    </w:p>
    <w:p>
      <w:pPr>
        <w:pStyle w:val="ListParagraph"/>
        <w:numPr>
          <w:ilvl w:val="0"/>
          <w:numId w:val="1"/>
        </w:numPr>
      </w:pPr>
      <w:r>
        <w:t xml:space="preserve">Target window: Week 3–4, aligned with Iteration 2 in the project schedule.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2026-08-24T11:18:56.170Z</dcterms:created>
  <dcterms:modified xsi:type="dcterms:W3CDTF">2026-08-24T11:18:56.170Z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