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 Resilience Project</w:t>
      </w:r>
    </w:p>
    <w:p>
      <w:r>
        <w:t xml:space="preserve">Research Notes — Jailbreak &amp; Prompt Injection Background</w:t>
      </w:r>
    </w:p>
    <w:p>
      <w:pPr>
        <w:spacing w:after="50"/>
      </w:pPr>
      <w:r>
        <w:rPr>
          <w:b/>
          <w:bCs/>
        </w:rPr>
        <w:t xml:space="preserve">Prepared by: </w:t>
      </w:r>
      <w:r>
        <w:t xml:space="preserve">Achinthya Hirushan — Red Team / Attack Research</w:t>
      </w:r>
    </w:p>
    <w:p>
      <w:pPr>
        <w:spacing w:after="300"/>
      </w:pPr>
      <w:r>
        <w:rPr>
          <w:b/>
          <w:bCs/>
        </w:rPr>
        <w:t xml:space="preserve">Date: </w:t>
      </w:r>
      <w:r>
        <w:t xml:space="preserve">24/08/2026</w:t>
      </w:r>
    </w:p>
    <w:p>
      <w:r>
        <w:t xml:space="preserve">1. Purpose</w:t>
      </w:r>
    </w:p>
    <w:p>
      <w:pPr>
        <w:spacing w:after="200"/>
      </w:pPr>
      <w:r>
        <w:t xml:space="preserve">This note summarises the general attack categories the red-team plan is built on, so the rest of the team understands the reasoning behind the next iteration's test design. Detailed academic references should be added here as the literature review progresses.</w:t>
      </w:r>
    </w:p>
    <w:p>
      <w:r>
        <w:t xml:space="preserve">2. Background</w:t>
      </w:r>
    </w:p>
    <w:p>
      <w:pPr>
        <w:spacing w:after="200"/>
      </w:pPr>
      <w:r>
        <w:t xml:space="preserve">Large language models are typically trained to refuse certain categories of request. Jailbreak and prompt-injection research studies ways that a model's refusal behaviour can be weakened or bypassed purely through how a prompt (or surrounding content) is worded or structured, without changing the model's underlying weights. This is distinct from the Week 2 approach, which modified model behaviour directly through LoRA fine-tuning.</w:t>
      </w:r>
    </w:p>
    <w:p>
      <w:r>
        <w:t xml:space="preserve">3. Attack Category Notes</w:t>
      </w:r>
    </w:p>
    <w:p>
      <w:pPr>
        <w:spacing w:after="100"/>
      </w:pPr>
      <w:r>
        <w:rPr>
          <w:b/>
          <w:bCs/>
        </w:rPr>
        <w:t xml:space="preserve">Persona / role-play framing: </w:t>
      </w:r>
      <w:r>
        <w:t xml:space="preserve">asking the model to respond 'in character' as an entity without the usual restrictions. Documented in prior AI-safety literature as one of the more common jailbreak patterns.</w:t>
      </w:r>
    </w:p>
    <w:p>
      <w:pPr>
        <w:spacing w:after="100"/>
      </w:pPr>
      <w:r>
        <w:rPr>
          <w:b/>
          <w:bCs/>
        </w:rPr>
        <w:t xml:space="preserve">Instruction override: </w:t>
      </w:r>
      <w:r>
        <w:t xml:space="preserve">presenting text that looks like a higher-priority system instruction to see whether the model treats it as overriding its original policy.</w:t>
      </w:r>
    </w:p>
    <w:p>
      <w:pPr>
        <w:spacing w:after="100"/>
      </w:pPr>
      <w:r>
        <w:rPr>
          <w:b/>
          <w:bCs/>
        </w:rPr>
        <w:t xml:space="preserve">Obfuscation: </w:t>
      </w:r>
      <w:r>
        <w:t xml:space="preserve">rewording, splitting, or otherwise disguising a request to avoid simple keyword-based safety filters.</w:t>
      </w:r>
    </w:p>
    <w:p>
      <w:pPr>
        <w:spacing w:after="100"/>
      </w:pPr>
      <w:r>
        <w:rPr>
          <w:b/>
          <w:bCs/>
        </w:rPr>
        <w:t xml:space="preserve">Multi-turn escalation: </w:t>
      </w:r>
      <w:r>
        <w:t xml:space="preserve">building context gradually over several conversational turns rather than making a direct request, which can shift a model's behaviour over the course of a conversation.</w:t>
      </w:r>
    </w:p>
    <w:p>
      <w:pPr>
        <w:spacing w:after="200"/>
      </w:pPr>
      <w:r>
        <w:rPr>
          <w:b/>
          <w:bCs/>
        </w:rPr>
        <w:t xml:space="preserve">Context/document injection: </w:t>
      </w:r>
      <w:r>
        <w:t xml:space="preserve">placing instructions inside content the model is asked to process (e.g. a document to summarise), rather than in the direct user turn, which is relevant to how agentic systems consume external data.</w:t>
      </w:r>
    </w:p>
    <w:p>
      <w:r>
        <w:t xml:space="preserve">4. Relevance to This Project</w:t>
      </w:r>
    </w:p>
    <w:p>
      <w:pPr>
        <w:spacing w:after="200"/>
      </w:pPr>
      <w:r>
        <w:t xml:space="preserve">Testing these categories against the same Qwen model used in Week 2 will let the team compare how effective prompt-level attacks are relative to the fine-tuning-based attack, and will give the evaluation team (Nisal) a second data set to calculate and compare Attack Success Rate across attack types.</w:t>
      </w:r>
    </w:p>
    <w:p>
      <w:r>
        <w:t xml:space="preserve">5. To Do / Open Questions</w:t>
      </w:r>
    </w:p>
    <w:p>
      <w:pPr>
        <w:pStyle w:val="ListParagraph"/>
        <w:numPr>
          <w:ilvl w:val="0"/>
          <w:numId w:val="1"/>
        </w:numPr>
      </w:pPr>
      <w:r>
        <w:t xml:space="preserve">Add specific academic sources once the literature review is finalised (cite properly — do not copy text directly from papers).</w:t>
      </w:r>
    </w:p>
    <w:p>
      <w:pPr>
        <w:pStyle w:val="ListParagraph"/>
        <w:numPr>
          <w:ilvl w:val="0"/>
          <w:numId w:val="1"/>
        </w:numPr>
      </w:pPr>
      <w:r>
        <w:t xml:space="preserve">Confirm with the tutor which categories, if any, are out of bounds for this cohort's authorised testing.</w:t>
      </w:r>
    </w:p>
    <w:p>
      <w:pPr>
        <w:pStyle w:val="ListParagraph"/>
        <w:numPr>
          <w:ilvl w:val="0"/>
          <w:numId w:val="1"/>
        </w:numPr>
      </w:pPr>
      <w:r>
        <w:t xml:space="preserve">Decide how many test prompts per category are needed for a statistically meaningful ASR comparison.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2026-08-24T11:19:15.897Z</dcterms:created>
  <dcterms:modified xsi:type="dcterms:W3CDTF">2026-08-24T11:19:15.897Z</dcterms:modified>
</cp:coreProperties>
</file>

<file path=docProps/custom.xml><?xml version="1.0" encoding="utf-8"?>
<Properties xmlns="http://schemas.openxmlformats.org/officeDocument/2006/custom-properties" xmlns:vt="http://schemas.openxmlformats.org/officeDocument/2006/docPropsVTypes"/>
</file>