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网络模块</w:t>
      </w:r>
    </w:p>
    <w:p>
      <w:pPr>
        <w:pStyle w:val="3"/>
      </w:pPr>
      <w:r>
        <w:t>网络模型</w:t>
      </w:r>
    </w:p>
    <w:p>
      <w:pPr>
        <w:pStyle w:val="4"/>
      </w:pPr>
      <w:r>
        <w:t>多线程</w:t>
      </w:r>
    </w:p>
    <w:p>
      <w:pPr>
        <w:pStyle w:val="5"/>
      </w:pPr>
      <w:r>
        <w:t>监听线程</w:t>
      </w:r>
    </w:p>
    <w:p>
      <w:pPr>
        <w:pStyle w:val="5"/>
      </w:pPr>
      <w:r>
        <w:t>工作线程</w:t>
      </w:r>
    </w:p>
    <w:p>
      <w:pPr>
        <w:pStyle w:val="4"/>
      </w:pPr>
      <w:r>
        <w:t>非阻塞IO复用</w:t>
      </w:r>
    </w:p>
    <w:p>
      <w:pPr>
        <w:pStyle w:val="3"/>
      </w:pPr>
      <w:r>
        <w:t>使用libevent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76D7E5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2018-04-07T17:49:25Z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