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"https://blog.csdn.net/zsm653983/article/details/8129024"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https://blog.csdn.net/zsm653983/article/details/8129024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</w:pPr>
      <w:r>
        <w:t>IOC</w:t>
      </w:r>
    </w:p>
    <w:p>
      <w:pPr>
        <w:pStyle w:val="3"/>
      </w:pPr>
      <w:r>
        <w:t>IOC容器设计原理及高级特性</w:t>
      </w:r>
    </w:p>
    <w:p>
      <w:pPr>
        <w:pStyle w:val="2"/>
      </w:pPr>
      <w:r>
        <w:t>AOP</w:t>
      </w:r>
    </w:p>
    <w:p>
      <w:pPr>
        <w:pStyle w:val="3"/>
      </w:pPr>
      <w:r>
        <w:t>AOP设计原理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2"/>
      </w:pPr>
      <w:r>
        <w:t>Spring事务</w:t>
      </w:r>
    </w:p>
    <w:p>
      <w:pPr>
        <w:pStyle w:val="3"/>
      </w:pPr>
      <w:r>
        <w:t>Spring事务处理机制</w:t>
      </w:r>
    </w:p>
    <w:p>
      <w:pPr>
        <w:pStyle w:val="2"/>
      </w:pPr>
      <w:r>
        <w:t>Spring 5新特性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177CE31"/>
    <w:rsid w:val="6FFB23F6"/>
    <w:rsid w:val="71FF5DC4"/>
    <w:rsid w:val="765F6C30"/>
    <w:rsid w:val="79D8CF48"/>
    <w:rsid w:val="7A357854"/>
    <w:rsid w:val="7EBFE563"/>
    <w:rsid w:val="AEFE8609"/>
    <w:rsid w:val="BFF7DBF6"/>
    <w:rsid w:val="DCF35885"/>
    <w:rsid w:val="DF7D09E9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2018-03-29T03:26:00Z</dcterms:created>
  <dc:creator>tg_wfwt</dc:creator>
  <cp:lastModifiedBy>tg_wfwt</cp:lastModifiedBy>
  <dcterms:modified xsi:type="dcterms:W3CDTF">2018-04-03T20:40:24Z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