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27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You should now read more about your position in the</w:t>
      </w:r>
      <w:r>
        <w:t xml:space="preserve"> </w:t>
      </w:r>
      <w:hyperlink r:id="rId26">
        <w:r>
          <w:rPr>
            <w:rStyle w:val="Hyperlink"/>
          </w:rPr>
          <w:t xml:space="preserve">UCA starting guide</w:t>
        </w:r>
      </w:hyperlink>
      <w:r>
        <w:t xml:space="preserve">!</w:t>
      </w:r>
    </w:p>
    <w:bookmarkEnd w:id="27"/>
    <w:bookmarkStart w:id="30" w:name="what-is-the-difference-with-a-ura"/>
    <w:p>
      <w:pPr>
        <w:pStyle w:val="Heading1"/>
      </w:pPr>
      <w:r>
        <w:t xml:space="preserve">What Is the Difference With a URA?</w:t>
      </w:r>
    </w:p>
    <w:p>
      <w:pPr>
        <w:pStyle w:val="FirstParagraph"/>
      </w:pPr>
      <w:r>
        <w:t xml:space="preserve">Undegraduate</w:t>
      </w:r>
      <w: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Assistants (or</w:t>
      </w:r>
      <w:r>
        <w:t xml:space="preserve"> </w:t>
      </w:r>
      <w:r>
        <w:t xml:space="preserve">“</w:t>
      </w:r>
      <w:r>
        <w:t xml:space="preserve">URAs</w:t>
      </w:r>
      <w:r>
        <w:t xml:space="preserve">”</w:t>
      </w:r>
      <w:r>
        <w:t xml:space="preserve">) share many similarities with UCAs:</w:t>
      </w:r>
    </w:p>
    <w:p>
      <w:pPr>
        <w:numPr>
          <w:ilvl w:val="0"/>
          <w:numId w:val="1006"/>
        </w:numPr>
        <w:pStyle w:val="Compact"/>
      </w:pPr>
      <w:r>
        <w:t xml:space="preserve">They both are students employed by the University,</w:t>
      </w:r>
    </w:p>
    <w:p>
      <w:pPr>
        <w:numPr>
          <w:ilvl w:val="0"/>
          <w:numId w:val="1006"/>
        </w:numPr>
        <w:pStyle w:val="Compact"/>
      </w:pPr>
      <w:r>
        <w:t xml:space="preserve">They both have a maximum of 25 hours/week,</w:t>
      </w:r>
    </w:p>
    <w:p>
      <w:pPr>
        <w:numPr>
          <w:ilvl w:val="0"/>
          <w:numId w:val="1006"/>
        </w:numPr>
        <w:pStyle w:val="Compact"/>
      </w:pPr>
      <w:r>
        <w:t xml:space="preserve">Their pay rates are the same,</w:t>
      </w:r>
    </w:p>
    <w:p>
      <w:pPr>
        <w:numPr>
          <w:ilvl w:val="0"/>
          <w:numId w:val="1006"/>
        </w:numPr>
        <w:pStyle w:val="Compact"/>
      </w:pPr>
      <w:r>
        <w:t xml:space="preserve">They both work under the direction of a</w:t>
      </w:r>
      <w:r>
        <w:t xml:space="preserve"> </w:t>
      </w:r>
      <w:hyperlink r:id="rId28">
        <w:r>
          <w:rPr>
            <w:rStyle w:val="Hyperlink"/>
          </w:rPr>
          <w:t xml:space="preserve">Faculty member</w:t>
        </w:r>
      </w:hyperlink>
      <w:r>
        <w:t xml:space="preserve">.</w:t>
      </w:r>
    </w:p>
    <w:p>
      <w:pPr>
        <w:pStyle w:val="FirstParagraph"/>
      </w:pPr>
      <w:r>
        <w:t xml:space="preserve">However, their focus is on working on</w:t>
      </w:r>
      <w:r>
        <w:t xml:space="preserve"> </w:t>
      </w:r>
      <w:hyperlink r:id="rId29">
        <w:r>
          <w:rPr>
            <w:rStyle w:val="Hyperlink"/>
            <w:iCs/>
            <w:i/>
          </w:rPr>
          <w:t xml:space="preserve">research</w:t>
        </w:r>
      </w:hyperlink>
      <w:r>
        <w:t xml:space="preserve"> </w:t>
      </w:r>
      <w:r>
        <w:t xml:space="preserve">instead of being focused on teaching.</w:t>
      </w:r>
      <w:r>
        <w:t xml:space="preserve"> </w:t>
      </w:r>
      <w:r>
        <w:t xml:space="preserve">The difference is sometimes tenuous, but URAs positions are generally given in priority to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students (that is, close to graduation), to use their gained knowledge to push further the limits of human knowledge!</w:t>
      </w:r>
    </w:p>
    <w:p>
      <w:pPr>
        <w:pStyle w:val="BodyText"/>
      </w:pPr>
      <w:r>
        <w:t xml:space="preserve">It is not possible to cumulate an URA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an UCA position, but obtaining an UCA position is in general an excellent stepping stone to obtain a URA position, if you wish to do so: by proving that you are reliable, serious, agreeable to work with, you will maximize your chances of having a Faculty member notice you and offer you to work on their research with them.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2023-01-17T20:24:29Z</dcterms:created>
  <dcterms:modified xsi:type="dcterms:W3CDTF">2023-01-17T20:24:29Z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