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eastAsia="Aptos"/>
        </w:rPr>
        <w:t>Currency-risk sharing between South Africa</w:t>
        <w:br/>
        <w:t>National Treasury and the SARB</w:t>
      </w:r>
    </w:p>
    <w:p>
      <w:pPr>
        <w:jc w:val="center"/>
      </w:pPr>
      <w:r>
        <w:rPr>
          <w:rFonts w:ascii="Aptos" w:hAnsi="Aptos" w:eastAsia="Aptos"/>
          <w:i/>
          <w:color w:val="595959"/>
          <w:sz w:val="22"/>
        </w:rPr>
        <w:t>Research note on the Gold and Foreign Exchange Contingency Reserve Account (GFECRA)</w:t>
      </w:r>
    </w:p>
    <w:p>
      <w:pPr>
        <w:jc w:val="center"/>
      </w:pPr>
      <w:r>
        <w:rPr>
          <w:rFonts w:ascii="Aptos" w:hAnsi="Aptos" w:eastAsia="Aptos"/>
          <w:color w:val="595959"/>
          <w:sz w:val="18"/>
        </w:rPr>
        <w:t>Prepared: 21 May 2026</w:t>
      </w:r>
    </w:p>
    <w:p>
      <w:pPr>
        <w:pStyle w:val="Heading1"/>
      </w:pPr>
      <w:r>
        <w:rPr>
          <w:rFonts w:ascii="Aptos" w:hAnsi="Aptos" w:eastAsia="Aptos"/>
        </w:rPr>
        <w:t>Executive summary</w:t>
      </w:r>
    </w:p>
    <w:p>
      <w:r>
        <w:rPr>
          <w:rFonts w:ascii="Aptos" w:hAnsi="Aptos" w:eastAsia="Aptos"/>
          <w:b w:val="0"/>
        </w:rPr>
        <w:t xml:space="preserve">The useful search term is not usually "currency risk sharing" but </w:t>
      </w:r>
      <w:r>
        <w:rPr>
          <w:rFonts w:ascii="Aptos" w:hAnsi="Aptos" w:eastAsia="Aptos"/>
          <w:b/>
        </w:rPr>
        <w:t>GFECRA</w:t>
      </w:r>
      <w:r>
        <w:rPr>
          <w:rFonts w:ascii="Aptos" w:hAnsi="Aptos" w:eastAsia="Aptos"/>
        </w:rPr>
        <w:t>: the Gold and Foreign Exchange Contingency Reserve Account. This is the statutory and contractual mechanism through which rand valuation gains and losses on gold, foreign exchange, and forward exchange positions are transferred to an account managed by the South African Reserve Bank (SARB) on behalf of National Treasury.</w:t>
      </w:r>
    </w:p>
    <w:p>
      <w:pPr>
        <w:pStyle w:val="ListBullet"/>
      </w:pPr>
      <w:r>
        <w:rPr>
          <w:rFonts w:ascii="Aptos" w:hAnsi="Aptos" w:eastAsia="Aptos"/>
          <w:b/>
        </w:rPr>
        <w:t>Legal basis:</w:t>
      </w:r>
      <w:r>
        <w:rPr>
          <w:rFonts w:ascii="Aptos" w:hAnsi="Aptos" w:eastAsia="Aptos"/>
        </w:rPr>
        <w:t xml:space="preserve"> Section 28 of the South African Reserve Bank Act provides that credit/debit balances on the gold price, foreign exchange, and forward exchange adjustment accounts are transferred to GFECRA, managed by SARB on behalf of Treasury.</w:t>
      </w:r>
    </w:p>
    <w:p>
      <w:pPr>
        <w:pStyle w:val="ListBullet"/>
      </w:pPr>
      <w:r>
        <w:rPr>
          <w:rFonts w:ascii="Aptos" w:hAnsi="Aptos" w:eastAsia="Aptos"/>
          <w:b/>
        </w:rPr>
        <w:t>Risk-sharing interpretation:</w:t>
      </w:r>
      <w:r>
        <w:rPr>
          <w:rFonts w:ascii="Aptos" w:hAnsi="Aptos" w:eastAsia="Aptos"/>
        </w:rPr>
        <w:t xml:space="preserve"> the government/National Treasury carries the valuation gains and losses from the SARB gold and foreign-exchange reserve position, while SARB manages reserves and monetary operations subject to solvency and reserve-adequacy safeguards.</w:t>
      </w:r>
    </w:p>
    <w:p>
      <w:pPr>
        <w:pStyle w:val="ListBullet"/>
      </w:pPr>
      <w:r>
        <w:rPr>
          <w:rFonts w:ascii="Aptos" w:hAnsi="Aptos" w:eastAsia="Aptos"/>
          <w:b/>
        </w:rPr>
        <w:t>2006 settlement practice:</w:t>
      </w:r>
      <w:r>
        <w:rPr>
          <w:rFonts w:ascii="Aptos" w:hAnsi="Aptos" w:eastAsia="Aptos"/>
        </w:rPr>
        <w:t xml:space="preserve"> the IMF Transparency Code Review notes that the SARB Governor and Minister of Finance signed a 2006 settlement agreement under which balances are settled when agreed by the Minister and the Governor.</w:t>
      </w:r>
    </w:p>
    <w:p>
      <w:pPr>
        <w:pStyle w:val="ListBullet"/>
      </w:pPr>
      <w:r>
        <w:rPr>
          <w:rFonts w:ascii="Aptos" w:hAnsi="Aptos" w:eastAsia="Aptos"/>
          <w:b/>
        </w:rPr>
        <w:t>2024 reform:</w:t>
      </w:r>
      <w:r>
        <w:rPr>
          <w:rFonts w:ascii="Aptos" w:hAnsi="Aptos" w:eastAsia="Aptos"/>
        </w:rPr>
        <w:t xml:space="preserve"> SARB and National Treasury adopted a new settlement framework with a three-bucket/waterfall structure: a GFECRA buffer, a SARB contingency reserve, and National Treasury distributions.</w:t>
      </w:r>
    </w:p>
    <w:p>
      <w:pPr>
        <w:pStyle w:val="ListBullet"/>
      </w:pPr>
      <w:r>
        <w:rPr>
          <w:rFonts w:ascii="Aptos" w:hAnsi="Aptos" w:eastAsia="Aptos"/>
          <w:b/>
        </w:rPr>
        <w:t>Initial amounts:</w:t>
      </w:r>
      <w:r>
        <w:rPr>
          <w:rFonts w:ascii="Aptos" w:hAnsi="Aptos" w:eastAsia="Aptos"/>
        </w:rPr>
        <w:t xml:space="preserve"> National Treasury and SARB material describe a R250 billion distribution, of which R100 billion is for the SARB contingency reserve and R150 billion is paid to National Treasury in tranches to reduce borrowing.</w:t>
      </w:r>
    </w:p>
    <w:p>
      <w:pPr>
        <w:pStyle w:val="ListBullet"/>
      </w:pPr>
      <w:r>
        <w:rPr>
          <w:rFonts w:ascii="Aptos" w:hAnsi="Aptos" w:eastAsia="Aptos"/>
          <w:b/>
        </w:rPr>
        <w:t>IMF angle:</w:t>
      </w:r>
      <w:r>
        <w:rPr>
          <w:rFonts w:ascii="Aptos" w:hAnsi="Aptos" w:eastAsia="Aptos"/>
        </w:rPr>
        <w:t xml:space="preserve"> IMF technical assistance and surveillance material emphasizes policy solvency, balance-sheet stress testing, reserve adequacy, and the need for GFECRA distributions not to substitute for fiscal consolidation.</w:t>
      </w:r>
    </w:p>
    <w:p>
      <w:pPr>
        <w:pStyle w:val="Heading1"/>
      </w:pPr>
      <w:r>
        <w:rPr>
          <w:rFonts w:ascii="Aptos" w:hAnsi="Aptos" w:eastAsia="Aptos"/>
        </w:rPr>
        <w:t>Recommended reading order</w:t>
      </w:r>
    </w:p>
    <w:p>
      <w:pPr>
        <w:pStyle w:val="ListNumber"/>
      </w:pPr>
      <w:r>
        <w:rPr>
          <w:rFonts w:ascii="Aptos" w:hAnsi="Aptos" w:eastAsia="Aptos"/>
          <w:b/>
        </w:rPr>
        <w:t>Start with</w:t>
      </w:r>
      <w:r>
        <w:rPr>
          <w:rFonts w:ascii="Aptos" w:hAnsi="Aptos" w:eastAsia="Aptos"/>
        </w:rPr>
        <w:t xml:space="preserve"> SARB GFECRA explainer and GFECRA-related documents page to understand the official mechanism and to access the signed agreement.</w:t>
      </w:r>
    </w:p>
    <w:p>
      <w:pPr>
        <w:pStyle w:val="ListNumber"/>
      </w:pPr>
      <w:r>
        <w:rPr>
          <w:rFonts w:ascii="Aptos" w:hAnsi="Aptos" w:eastAsia="Aptos"/>
          <w:b/>
        </w:rPr>
        <w:t>Then read</w:t>
      </w:r>
      <w:r>
        <w:rPr>
          <w:rFonts w:ascii="Aptos" w:hAnsi="Aptos" w:eastAsia="Aptos"/>
        </w:rPr>
        <w:t xml:space="preserve"> National Treasury Budget Review 2024, Chapter 7, which explains the policy rationale, three buckets, and fiscal treatment.</w:t>
      </w:r>
    </w:p>
    <w:p>
      <w:pPr>
        <w:pStyle w:val="ListNumber"/>
      </w:pPr>
      <w:r>
        <w:rPr>
          <w:rFonts w:ascii="Aptos" w:hAnsi="Aptos" w:eastAsia="Aptos"/>
          <w:b/>
        </w:rPr>
        <w:t>Use IMF</w:t>
      </w:r>
      <w:r>
        <w:rPr>
          <w:rFonts w:ascii="Aptos" w:hAnsi="Aptos" w:eastAsia="Aptos"/>
        </w:rPr>
        <w:t xml:space="preserve"> 2024 Central Bank Transparency Code Review, Box 3, for a compact institutional description and transparency concerns.</w:t>
      </w:r>
    </w:p>
    <w:p>
      <w:pPr>
        <w:pStyle w:val="ListNumber"/>
      </w:pPr>
      <w:r>
        <w:rPr>
          <w:rFonts w:ascii="Aptos" w:hAnsi="Aptos" w:eastAsia="Aptos"/>
          <w:b/>
        </w:rPr>
        <w:t>Use IMF</w:t>
      </w:r>
      <w:r>
        <w:rPr>
          <w:rFonts w:ascii="Aptos" w:hAnsi="Aptos" w:eastAsia="Aptos"/>
        </w:rPr>
        <w:t xml:space="preserve"> 2025 Technical Assistance Report for balance-sheet stress testing, policy solvency, and risk-based buffer calibration.</w:t>
      </w:r>
    </w:p>
    <w:p>
      <w:pPr>
        <w:pStyle w:val="ListNumber"/>
      </w:pPr>
      <w:r>
        <w:rPr>
          <w:rFonts w:ascii="Aptos" w:hAnsi="Aptos" w:eastAsia="Aptos"/>
          <w:b/>
        </w:rPr>
        <w:t>Use the</w:t>
      </w:r>
      <w:r>
        <w:rPr>
          <w:rFonts w:ascii="Aptos" w:hAnsi="Aptos" w:eastAsia="Aptos"/>
        </w:rPr>
        <w:t xml:space="preserve"> SARB Act and 2024 Defrayal Amendment Act for legal references.</w:t>
      </w:r>
    </w:p>
    <w:p>
      <w:pPr>
        <w:pStyle w:val="Heading1"/>
      </w:pPr>
      <w:r>
        <w:rPr>
          <w:rFonts w:ascii="Aptos" w:hAnsi="Aptos" w:eastAsia="Aptos"/>
        </w:rPr>
        <w:t>Search terms to use</w:t>
      </w:r>
    </w:p>
    <w:p>
      <w:r>
        <w:rPr>
          <w:rFonts w:ascii="Aptos" w:hAnsi="Aptos" w:eastAsia="Aptos"/>
        </w:rPr>
        <w:t>These terms find better material than "currency risk sharing" alone:</w:t>
      </w:r>
    </w:p>
    <w:p>
      <w:pPr>
        <w:pStyle w:val="SearchTerm"/>
      </w:pPr>
      <w:r>
        <w:rPr>
          <w:rFonts w:ascii="Aptos" w:hAnsi="Aptos" w:eastAsia="Aptos"/>
        </w:rPr>
        <w:t>GFECRA SARB National Treasury</w:t>
      </w:r>
    </w:p>
    <w:p>
      <w:pPr>
        <w:pStyle w:val="SearchTerm"/>
      </w:pPr>
      <w:r>
        <w:rPr>
          <w:rFonts w:ascii="Aptos" w:hAnsi="Aptos" w:eastAsia="Aptos"/>
        </w:rPr>
        <w:t>Gold and Foreign Exchange Contingency Reserve Account</w:t>
      </w:r>
    </w:p>
    <w:p>
      <w:pPr>
        <w:pStyle w:val="SearchTerm"/>
      </w:pPr>
      <w:r>
        <w:rPr>
          <w:rFonts w:ascii="Aptos" w:hAnsi="Aptos" w:eastAsia="Aptos"/>
        </w:rPr>
        <w:t>GFECRA settlement agreement Minister of Finance Governor SARB</w:t>
      </w:r>
    </w:p>
    <w:p>
      <w:pPr>
        <w:pStyle w:val="SearchTerm"/>
      </w:pPr>
      <w:r>
        <w:rPr>
          <w:rFonts w:ascii="Aptos" w:hAnsi="Aptos" w:eastAsia="Aptos"/>
        </w:rPr>
        <w:t>SARB Act section 28 GFECRA</w:t>
      </w:r>
    </w:p>
    <w:p>
      <w:pPr>
        <w:pStyle w:val="SearchTerm"/>
      </w:pPr>
      <w:r>
        <w:rPr>
          <w:rFonts w:ascii="Aptos" w:hAnsi="Aptos" w:eastAsia="Aptos"/>
        </w:rPr>
        <w:t>GFECRA Defrayal Amendment Act 2024</w:t>
      </w:r>
    </w:p>
    <w:p>
      <w:pPr>
        <w:pStyle w:val="SearchTerm"/>
      </w:pPr>
      <w:r>
        <w:rPr>
          <w:rFonts w:ascii="Aptos" w:hAnsi="Aptos" w:eastAsia="Aptos"/>
        </w:rPr>
        <w:t>IMF South Africa GFECRA policy solvency</w:t>
      </w:r>
    </w:p>
    <w:p>
      <w:pPr>
        <w:pStyle w:val="SearchTerm"/>
      </w:pPr>
      <w:r>
        <w:rPr>
          <w:rFonts w:ascii="Aptos" w:hAnsi="Aptos" w:eastAsia="Aptos"/>
        </w:rPr>
        <w:t>SARB balance sheet stress testing GFECRA buffer IMF</w:t>
      </w:r>
    </w:p>
    <w:p>
      <w:pPr>
        <w:pStyle w:val="SearchTerm"/>
      </w:pPr>
      <w:r>
        <w:rPr>
          <w:rFonts w:ascii="Aptos" w:hAnsi="Aptos" w:eastAsia="Aptos"/>
        </w:rPr>
        <w:t>GFECRA waterfall three buckets contingency reserve National Treasury</w:t>
      </w:r>
    </w:p>
    <w:p>
      <w:pPr>
        <w:pStyle w:val="SearchTerm"/>
      </w:pPr>
      <w:r>
        <w:rPr>
          <w:rFonts w:ascii="Aptos" w:hAnsi="Aptos" w:eastAsia="Aptos"/>
        </w:rPr>
        <w:t>GFECRA rand appreciation shocks reserve adequacy</w:t>
      </w:r>
    </w:p>
    <w:p>
      <w:pPr>
        <w:pStyle w:val="SearchTerm"/>
      </w:pPr>
      <w:r>
        <w:rPr>
          <w:rFonts w:ascii="Aptos" w:hAnsi="Aptos" w:eastAsia="Aptos"/>
        </w:rPr>
        <w:t>GFECRA accounting National Revenue Fund return on investment</w:t>
      </w:r>
    </w:p>
    <w:p>
      <w:pPr>
        <w:pStyle w:val="SearchTerm"/>
      </w:pPr>
      <w:r>
        <w:rPr>
          <w:rFonts w:ascii="Aptos" w:hAnsi="Aptos" w:eastAsia="Aptos"/>
        </w:rPr>
        <w:t>foreign exchange revaluation account South Africa SARB government</w:t>
      </w:r>
    </w:p>
    <w:p>
      <w:pPr>
        <w:pStyle w:val="SearchTerm"/>
      </w:pPr>
      <w:r>
        <w:rPr>
          <w:rFonts w:ascii="Aptos" w:hAnsi="Aptos" w:eastAsia="Aptos"/>
        </w:rPr>
        <w:t>central bank policy solvency GFECRA SARB</w:t>
      </w:r>
    </w:p>
    <w:p>
      <w:pPr>
        <w:pStyle w:val="Heading1"/>
      </w:pPr>
      <w:r>
        <w:rPr>
          <w:rFonts w:ascii="Aptos" w:hAnsi="Aptos" w:eastAsia="Aptos"/>
        </w:rPr>
        <w:t>Source list and links</w:t>
      </w:r>
    </w:p>
    <w:p>
      <w:r>
        <w:rPr>
          <w:rFonts w:ascii="Aptos" w:hAnsi="Aptos" w:eastAsia="Aptos"/>
          <w:b/>
        </w:rPr>
        <w:t xml:space="preserve">Tip: </w:t>
      </w:r>
      <w:r>
        <w:rPr>
          <w:rFonts w:ascii="Aptos" w:hAnsi="Aptos" w:eastAsia="Aptos"/>
        </w:rPr>
        <w:t>All source titles below are clickable hyperlinks. The most relevant sources are grouped first.</w:t>
      </w:r>
    </w:p>
    <w:p>
      <w:pPr>
        <w:pStyle w:val="Heading2"/>
      </w:pPr>
      <w:r>
        <w:rPr>
          <w:rFonts w:ascii="Aptos" w:hAnsi="Aptos" w:eastAsia="Aptos"/>
        </w:rPr>
        <w:t>A. IMF sources</w:t>
      </w:r>
    </w:p>
    <w:p>
      <w:pPr>
        <w:pStyle w:val="SourceItem"/>
      </w:pPr>
      <w:hyperlink r:id="rId11">
        <w:r>
          <w:rPr>
            <w:color w:val="0563C1"/>
            <w:u w:val="single"/>
          </w:rPr>
          <w:t>IMF Technical Assistance Report (2025): Stress Testing the Central Bank Balance Sheet and Calibrating Risk-based Capital Buffers</w:t>
        </w:r>
      </w:hyperlink>
      <w:r>
        <w:rPr>
          <w:rFonts w:ascii="Aptos" w:hAnsi="Aptos" w:eastAsia="Aptos"/>
          <w:i/>
          <w:color w:val="595959"/>
        </w:rPr>
        <w:t xml:space="preserve"> [IMF]</w:t>
      </w:r>
    </w:p>
    <w:p>
      <w:pPr>
        <w:pStyle w:val="SourceDetail"/>
      </w:pPr>
      <w:r>
        <w:rPr>
          <w:rFonts w:ascii="Aptos" w:hAnsi="Aptos" w:eastAsia="Aptos"/>
          <w:b/>
        </w:rPr>
        <w:t xml:space="preserve">Use for: </w:t>
      </w:r>
      <w:r>
        <w:rPr>
          <w:rFonts w:ascii="Aptos" w:hAnsi="Aptos" w:eastAsia="Aptos"/>
        </w:rPr>
        <w:t>Best IMF starting point for the policy-solvency problem, central-bank balance-sheet stress testing, and risk-based buffers around GFECRA distributions.</w:t>
      </w:r>
    </w:p>
    <w:p>
      <w:pPr>
        <w:pStyle w:val="SourceItem"/>
      </w:pPr>
      <w:hyperlink r:id="rId12">
        <w:r>
          <w:rPr>
            <w:color w:val="0563C1"/>
            <w:u w:val="single"/>
          </w:rPr>
          <w:t>IMF Technical Assistance Report PDF (2025)</w:t>
        </w:r>
      </w:hyperlink>
      <w:r>
        <w:rPr>
          <w:rFonts w:ascii="Aptos" w:hAnsi="Aptos" w:eastAsia="Aptos"/>
          <w:i/>
          <w:color w:val="595959"/>
        </w:rPr>
        <w:t xml:space="preserve"> [IMF]</w:t>
      </w:r>
    </w:p>
    <w:p>
      <w:pPr>
        <w:pStyle w:val="SourceDetail"/>
      </w:pPr>
      <w:r>
        <w:rPr>
          <w:rFonts w:ascii="Aptos" w:hAnsi="Aptos" w:eastAsia="Aptos"/>
          <w:b/>
        </w:rPr>
        <w:t xml:space="preserve">Use for: </w:t>
      </w:r>
      <w:r>
        <w:rPr>
          <w:rFonts w:ascii="Aptos" w:hAnsi="Aptos" w:eastAsia="Aptos"/>
        </w:rPr>
        <w:t>PDF version of the above report for page references, citation, and offline archiving.</w:t>
      </w:r>
    </w:p>
    <w:p>
      <w:pPr>
        <w:pStyle w:val="SourceItem"/>
      </w:pPr>
      <w:hyperlink r:id="rId13">
        <w:r>
          <w:rPr>
            <w:color w:val="0563C1"/>
            <w:u w:val="single"/>
          </w:rPr>
          <w:t>IMF Central Bank Transparency Code Review (2024): South Africa</w:t>
        </w:r>
      </w:hyperlink>
      <w:r>
        <w:rPr>
          <w:rFonts w:ascii="Aptos" w:hAnsi="Aptos" w:eastAsia="Aptos"/>
          <w:i/>
          <w:color w:val="595959"/>
        </w:rPr>
        <w:t xml:space="preserve"> [IMF]</w:t>
      </w:r>
    </w:p>
    <w:p>
      <w:pPr>
        <w:pStyle w:val="SourceDetail"/>
      </w:pPr>
      <w:r>
        <w:rPr>
          <w:rFonts w:ascii="Aptos" w:hAnsi="Aptos" w:eastAsia="Aptos"/>
          <w:b/>
        </w:rPr>
        <w:t xml:space="preserve">Use for: </w:t>
      </w:r>
      <w:r>
        <w:rPr>
          <w:rFonts w:ascii="Aptos" w:hAnsi="Aptos" w:eastAsia="Aptos"/>
        </w:rPr>
        <w:t>Contains Box 3 on GFECRA, explaining the background, 2006 settlement agreement, and the 2024 reform/transparency issues.</w:t>
      </w:r>
    </w:p>
    <w:p>
      <w:pPr>
        <w:pStyle w:val="SourceItem"/>
      </w:pPr>
      <w:hyperlink r:id="rId14">
        <w:r>
          <w:rPr>
            <w:color w:val="0563C1"/>
            <w:u w:val="single"/>
          </w:rPr>
          <w:t>IMF Staff Concluding Statement of the 2024 Article IV Mission</w:t>
        </w:r>
      </w:hyperlink>
      <w:r>
        <w:rPr>
          <w:rFonts w:ascii="Aptos" w:hAnsi="Aptos" w:eastAsia="Aptos"/>
          <w:i/>
          <w:color w:val="595959"/>
        </w:rPr>
        <w:t xml:space="preserve"> [IMF]</w:t>
      </w:r>
    </w:p>
    <w:p>
      <w:pPr>
        <w:pStyle w:val="SourceDetail"/>
      </w:pPr>
      <w:r>
        <w:rPr>
          <w:rFonts w:ascii="Aptos" w:hAnsi="Aptos" w:eastAsia="Aptos"/>
          <w:b/>
        </w:rPr>
        <w:t xml:space="preserve">Use for: </w:t>
      </w:r>
      <w:r>
        <w:rPr>
          <w:rFonts w:ascii="Aptos" w:hAnsi="Aptos" w:eastAsia="Aptos"/>
        </w:rPr>
        <w:t>Useful for IMF staff views: the new GFECRA framework and distributions should safeguard SARB policy solvency, but not substitute for fiscal consolidation.</w:t>
      </w:r>
    </w:p>
    <w:p>
      <w:pPr>
        <w:pStyle w:val="SourceItem"/>
      </w:pPr>
      <w:hyperlink r:id="rId15">
        <w:r>
          <w:rPr>
            <w:color w:val="0563C1"/>
            <w:u w:val="single"/>
          </w:rPr>
          <w:t>IMF Post-Financing Assessment (2024): South Africa</w:t>
        </w:r>
      </w:hyperlink>
      <w:r>
        <w:rPr>
          <w:rFonts w:ascii="Aptos" w:hAnsi="Aptos" w:eastAsia="Aptos"/>
          <w:i/>
          <w:color w:val="595959"/>
        </w:rPr>
        <w:t xml:space="preserve"> [IMF]</w:t>
      </w:r>
    </w:p>
    <w:p>
      <w:pPr>
        <w:pStyle w:val="SourceDetail"/>
      </w:pPr>
      <w:r>
        <w:rPr>
          <w:rFonts w:ascii="Aptos" w:hAnsi="Aptos" w:eastAsia="Aptos"/>
          <w:b/>
        </w:rPr>
        <w:t xml:space="preserve">Use for: </w:t>
      </w:r>
      <w:r>
        <w:rPr>
          <w:rFonts w:ascii="Aptos" w:hAnsi="Aptos" w:eastAsia="Aptos"/>
        </w:rPr>
        <w:t>Useful for the fiscal context and how GFECRA appears in South Africa macro/fiscal surveillance after the 2024 reform.</w:t>
      </w:r>
    </w:p>
    <w:p>
      <w:pPr>
        <w:pStyle w:val="SourceItem"/>
      </w:pPr>
      <w:hyperlink r:id="rId16">
        <w:r>
          <w:rPr>
            <w:color w:val="0563C1"/>
            <w:u w:val="single"/>
          </w:rPr>
          <w:t>IMF SDDS metadata: South Africa central bank survey</w:t>
        </w:r>
      </w:hyperlink>
      <w:r>
        <w:rPr>
          <w:rFonts w:ascii="Aptos" w:hAnsi="Aptos" w:eastAsia="Aptos"/>
          <w:i/>
          <w:color w:val="595959"/>
        </w:rPr>
        <w:t xml:space="preserve"> [IMF SDDS]</w:t>
      </w:r>
    </w:p>
    <w:p>
      <w:pPr>
        <w:pStyle w:val="SourceDetail"/>
      </w:pPr>
      <w:r>
        <w:rPr>
          <w:rFonts w:ascii="Aptos" w:hAnsi="Aptos" w:eastAsia="Aptos"/>
          <w:b/>
        </w:rPr>
        <w:t xml:space="preserve">Use for: </w:t>
      </w:r>
      <w:r>
        <w:rPr>
          <w:rFonts w:ascii="Aptos" w:hAnsi="Aptos" w:eastAsia="Aptos"/>
        </w:rPr>
        <w:t>Accounting/statistical treatment: exchange profits and losses are assigned to government and charged to GFECRA.</w:t>
      </w:r>
    </w:p>
    <w:p>
      <w:pPr>
        <w:pStyle w:val="SourceItem"/>
      </w:pPr>
      <w:hyperlink r:id="rId17">
        <w:r>
          <w:rPr>
            <w:color w:val="0563C1"/>
            <w:u w:val="single"/>
          </w:rPr>
          <w:t>IMF SDDS metadata: South Africa central government debt</w:t>
        </w:r>
      </w:hyperlink>
      <w:r>
        <w:rPr>
          <w:rFonts w:ascii="Aptos" w:hAnsi="Aptos" w:eastAsia="Aptos"/>
          <w:i/>
          <w:color w:val="595959"/>
        </w:rPr>
        <w:t xml:space="preserve"> [IMF SDDS]</w:t>
      </w:r>
    </w:p>
    <w:p>
      <w:pPr>
        <w:pStyle w:val="SourceDetail"/>
      </w:pPr>
      <w:r>
        <w:rPr>
          <w:rFonts w:ascii="Aptos" w:hAnsi="Aptos" w:eastAsia="Aptos"/>
          <w:b/>
        </w:rPr>
        <w:t xml:space="preserve">Use for: </w:t>
      </w:r>
      <w:r>
        <w:rPr>
          <w:rFonts w:ascii="Aptos" w:hAnsi="Aptos" w:eastAsia="Aptos"/>
        </w:rPr>
        <w:t>Useful for whether the GFECRA balance is treated as a government debt instrument.</w:t>
      </w:r>
    </w:p>
    <w:p>
      <w:pPr>
        <w:pStyle w:val="SourceItem"/>
      </w:pPr>
      <w:hyperlink r:id="rId18">
        <w:r>
          <w:rPr>
            <w:color w:val="0563C1"/>
            <w:u w:val="single"/>
          </w:rPr>
          <w:t>IMF Technical Assistance Report (2025): Government finance statistics / GFECRA treatment</w:t>
        </w:r>
      </w:hyperlink>
      <w:r>
        <w:rPr>
          <w:rFonts w:ascii="Aptos" w:hAnsi="Aptos" w:eastAsia="Aptos"/>
          <w:i/>
          <w:color w:val="595959"/>
        </w:rPr>
        <w:t xml:space="preserve"> [IMF]</w:t>
      </w:r>
    </w:p>
    <w:p>
      <w:pPr>
        <w:pStyle w:val="SourceDetail"/>
      </w:pPr>
      <w:r>
        <w:rPr>
          <w:rFonts w:ascii="Aptos" w:hAnsi="Aptos" w:eastAsia="Aptos"/>
          <w:b/>
        </w:rPr>
        <w:t xml:space="preserve">Use for: </w:t>
      </w:r>
      <w:r>
        <w:rPr>
          <w:rFonts w:ascii="Aptos" w:hAnsi="Aptos" w:eastAsia="Aptos"/>
        </w:rPr>
        <w:t>Potentially useful for public-finance/statistical treatment of GFECRA transactions.</w:t>
      </w:r>
    </w:p>
    <w:p>
      <w:pPr>
        <w:pStyle w:val="Heading2"/>
      </w:pPr>
      <w:r>
        <w:rPr>
          <w:rFonts w:ascii="Aptos" w:hAnsi="Aptos" w:eastAsia="Aptos"/>
        </w:rPr>
        <w:t>B. SARB and National Treasury sources</w:t>
      </w:r>
    </w:p>
    <w:p>
      <w:pPr>
        <w:pStyle w:val="SourceItem"/>
      </w:pPr>
      <w:hyperlink r:id="rId19">
        <w:r>
          <w:rPr>
            <w:color w:val="0563C1"/>
            <w:u w:val="single"/>
          </w:rPr>
          <w:t>SARB explainer: The Gold and Foreign Exchange Contingency Reserve Account (GFECRA)</w:t>
        </w:r>
      </w:hyperlink>
      <w:r>
        <w:rPr>
          <w:rFonts w:ascii="Aptos" w:hAnsi="Aptos" w:eastAsia="Aptos"/>
          <w:i/>
          <w:color w:val="595959"/>
        </w:rPr>
        <w:t xml:space="preserve"> [SARB]</w:t>
      </w:r>
    </w:p>
    <w:p>
      <w:pPr>
        <w:pStyle w:val="SourceDetail"/>
      </w:pPr>
      <w:r>
        <w:rPr>
          <w:rFonts w:ascii="Aptos" w:hAnsi="Aptos" w:eastAsia="Aptos"/>
          <w:b/>
        </w:rPr>
        <w:t xml:space="preserve">Use for: </w:t>
      </w:r>
      <w:r>
        <w:rPr>
          <w:rFonts w:ascii="Aptos" w:hAnsi="Aptos" w:eastAsia="Aptos"/>
        </w:rPr>
        <w:t>Cleanest official explanation of what GFECRA is, why it grew, the 2024 reform principles, and the initial distributions.</w:t>
      </w:r>
    </w:p>
    <w:p>
      <w:pPr>
        <w:pStyle w:val="SourceItem"/>
      </w:pPr>
      <w:hyperlink r:id="rId20">
        <w:r>
          <w:rPr>
            <w:color w:val="0563C1"/>
            <w:u w:val="single"/>
          </w:rPr>
          <w:t>SARB GFECRA-related documents page</w:t>
        </w:r>
      </w:hyperlink>
      <w:r>
        <w:rPr>
          <w:rFonts w:ascii="Aptos" w:hAnsi="Aptos" w:eastAsia="Aptos"/>
          <w:i/>
          <w:color w:val="595959"/>
        </w:rPr>
        <w:t xml:space="preserve"> [SARB]</w:t>
      </w:r>
    </w:p>
    <w:p>
      <w:pPr>
        <w:pStyle w:val="SourceDetail"/>
      </w:pPr>
      <w:r>
        <w:rPr>
          <w:rFonts w:ascii="Aptos" w:hAnsi="Aptos" w:eastAsia="Aptos"/>
          <w:b/>
        </w:rPr>
        <w:t xml:space="preserve">Use for: </w:t>
      </w:r>
      <w:r>
        <w:rPr>
          <w:rFonts w:ascii="Aptos" w:hAnsi="Aptos" w:eastAsia="Aptos"/>
        </w:rPr>
        <w:t>Gateway to the signed agreement, Q&amp;A, 2024 Act, and notices. Use this to verify the authoritative current document set.</w:t>
      </w:r>
    </w:p>
    <w:p>
      <w:pPr>
        <w:pStyle w:val="SourceItem"/>
      </w:pPr>
      <w:hyperlink r:id="rId21">
        <w:r>
          <w:rPr>
            <w:color w:val="0563C1"/>
            <w:u w:val="single"/>
          </w:rPr>
          <w:t>GFECRA signed agreement</w:t>
        </w:r>
      </w:hyperlink>
      <w:r>
        <w:rPr>
          <w:rFonts w:ascii="Aptos" w:hAnsi="Aptos" w:eastAsia="Aptos"/>
          <w:i/>
          <w:color w:val="595959"/>
        </w:rPr>
        <w:t xml:space="preserve"> [SARB / NT]</w:t>
      </w:r>
    </w:p>
    <w:p>
      <w:pPr>
        <w:pStyle w:val="SourceDetail"/>
      </w:pPr>
      <w:r>
        <w:rPr>
          <w:rFonts w:ascii="Aptos" w:hAnsi="Aptos" w:eastAsia="Aptos"/>
          <w:b/>
        </w:rPr>
        <w:t xml:space="preserve">Use for: </w:t>
      </w:r>
      <w:r>
        <w:rPr>
          <w:rFonts w:ascii="Aptos" w:hAnsi="Aptos" w:eastAsia="Aptos"/>
        </w:rPr>
        <w:t>Primary source for the June 2024 agreement between National Treasury / Minister of Finance and SARB / Governor.</w:t>
      </w:r>
    </w:p>
    <w:p>
      <w:pPr>
        <w:pStyle w:val="SourceItem"/>
      </w:pPr>
      <w:hyperlink r:id="rId22">
        <w:r>
          <w:rPr>
            <w:color w:val="0563C1"/>
            <w:u w:val="single"/>
          </w:rPr>
          <w:t>SARB / National Treasury GFECRA Frequently Asked Questions</w:t>
        </w:r>
      </w:hyperlink>
      <w:r>
        <w:rPr>
          <w:rFonts w:ascii="Aptos" w:hAnsi="Aptos" w:eastAsia="Aptos"/>
          <w:i/>
          <w:color w:val="595959"/>
        </w:rPr>
        <w:t xml:space="preserve"> [SARB / NT]</w:t>
      </w:r>
    </w:p>
    <w:p>
      <w:pPr>
        <w:pStyle w:val="SourceDetail"/>
      </w:pPr>
      <w:r>
        <w:rPr>
          <w:rFonts w:ascii="Aptos" w:hAnsi="Aptos" w:eastAsia="Aptos"/>
          <w:b/>
        </w:rPr>
        <w:t xml:space="preserve">Use for: </w:t>
      </w:r>
      <w:r>
        <w:rPr>
          <w:rFonts w:ascii="Aptos" w:hAnsi="Aptos" w:eastAsia="Aptos"/>
        </w:rPr>
        <w:t>Explains the waterfall arrangement and principles in plain language.</w:t>
      </w:r>
    </w:p>
    <w:p>
      <w:pPr>
        <w:pStyle w:val="SourceItem"/>
      </w:pPr>
      <w:hyperlink r:id="rId23">
        <w:r>
          <w:rPr>
            <w:color w:val="0563C1"/>
            <w:u w:val="single"/>
          </w:rPr>
          <w:t>National Treasury Budget Review 2024 - Chapter 7: Government debt and contingent liabilities</w:t>
        </w:r>
      </w:hyperlink>
      <w:r>
        <w:rPr>
          <w:rFonts w:ascii="Aptos" w:hAnsi="Aptos" w:eastAsia="Aptos"/>
          <w:i/>
          <w:color w:val="595959"/>
        </w:rPr>
        <w:t xml:space="preserve"> [National Treasury]</w:t>
      </w:r>
    </w:p>
    <w:p>
      <w:pPr>
        <w:pStyle w:val="SourceDetail"/>
      </w:pPr>
      <w:r>
        <w:rPr>
          <w:rFonts w:ascii="Aptos" w:hAnsi="Aptos" w:eastAsia="Aptos"/>
          <w:b/>
        </w:rPr>
        <w:t xml:space="preserve">Use for: </w:t>
      </w:r>
      <w:r>
        <w:rPr>
          <w:rFonts w:ascii="Aptos" w:hAnsi="Aptos" w:eastAsia="Aptos"/>
        </w:rPr>
        <w:t>Core policy/fiscal source for the reform, including the three buckets, valuation-gain logic, and use of distributions to reduce borrowing.</w:t>
      </w:r>
    </w:p>
    <w:p>
      <w:pPr>
        <w:pStyle w:val="SourceItem"/>
      </w:pPr>
      <w:hyperlink r:id="rId24">
        <w:r>
          <w:rPr>
            <w:color w:val="0563C1"/>
            <w:u w:val="single"/>
          </w:rPr>
          <w:t>National Treasury media statement: Further clarity on GFECRA reform and accounting (22 Oct 2024)</w:t>
        </w:r>
      </w:hyperlink>
      <w:r>
        <w:rPr>
          <w:rFonts w:ascii="Aptos" w:hAnsi="Aptos" w:eastAsia="Aptos"/>
          <w:i/>
          <w:color w:val="595959"/>
        </w:rPr>
        <w:t xml:space="preserve"> [National Treasury]</w:t>
      </w:r>
    </w:p>
    <w:p>
      <w:pPr>
        <w:pStyle w:val="SourceDetail"/>
      </w:pPr>
      <w:r>
        <w:rPr>
          <w:rFonts w:ascii="Aptos" w:hAnsi="Aptos" w:eastAsia="Aptos"/>
          <w:b/>
        </w:rPr>
        <w:t xml:space="preserve">Use for: </w:t>
      </w:r>
      <w:r>
        <w:rPr>
          <w:rFonts w:ascii="Aptos" w:hAnsi="Aptos" w:eastAsia="Aptos"/>
        </w:rPr>
        <w:t>Clarifies the three buckets, the R250 billion distribution, the R100 billion contingency reserve, and the R150 billion Treasury tranche schedule.</w:t>
      </w:r>
    </w:p>
    <w:p>
      <w:pPr>
        <w:pStyle w:val="SourceItem"/>
      </w:pPr>
      <w:hyperlink r:id="rId25">
        <w:r>
          <w:rPr>
            <w:color w:val="0563C1"/>
            <w:u w:val="single"/>
          </w:rPr>
          <w:t>National Treasury / SARB GFECRA FAQ copy</w:t>
        </w:r>
      </w:hyperlink>
      <w:r>
        <w:rPr>
          <w:rFonts w:ascii="Aptos" w:hAnsi="Aptos" w:eastAsia="Aptos"/>
          <w:i/>
          <w:color w:val="595959"/>
        </w:rPr>
        <w:t xml:space="preserve"> [National Treasury / SARB]</w:t>
      </w:r>
    </w:p>
    <w:p>
      <w:pPr>
        <w:pStyle w:val="SourceDetail"/>
      </w:pPr>
      <w:r>
        <w:rPr>
          <w:rFonts w:ascii="Aptos" w:hAnsi="Aptos" w:eastAsia="Aptos"/>
          <w:b/>
        </w:rPr>
        <w:t xml:space="preserve">Use for: </w:t>
      </w:r>
      <w:r>
        <w:rPr>
          <w:rFonts w:ascii="Aptos" w:hAnsi="Aptos" w:eastAsia="Aptos"/>
        </w:rPr>
        <w:t>Alternative copy of the official FAQ, useful if SARB link is unavailable.</w:t>
      </w:r>
    </w:p>
    <w:p>
      <w:pPr>
        <w:pStyle w:val="SourceItem"/>
      </w:pPr>
      <w:hyperlink r:id="rId26">
        <w:r>
          <w:rPr>
            <w:color w:val="0563C1"/>
            <w:u w:val="single"/>
          </w:rPr>
          <w:t>SARB Annual Report 2024/25</w:t>
        </w:r>
      </w:hyperlink>
      <w:r>
        <w:rPr>
          <w:rFonts w:ascii="Aptos" w:hAnsi="Aptos" w:eastAsia="Aptos"/>
          <w:i/>
          <w:color w:val="595959"/>
        </w:rPr>
        <w:t xml:space="preserve"> [SARB]</w:t>
      </w:r>
    </w:p>
    <w:p>
      <w:pPr>
        <w:pStyle w:val="SourceDetail"/>
      </w:pPr>
      <w:r>
        <w:rPr>
          <w:rFonts w:ascii="Aptos" w:hAnsi="Aptos" w:eastAsia="Aptos"/>
          <w:b/>
        </w:rPr>
        <w:t xml:space="preserve">Use for: </w:t>
      </w:r>
      <w:r>
        <w:rPr>
          <w:rFonts w:ascii="Aptos" w:hAnsi="Aptos" w:eastAsia="Aptos"/>
        </w:rPr>
        <w:t>Useful for current reporting on implementation of the settlement framework and balance-sheet effects.</w:t>
      </w:r>
    </w:p>
    <w:p>
      <w:pPr>
        <w:pStyle w:val="Heading2"/>
      </w:pPr>
      <w:r>
        <w:rPr>
          <w:rFonts w:ascii="Aptos" w:hAnsi="Aptos" w:eastAsia="Aptos"/>
        </w:rPr>
        <w:t>C. Legal and parliamentary sources</w:t>
      </w:r>
    </w:p>
    <w:p>
      <w:pPr>
        <w:pStyle w:val="SourceItem"/>
      </w:pPr>
      <w:hyperlink r:id="rId27">
        <w:r>
          <w:rPr>
            <w:color w:val="0563C1"/>
            <w:u w:val="single"/>
          </w:rPr>
          <w:t>South African Reserve Bank Act, 1989 - section 28</w:t>
        </w:r>
      </w:hyperlink>
      <w:r>
        <w:rPr>
          <w:rFonts w:ascii="Aptos" w:hAnsi="Aptos" w:eastAsia="Aptos"/>
          <w:i/>
          <w:color w:val="595959"/>
        </w:rPr>
        <w:t xml:space="preserve"> [Law]</w:t>
      </w:r>
    </w:p>
    <w:p>
      <w:pPr>
        <w:pStyle w:val="SourceDetail"/>
      </w:pPr>
      <w:r>
        <w:rPr>
          <w:rFonts w:ascii="Aptos" w:hAnsi="Aptos" w:eastAsia="Aptos"/>
          <w:b/>
        </w:rPr>
        <w:t xml:space="preserve">Use for: </w:t>
      </w:r>
      <w:r>
        <w:rPr>
          <w:rFonts w:ascii="Aptos" w:hAnsi="Aptos" w:eastAsia="Aptos"/>
        </w:rPr>
        <w:t>Legal basis for transferring credit/debit balances to GFECRA and for credit/debit balances accruing to government.</w:t>
      </w:r>
    </w:p>
    <w:p>
      <w:pPr>
        <w:pStyle w:val="SourceItem"/>
      </w:pPr>
      <w:hyperlink r:id="rId28">
        <w:r>
          <w:rPr>
            <w:color w:val="0563C1"/>
            <w:u w:val="single"/>
          </w:rPr>
          <w:t>Gold and Foreign Exchange Contingency Reserve Account Defrayal Amendment Act, 2024</w:t>
        </w:r>
      </w:hyperlink>
      <w:r>
        <w:rPr>
          <w:rFonts w:ascii="Aptos" w:hAnsi="Aptos" w:eastAsia="Aptos"/>
          <w:i/>
          <w:color w:val="595959"/>
        </w:rPr>
        <w:t xml:space="preserve"> [Law]</w:t>
      </w:r>
    </w:p>
    <w:p>
      <w:pPr>
        <w:pStyle w:val="SourceDetail"/>
      </w:pPr>
      <w:r>
        <w:rPr>
          <w:rFonts w:ascii="Aptos" w:hAnsi="Aptos" w:eastAsia="Aptos"/>
          <w:b/>
        </w:rPr>
        <w:t xml:space="preserve">Use for: </w:t>
      </w:r>
      <w:r>
        <w:rPr>
          <w:rFonts w:ascii="Aptos" w:hAnsi="Aptos" w:eastAsia="Aptos"/>
        </w:rPr>
        <w:t>Legal basis for direct charges against the National Revenue Fund for SARB contingency reserve requirements after 2024 reform.</w:t>
      </w:r>
    </w:p>
    <w:p>
      <w:pPr>
        <w:pStyle w:val="SourceItem"/>
      </w:pPr>
      <w:hyperlink r:id="rId29">
        <w:r>
          <w:rPr>
            <w:color w:val="0563C1"/>
            <w:u w:val="single"/>
          </w:rPr>
          <w:t>Gold and Foreign Exchange Contingency Reserve Account Defrayal Amendment Bill, 2024</w:t>
        </w:r>
      </w:hyperlink>
      <w:r>
        <w:rPr>
          <w:rFonts w:ascii="Aptos" w:hAnsi="Aptos" w:eastAsia="Aptos"/>
          <w:i/>
          <w:color w:val="595959"/>
        </w:rPr>
        <w:t xml:space="preserve"> [Bill]</w:t>
      </w:r>
    </w:p>
    <w:p>
      <w:pPr>
        <w:pStyle w:val="SourceDetail"/>
      </w:pPr>
      <w:r>
        <w:rPr>
          <w:rFonts w:ascii="Aptos" w:hAnsi="Aptos" w:eastAsia="Aptos"/>
          <w:b/>
        </w:rPr>
        <w:t xml:space="preserve">Use for: </w:t>
      </w:r>
      <w:r>
        <w:rPr>
          <w:rFonts w:ascii="Aptos" w:hAnsi="Aptos" w:eastAsia="Aptos"/>
        </w:rPr>
        <w:t>Bill text and explanatory background before enactment.</w:t>
      </w:r>
    </w:p>
    <w:p>
      <w:pPr>
        <w:pStyle w:val="SourceItem"/>
      </w:pPr>
      <w:hyperlink r:id="rId30">
        <w:r>
          <w:rPr>
            <w:color w:val="0563C1"/>
            <w:u w:val="single"/>
          </w:rPr>
          <w:t>Parliamentary committee / ATC material on the 2024 GFECRA bill</w:t>
        </w:r>
      </w:hyperlink>
      <w:r>
        <w:rPr>
          <w:rFonts w:ascii="Aptos" w:hAnsi="Aptos" w:eastAsia="Aptos"/>
          <w:i/>
          <w:color w:val="595959"/>
        </w:rPr>
        <w:t xml:space="preserve"> [Parliament]</w:t>
      </w:r>
    </w:p>
    <w:p>
      <w:pPr>
        <w:pStyle w:val="SourceDetail"/>
      </w:pPr>
      <w:r>
        <w:rPr>
          <w:rFonts w:ascii="Aptos" w:hAnsi="Aptos" w:eastAsia="Aptos"/>
          <w:b/>
        </w:rPr>
        <w:t xml:space="preserve">Use for: </w:t>
      </w:r>
      <w:r>
        <w:rPr>
          <w:rFonts w:ascii="Aptos" w:hAnsi="Aptos" w:eastAsia="Aptos"/>
        </w:rPr>
        <w:t>Useful for stakeholder concerns, parliamentary discussion, and legislative processing of the reform.</w:t>
      </w:r>
    </w:p>
    <w:p>
      <w:pPr>
        <w:pStyle w:val="Heading2"/>
      </w:pPr>
      <w:r>
        <w:rPr>
          <w:rFonts w:ascii="Aptos" w:hAnsi="Aptos" w:eastAsia="Aptos"/>
        </w:rPr>
        <w:t>D. Background and comparative sources</w:t>
      </w:r>
    </w:p>
    <w:p>
      <w:pPr>
        <w:pStyle w:val="SourceItem"/>
      </w:pPr>
      <w:hyperlink r:id="rId31">
        <w:r>
          <w:rPr>
            <w:color w:val="0563C1"/>
            <w:u w:val="single"/>
          </w:rPr>
          <w:t>BIS Paper: Note on the foreign exchange market operations of the South African Reserve Bank</w:t>
        </w:r>
      </w:hyperlink>
      <w:r>
        <w:rPr>
          <w:rFonts w:ascii="Aptos" w:hAnsi="Aptos" w:eastAsia="Aptos"/>
          <w:i/>
          <w:color w:val="595959"/>
        </w:rPr>
        <w:t xml:space="preserve"> [BIS / SARB]</w:t>
      </w:r>
    </w:p>
    <w:p>
      <w:pPr>
        <w:pStyle w:val="SourceDetail"/>
      </w:pPr>
      <w:r>
        <w:rPr>
          <w:rFonts w:ascii="Aptos" w:hAnsi="Aptos" w:eastAsia="Aptos"/>
          <w:b/>
        </w:rPr>
        <w:t xml:space="preserve">Use for: </w:t>
      </w:r>
      <w:r>
        <w:rPr>
          <w:rFonts w:ascii="Aptos" w:hAnsi="Aptos" w:eastAsia="Aptos"/>
        </w:rPr>
        <w:t>Background on reserves accumulation, FX intervention, sterilisation costs, and the government account treatment via GFECRA.</w:t>
      </w:r>
    </w:p>
    <w:p>
      <w:pPr>
        <w:pStyle w:val="SourceItem"/>
      </w:pPr>
      <w:hyperlink r:id="rId32">
        <w:r>
          <w:rPr>
            <w:color w:val="0563C1"/>
            <w:u w:val="single"/>
          </w:rPr>
          <w:t>BIS Paper: Central bank finances - Part B, financial resources of central banks</w:t>
        </w:r>
      </w:hyperlink>
      <w:r>
        <w:rPr>
          <w:rFonts w:ascii="Aptos" w:hAnsi="Aptos" w:eastAsia="Aptos"/>
          <w:i/>
          <w:color w:val="595959"/>
        </w:rPr>
        <w:t xml:space="preserve"> [BIS]</w:t>
      </w:r>
    </w:p>
    <w:p>
      <w:pPr>
        <w:pStyle w:val="SourceDetail"/>
      </w:pPr>
      <w:r>
        <w:rPr>
          <w:rFonts w:ascii="Aptos" w:hAnsi="Aptos" w:eastAsia="Aptos"/>
          <w:b/>
        </w:rPr>
        <w:t xml:space="preserve">Use for: </w:t>
      </w:r>
      <w:r>
        <w:rPr>
          <w:rFonts w:ascii="Aptos" w:hAnsi="Aptos" w:eastAsia="Aptos"/>
        </w:rPr>
        <w:t>Comparative background. Notes that SARB records FX retranslations in a government-owned revaluation account, GFECRA.</w:t>
      </w:r>
    </w:p>
    <w:p>
      <w:pPr>
        <w:pStyle w:val="SourceItem"/>
      </w:pPr>
      <w:hyperlink r:id="rId33">
        <w:r>
          <w:rPr>
            <w:color w:val="0563C1"/>
            <w:u w:val="single"/>
          </w:rPr>
          <w:t>Rashad Cassim remarks on financial markets and GFECRA</w:t>
        </w:r>
      </w:hyperlink>
      <w:r>
        <w:rPr>
          <w:rFonts w:ascii="Aptos" w:hAnsi="Aptos" w:eastAsia="Aptos"/>
          <w:i/>
          <w:color w:val="595959"/>
        </w:rPr>
        <w:t xml:space="preserve"> [BIS / SARB]</w:t>
      </w:r>
    </w:p>
    <w:p>
      <w:pPr>
        <w:pStyle w:val="SourceDetail"/>
      </w:pPr>
      <w:r>
        <w:rPr>
          <w:rFonts w:ascii="Aptos" w:hAnsi="Aptos" w:eastAsia="Aptos"/>
          <w:b/>
        </w:rPr>
        <w:t xml:space="preserve">Use for: </w:t>
      </w:r>
      <w:r>
        <w:rPr>
          <w:rFonts w:ascii="Aptos" w:hAnsi="Aptos" w:eastAsia="Aptos"/>
        </w:rPr>
        <w:t>Accessible speech-style explanation of how moving part of GFECRA into SARB contingency reserves changes SARB’s balance-sheet position.</w:t>
      </w:r>
    </w:p>
    <w:p>
      <w:pPr>
        <w:pStyle w:val="SourceItem"/>
      </w:pPr>
      <w:hyperlink r:id="rId34">
        <w:r>
          <w:rPr>
            <w:color w:val="0563C1"/>
            <w:u w:val="single"/>
          </w:rPr>
          <w:t>SARB Quarterly Bulletin box: impact of the GFECRA distribution on money and banking statistics</w:t>
        </w:r>
      </w:hyperlink>
      <w:r>
        <w:rPr>
          <w:rFonts w:ascii="Aptos" w:hAnsi="Aptos" w:eastAsia="Aptos"/>
          <w:i/>
          <w:color w:val="595959"/>
        </w:rPr>
        <w:t xml:space="preserve"> [SARB]</w:t>
      </w:r>
    </w:p>
    <w:p>
      <w:pPr>
        <w:pStyle w:val="SourceDetail"/>
      </w:pPr>
      <w:r>
        <w:rPr>
          <w:rFonts w:ascii="Aptos" w:hAnsi="Aptos" w:eastAsia="Aptos"/>
          <w:b/>
        </w:rPr>
        <w:t xml:space="preserve">Use for: </w:t>
      </w:r>
      <w:r>
        <w:rPr>
          <w:rFonts w:ascii="Aptos" w:hAnsi="Aptos" w:eastAsia="Aptos"/>
        </w:rPr>
        <w:t>Useful for the monetary/statistical impact of the 2024 distribution.</w:t>
      </w:r>
    </w:p>
    <w:p>
      <w:pPr>
        <w:pStyle w:val="Heading1"/>
      </w:pPr>
      <w:r>
        <w:rPr>
          <w:rFonts w:ascii="Aptos" w:hAnsi="Aptos" w:eastAsia="Aptos"/>
        </w:rPr>
        <w:t>Key concepts to track while reading</w:t>
      </w:r>
    </w:p>
    <w:p>
      <w:pPr>
        <w:pStyle w:val="ListBullet"/>
      </w:pPr>
      <w:r>
        <w:rPr>
          <w:rFonts w:ascii="Aptos" w:hAnsi="Aptos" w:eastAsia="Aptos"/>
          <w:b/>
        </w:rPr>
        <w:t>GFECRA buffer:</w:t>
      </w:r>
      <w:r>
        <w:rPr>
          <w:rFonts w:ascii="Aptos" w:hAnsi="Aptos" w:eastAsia="Aptos"/>
        </w:rPr>
        <w:t xml:space="preserve"> How large a buffer is needed so rand appreciation does not turn the account negative and require Treasury to cover losses.</w:t>
      </w:r>
    </w:p>
    <w:p>
      <w:pPr>
        <w:pStyle w:val="ListBullet"/>
      </w:pPr>
      <w:r>
        <w:rPr>
          <w:rFonts w:ascii="Aptos" w:hAnsi="Aptos" w:eastAsia="Aptos"/>
          <w:b/>
        </w:rPr>
        <w:t>Policy solvency:</w:t>
      </w:r>
      <w:r>
        <w:rPr>
          <w:rFonts w:ascii="Aptos" w:hAnsi="Aptos" w:eastAsia="Aptos"/>
        </w:rPr>
        <w:t xml:space="preserve"> Whether SARB can generate realized earnings over time sufficient to cover policy and operating costs, without policy credibility being impaired.</w:t>
      </w:r>
    </w:p>
    <w:p>
      <w:pPr>
        <w:pStyle w:val="ListBullet"/>
      </w:pPr>
      <w:r>
        <w:rPr>
          <w:rFonts w:ascii="Aptos" w:hAnsi="Aptos" w:eastAsia="Aptos"/>
          <w:b/>
        </w:rPr>
        <w:t>Reserve adequacy:</w:t>
      </w:r>
      <w:r>
        <w:rPr>
          <w:rFonts w:ascii="Aptos" w:hAnsi="Aptos" w:eastAsia="Aptos"/>
        </w:rPr>
        <w:t xml:space="preserve"> Whether distributions are funded without selling FX reserves when reserves are below adequacy levels.</w:t>
      </w:r>
    </w:p>
    <w:p>
      <w:pPr>
        <w:pStyle w:val="ListBullet"/>
      </w:pPr>
      <w:r>
        <w:rPr>
          <w:rFonts w:ascii="Aptos" w:hAnsi="Aptos" w:eastAsia="Aptos"/>
          <w:b/>
        </w:rPr>
        <w:t>Contingency reserve:</w:t>
      </w:r>
      <w:r>
        <w:rPr>
          <w:rFonts w:ascii="Aptos" w:hAnsi="Aptos" w:eastAsia="Aptos"/>
        </w:rPr>
        <w:t xml:space="preserve"> SARB equity buffer for unexpected losses, including liquidity-management/sterilisation costs from payouts.</w:t>
      </w:r>
    </w:p>
    <w:p>
      <w:pPr>
        <w:pStyle w:val="ListBullet"/>
      </w:pPr>
      <w:r>
        <w:rPr>
          <w:rFonts w:ascii="Aptos" w:hAnsi="Aptos" w:eastAsia="Aptos"/>
          <w:b/>
        </w:rPr>
        <w:t>Unrealised gains:</w:t>
      </w:r>
      <w:r>
        <w:rPr>
          <w:rFonts w:ascii="Aptos" w:hAnsi="Aptos" w:eastAsia="Aptos"/>
        </w:rPr>
        <w:t xml:space="preserve"> A central issue: distributions should not rely on unrealised valuation gains that could be unwound by future rand appreciation.</w:t>
      </w:r>
    </w:p>
    <w:p>
      <w:pPr>
        <w:pStyle w:val="ListBullet"/>
      </w:pPr>
      <w:r>
        <w:rPr>
          <w:rFonts w:ascii="Aptos" w:hAnsi="Aptos" w:eastAsia="Aptos"/>
          <w:b/>
        </w:rPr>
        <w:t>Fiscal treatment:</w:t>
      </w:r>
      <w:r>
        <w:rPr>
          <w:rFonts w:ascii="Aptos" w:hAnsi="Aptos" w:eastAsia="Aptos"/>
        </w:rPr>
        <w:t xml:space="preserve"> National Treasury treats distributions as balance-sheet transactions/borrowing reduction rather than government revenue.</w:t>
      </w:r>
    </w:p>
    <w:p>
      <w:pPr>
        <w:pStyle w:val="ListBullet"/>
      </w:pPr>
      <w:r>
        <w:rPr>
          <w:rFonts w:ascii="Aptos" w:hAnsi="Aptos" w:eastAsia="Aptos"/>
          <w:b/>
        </w:rPr>
        <w:t>Settlement discretion:</w:t>
      </w:r>
      <w:r>
        <w:rPr>
          <w:rFonts w:ascii="Aptos" w:hAnsi="Aptos" w:eastAsia="Aptos"/>
        </w:rPr>
        <w:t xml:space="preserve"> The legal and contractual role of agreement between the Minister/Treasury and SARB/Governor in timing and settlement.</w:t>
      </w:r>
    </w:p>
    <w:p>
      <w:pPr>
        <w:pStyle w:val="Heading1"/>
      </w:pPr>
      <w:r>
        <w:rPr>
          <w:rFonts w:ascii="Aptos" w:hAnsi="Aptos" w:eastAsia="Aptos"/>
        </w:rPr>
        <w:t>Suggested outline for a short memo</w:t>
      </w:r>
    </w:p>
    <w:p>
      <w:pPr>
        <w:ind w:left="403" w:hanging="403"/>
      </w:pPr>
      <w:r>
        <w:rPr>
          <w:rFonts w:ascii="Aptos" w:hAnsi="Aptos" w:eastAsia="Aptos"/>
        </w:rPr>
        <w:t xml:space="preserve">1.  </w:t>
      </w:r>
      <w:r>
        <w:rPr>
          <w:rFonts w:ascii="Aptos" w:hAnsi="Aptos" w:eastAsia="Aptos"/>
          <w:b/>
        </w:rPr>
        <w:t>Problem statement:</w:t>
      </w:r>
      <w:r>
        <w:rPr>
          <w:rFonts w:ascii="Aptos" w:hAnsi="Aptos" w:eastAsia="Aptos"/>
        </w:rPr>
        <w:t xml:space="preserve"> South Africa’s foreign-reserve valuation gains/losses are legally assigned to government through GFECRA.</w:t>
      </w:r>
    </w:p>
    <w:p>
      <w:pPr>
        <w:ind w:left="403" w:hanging="403"/>
      </w:pPr>
      <w:r>
        <w:rPr>
          <w:rFonts w:ascii="Aptos" w:hAnsi="Aptos" w:eastAsia="Aptos"/>
        </w:rPr>
        <w:t xml:space="preserve">2.  </w:t>
      </w:r>
      <w:r>
        <w:rPr>
          <w:rFonts w:ascii="Aptos" w:hAnsi="Aptos" w:eastAsia="Aptos"/>
          <w:b/>
        </w:rPr>
        <w:t>Institutional design:</w:t>
      </w:r>
      <w:r>
        <w:rPr>
          <w:rFonts w:ascii="Aptos" w:hAnsi="Aptos" w:eastAsia="Aptos"/>
        </w:rPr>
        <w:t xml:space="preserve"> SARB manages reserves and monetary operations; Treasury bears the valuation account through a mechanism managed by SARB on Treasury’s behalf.</w:t>
      </w:r>
    </w:p>
    <w:p>
      <w:pPr>
        <w:ind w:left="403" w:hanging="403"/>
      </w:pPr>
      <w:r>
        <w:rPr>
          <w:rFonts w:ascii="Aptos" w:hAnsi="Aptos" w:eastAsia="Aptos"/>
        </w:rPr>
        <w:t xml:space="preserve">3.  </w:t>
      </w:r>
      <w:r>
        <w:rPr>
          <w:rFonts w:ascii="Aptos" w:hAnsi="Aptos" w:eastAsia="Aptos"/>
          <w:b/>
        </w:rPr>
        <w:t>Settlement framework:</w:t>
      </w:r>
      <w:r>
        <w:rPr>
          <w:rFonts w:ascii="Aptos" w:hAnsi="Aptos" w:eastAsia="Aptos"/>
        </w:rPr>
        <w:t xml:space="preserve"> old arrangement accumulated balances; 2024 reform created waterfall/buffer rules and distributions.</w:t>
      </w:r>
    </w:p>
    <w:p>
      <w:pPr>
        <w:ind w:left="403" w:hanging="403"/>
      </w:pPr>
      <w:r>
        <w:rPr>
          <w:rFonts w:ascii="Aptos" w:hAnsi="Aptos" w:eastAsia="Aptos"/>
        </w:rPr>
        <w:t xml:space="preserve">4.  </w:t>
      </w:r>
      <w:r>
        <w:rPr>
          <w:rFonts w:ascii="Aptos" w:hAnsi="Aptos" w:eastAsia="Aptos"/>
          <w:b/>
        </w:rPr>
        <w:t>Risks:</w:t>
      </w:r>
      <w:r>
        <w:rPr>
          <w:rFonts w:ascii="Aptos" w:hAnsi="Aptos" w:eastAsia="Aptos"/>
        </w:rPr>
        <w:t xml:space="preserve"> rand appreciation could erase unrealised gains; payouts create liquidity-management costs; excessive distributions could weaken SARB policy solvency.</w:t>
      </w:r>
    </w:p>
    <w:p>
      <w:pPr>
        <w:ind w:left="403" w:hanging="403"/>
      </w:pPr>
      <w:r>
        <w:rPr>
          <w:rFonts w:ascii="Aptos" w:hAnsi="Aptos" w:eastAsia="Aptos"/>
        </w:rPr>
        <w:t xml:space="preserve">5.  </w:t>
      </w:r>
      <w:r>
        <w:rPr>
          <w:rFonts w:ascii="Aptos" w:hAnsi="Aptos" w:eastAsia="Aptos"/>
          <w:b/>
        </w:rPr>
        <w:t>Safeguards:</w:t>
      </w:r>
      <w:r>
        <w:rPr>
          <w:rFonts w:ascii="Aptos" w:hAnsi="Aptos" w:eastAsia="Aptos"/>
        </w:rPr>
        <w:t xml:space="preserve"> GFECRA buffer, SARB contingency reserve, reserve-adequacy constraint, no ad hoc settlement, and publication/communication of arrangements.</w:t>
      </w:r>
    </w:p>
    <w:p>
      <w:pPr>
        <w:ind w:left="403" w:hanging="403"/>
      </w:pPr>
      <w:r>
        <w:rPr>
          <w:rFonts w:ascii="Aptos" w:hAnsi="Aptos" w:eastAsia="Aptos"/>
        </w:rPr>
        <w:t xml:space="preserve">6.  </w:t>
      </w:r>
      <w:r>
        <w:rPr>
          <w:rFonts w:ascii="Aptos" w:hAnsi="Aptos" w:eastAsia="Aptos"/>
          <w:b/>
        </w:rPr>
        <w:t>Fiscal implications:</w:t>
      </w:r>
      <w:r>
        <w:rPr>
          <w:rFonts w:ascii="Aptos" w:hAnsi="Aptos" w:eastAsia="Aptos"/>
        </w:rPr>
        <w:t xml:space="preserve"> distributions are intended to reduce borrowing/debt issuance, not to be treated as ordinary revenue.</w:t>
      </w:r>
    </w:p>
    <w:p>
      <w:pPr>
        <w:ind w:left="403" w:hanging="403"/>
      </w:pPr>
      <w:r>
        <w:rPr>
          <w:rFonts w:ascii="Aptos" w:hAnsi="Aptos" w:eastAsia="Aptos"/>
        </w:rPr>
        <w:t xml:space="preserve">7.  </w:t>
      </w:r>
      <w:r>
        <w:rPr>
          <w:rFonts w:ascii="Aptos" w:hAnsi="Aptos" w:eastAsia="Aptos"/>
          <w:b/>
        </w:rPr>
        <w:t>IMF perspective:</w:t>
      </w:r>
      <w:r>
        <w:rPr>
          <w:rFonts w:ascii="Aptos" w:hAnsi="Aptos" w:eastAsia="Aptos"/>
        </w:rPr>
        <w:t xml:space="preserve"> stress testing and risk-based buffers should guide future distributions; fiscal consolidation remains necessary.</w:t>
      </w:r>
    </w:p>
    <w:p>
      <w:pPr>
        <w:pStyle w:val="Heading1"/>
      </w:pPr>
      <w:r>
        <w:rPr>
          <w:rFonts w:ascii="Aptos" w:hAnsi="Aptos" w:eastAsia="Aptos"/>
        </w:rPr>
        <w:t>Notes on terminology</w:t>
      </w:r>
    </w:p>
    <w:p>
      <w:r>
        <w:rPr>
          <w:rFonts w:ascii="Aptos" w:hAnsi="Aptos" w:eastAsia="Aptos"/>
        </w:rPr>
        <w:t>For literature searches, combine “currency risk sharing” with the institutional term “GFECRA”. Searches using only “currency risk sharing” may miss the key sources because South African official and IMF documents generally frame the issue as reserve revaluation, GFECRA settlement, central-bank balance-sheet risk, policy solvency, and government borrowing.</w:t>
      </w:r>
    </w:p>
    <w:p/>
    <w:p>
      <w:pPr>
        <w:jc w:val="center"/>
      </w:pPr>
      <w:r>
        <w:rPr>
          <w:rFonts w:ascii="Aptos" w:hAnsi="Aptos" w:eastAsia="Aptos"/>
          <w:i/>
          <w:color w:val="595959"/>
        </w:rPr>
        <w:t>End of research note</w:t>
      </w:r>
    </w:p>
    <w:sectPr>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Prepared for research use - source titles are clickable links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GFECRA / currency-risk sharing: South Africa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Item">
    <w:name w:val="Source Item"/>
    <w:basedOn w:val="Normal"/>
    <w:pPr>
      <w:spacing w:after="0"/>
      <w:ind w:left="216" w:hanging="216"/>
    </w:pPr>
    <w:rPr>
      <w:sz w:val="21"/>
    </w:rPr>
  </w:style>
  <w:style w:type="paragraph" w:customStyle="1" w:styleId="SourceDetail">
    <w:name w:val="Source Detail"/>
    <w:basedOn w:val="Normal"/>
    <w:pPr>
      <w:spacing w:after="160"/>
      <w:ind w:left="360"/>
    </w:pPr>
    <w:rPr>
      <w:color w:val="404040"/>
      <w:sz w:val="19"/>
    </w:rPr>
  </w:style>
  <w:style w:type="paragraph" w:customStyle="1" w:styleId="SearchTerm">
    <w:name w:val="Search Term"/>
    <w:basedOn w:val="Normal"/>
    <w:pPr>
      <w:spacing w:after="20"/>
      <w:ind w:left="360"/>
    </w:pPr>
    <w:rPr>
      <w:rFonts w:ascii="Courier New" w:hAnsi="Courier New" w:eastAsia="Courier New"/>
      <w:sz w:val="18"/>
    </w:rPr>
  </w:style>
  <w:style w:type="paragraph" w:customStyle="1" w:styleId="BoxText">
    <w:name w:val="Box Text"/>
    <w:basedOn w:val="Normal"/>
    <w:pPr>
      <w:spacing w:after="100"/>
      <w:ind w:left="216" w:right="216"/>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mf.org/en/publications/technical-assistance-reports/issues/2025/05/07/south-africa-technical-assistance-report-stress-testing-the-central-bank-balance-sheet-and-566727" TargetMode="External"/><Relationship Id="rId12" Type="http://schemas.openxmlformats.org/officeDocument/2006/relationships/hyperlink" Target="https://www.imf.org/-/media/files/publications/tar/2025/english/tarea2025051-print-pdf.pdf" TargetMode="External"/><Relationship Id="rId13" Type="http://schemas.openxmlformats.org/officeDocument/2006/relationships/hyperlink" Target="https://www.imf.org/-/media/files/publications/cr/2024/english/1zafea2024002-print-pdf.pdf" TargetMode="External"/><Relationship Id="rId14" Type="http://schemas.openxmlformats.org/officeDocument/2006/relationships/hyperlink" Target="https://www.imf.org/en/news/articles/2024/11/26/mcs-south-africa-staff-concluding-statement-of-the-2024-article-iv-mission" TargetMode="External"/><Relationship Id="rId15" Type="http://schemas.openxmlformats.org/officeDocument/2006/relationships/hyperlink" Target="https://www.imf.org/en/publications/cr/issues/2024/09/04/south-africa-post-financing-assessment-press-release-and-staff-report-554545" TargetMode="External"/><Relationship Id="rId16" Type="http://schemas.openxmlformats.org/officeDocument/2006/relationships/hyperlink" Target="https://dsbb.imf.org/sdds/dqaf-base/country/ZAF/category/AAC00" TargetMode="External"/><Relationship Id="rId17" Type="http://schemas.openxmlformats.org/officeDocument/2006/relationships/hyperlink" Target="https://dsbb.imf.org/sdds/dqaf-base/country/ZAF/category/CGD00" TargetMode="External"/><Relationship Id="rId18" Type="http://schemas.openxmlformats.org/officeDocument/2006/relationships/hyperlink" Target="https://www.imf.org/-/media/files/publications/tar/2025/english/tarea2025057-print-pdf.pdf" TargetMode="External"/><Relationship Id="rId19" Type="http://schemas.openxmlformats.org/officeDocument/2006/relationships/hyperlink" Target="https://www.resbank.co.za/en/home/what-we-do/financial-markets/The-Gold-and-Foreign-Exchange-Contingency-Reserve-Account" TargetMode="External"/><Relationship Id="rId20" Type="http://schemas.openxmlformats.org/officeDocument/2006/relationships/hyperlink" Target="https://www.resbank.co.za/en/home/what-we-do/financial-markets/The-Gold-and-Foreign-Exchange-Contingency-Reserve-Account/GFECRA-related-documents" TargetMode="External"/><Relationship Id="rId21" Type="http://schemas.openxmlformats.org/officeDocument/2006/relationships/hyperlink" Target="https://www.resbank.co.za/content/dam/sarb/publications/gfecra/GFECRA%20Agreement_signed.pdf" TargetMode="External"/><Relationship Id="rId22" Type="http://schemas.openxmlformats.org/officeDocument/2006/relationships/hyperlink" Target="https://www.resbank.co.za/content/dam/sarb/publications/gfecra/Gold%20and%20Foreign%20Exchange%20Contingency%20Reserve%20Account%20QandA.pdf" TargetMode="External"/><Relationship Id="rId23" Type="http://schemas.openxmlformats.org/officeDocument/2006/relationships/hyperlink" Target="https://www.treasury.gov.za/documents/National%20Budget/2024/review/Chapter%207.pdf" TargetMode="External"/><Relationship Id="rId24" Type="http://schemas.openxmlformats.org/officeDocument/2006/relationships/hyperlink" Target="https://www.treasury.gov.za/comm_media/press/2024/2024102201%20Media%20statement%20-%20Further%20clarity%20on%20GFECRA%20reform%20and%20accounting%20.pdf" TargetMode="External"/><Relationship Id="rId25" Type="http://schemas.openxmlformats.org/officeDocument/2006/relationships/hyperlink" Target="https://www.treasury.gov.za/GFECRA%20FAQs%20with%20NT%20.pdf" TargetMode="External"/><Relationship Id="rId26" Type="http://schemas.openxmlformats.org/officeDocument/2006/relationships/hyperlink" Target="https://www.resbank.co.za/content/dam/sarb/publications/reports/annual-reports/2025/sarb-2024-25.pdf.coredownload.inline.pdf" TargetMode="External"/><Relationship Id="rId27" Type="http://schemas.openxmlformats.org/officeDocument/2006/relationships/hyperlink" Target="https://www.gov.za/sites/default/files/gcis_document/201503/act-90-1989.pdf" TargetMode="External"/><Relationship Id="rId28" Type="http://schemas.openxmlformats.org/officeDocument/2006/relationships/hyperlink" Target="https://www.gov.za/sites/default/files/gcis_document/202406/50814-13-06-goldforeignexchangecontingencyreserveaccountdefrayalamend-27-2024.pdf" TargetMode="External"/><Relationship Id="rId29" Type="http://schemas.openxmlformats.org/officeDocument/2006/relationships/hyperlink" Target="https://www.treasury.gov.za/legislation/bills/2024/%5BB7-2024%5D%20Gold%20and%20Foreign%20Exchange%20Contingency%20Reserve%20Account%20Defrayal%20Amendment%20Bill.pdf" TargetMode="External"/><Relationship Id="rId30" Type="http://schemas.openxmlformats.org/officeDocument/2006/relationships/hyperlink" Target="https://www.parliament.gov.za/storage/app/media/Docs/atc/16fc7d16-f2e7-4fcc-8317-ce090375037e.pdf" TargetMode="External"/><Relationship Id="rId31" Type="http://schemas.openxmlformats.org/officeDocument/2006/relationships/hyperlink" Target="https://www.bis.org/publ/bppdf/bispap73x.pdf" TargetMode="External"/><Relationship Id="rId32" Type="http://schemas.openxmlformats.org/officeDocument/2006/relationships/hyperlink" Target="https://www.bis.org/publ/bppdf/bispap71b.pdf" TargetMode="External"/><Relationship Id="rId33" Type="http://schemas.openxmlformats.org/officeDocument/2006/relationships/hyperlink" Target="https://www.bis.org/review/r240313l.htm" TargetMode="External"/><Relationship Id="rId34" Type="http://schemas.openxmlformats.org/officeDocument/2006/relationships/hyperlink" Target="https://www.resbank.co.za/content/dam/sarb/publications/quarterly-bulletins/boxes/2024/december/Box%202%20The%20impact%20of%20the%20Gold%20and%20Foreign%20Exchange%20Contingency%20Reserve%20Account%20distribution%20to%20National%20Treasury%20on%20money%20and%20banking%20statistic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