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South Africa: GFECRA, Central Bank Reserves and Foreign-Currency Debt</w:t>
      </w:r>
    </w:p>
    <w:p>
      <w:pPr>
        <w:jc w:val="center"/>
      </w:pPr>
      <w:r>
        <w:rPr>
          <w:i/>
          <w:sz w:val="22"/>
        </w:rPr>
        <w:t>Generated note prepared by ChatGPT</w:t>
      </w:r>
    </w:p>
    <w:p>
      <w:pPr>
        <w:jc w:val="center"/>
      </w:pPr>
      <w:r>
        <w:rPr>
          <w:sz w:val="18"/>
        </w:rPr>
        <w:t>Generated on 21 May 2026. Figures are sourced from public documents and should be checked against the latest SARB and National Treasury releases before use in formal work.</w:t>
      </w:r>
    </w:p>
    <w:p>
      <w:pPr>
        <w:pStyle w:val="Heading1"/>
      </w:pPr>
      <w:r>
        <w:t>Introduction</w:t>
      </w:r>
    </w:p>
    <w:p>
      <w:r>
        <w:rPr>
          <w:b/>
        </w:rPr>
        <w:t xml:space="preserve">This note was generated by ChatGPT at the user's request. </w:t>
      </w:r>
      <w:r>
        <w:t>It summarises a scale comparison between South Africa's Gold and Foreign Exchange Contingency Reserve Account (GFECRA), the South African Reserve Bank's reserve assets, national government foreign-currency debt, and an approximate measure of state-owned/public-corporation foreign-currency debt. It uses public SARB, National Treasury, IMF and BIS sources. The calculations are indicative because the series come from different publication dates and have different institutional coverage.</w:t>
      </w:r>
    </w:p>
    <w:p>
      <w:pPr>
        <w:pStyle w:val="Heading1"/>
      </w:pPr>
      <w:r>
        <w:t>Executive summary</w:t>
      </w:r>
    </w:p>
    <w:p>
      <w:pPr>
        <w:pStyle w:val="ListBullet"/>
      </w:pPr>
      <w:r>
        <w:t>GFECRA is a valuation account linked to SARB's reserve portfolio. It should not be added to reserves as if it were a separate pool of FX assets.</w:t>
      </w:r>
    </w:p>
    <w:p>
      <w:pPr>
        <w:pStyle w:val="ListBullet"/>
      </w:pPr>
      <w:r>
        <w:t>Using the April 2026 SARB Statement of Assets and Liabilities, the GFECRA balance used here is approximately R361.5 billion.</w:t>
      </w:r>
    </w:p>
    <w:p>
      <w:pPr>
        <w:pStyle w:val="ListBullet"/>
      </w:pPr>
      <w:r>
        <w:t>SARB's April 2026 foreign exchange reserves only were US$51,725 million, equal to about R867.8 billion at the SARB's published US$/ZAR rate of 16.7776. Gross reserves were about R1,293.4 billion, and the international liquidity position was about R1,237.5 billion.</w:t>
      </w:r>
    </w:p>
    <w:p>
      <w:pPr>
        <w:pStyle w:val="ListBullet"/>
      </w:pPr>
      <w:r>
        <w:t>National government foreign loans were R601.9 billion in the 2025/26 revised estimate and R625.2 billion in the 2026/27 budget estimate.</w:t>
      </w:r>
    </w:p>
    <w:p>
      <w:pPr>
        <w:pStyle w:val="ListBullet"/>
      </w:pPr>
      <w:r>
        <w:t>The best simple aggregate proxy for state-owned company FX debt is SARB's public corporations foreign-currency-denominated external debt: US$11,672 million, or about R195.8 billion. This is not identical to all SOC debt reported by National Treasury.</w:t>
      </w:r>
    </w:p>
    <w:p>
      <w:pPr>
        <w:pStyle w:val="ListBullet"/>
      </w:pPr>
      <w:r>
        <w:t>On this basis, SARB reserves exceed national government FX debt and also exceed national government FX debt plus the public corporation proxy. GFECRA alone is large, but materially smaller than these debt aggregates.</w:t>
      </w:r>
    </w:p>
    <w:p>
      <w:pPr>
        <w:pStyle w:val="Heading1"/>
      </w:pPr>
      <w:r>
        <w:t>Method and key assumptions</w:t>
      </w:r>
    </w:p>
    <w:p>
      <w:pPr>
        <w:pStyle w:val="ListBullet"/>
      </w:pPr>
      <w:r>
        <w:t>All US dollar values in the comparison are converted at the SARB April 2026 US$/ZAR exchange rate of 16.7776 from the official reserve information notice.</w:t>
      </w:r>
    </w:p>
    <w:p>
      <w:pPr>
        <w:pStyle w:val="ListBullet"/>
      </w:pPr>
      <w:r>
        <w:t>National government foreign loans are taken from National Treasury Table 7.7 in the 2026 Budget Review. These are rand values and include revaluation based on Treasury projections of inflation and exchange rates.</w:t>
      </w:r>
    </w:p>
    <w:p>
      <w:pPr>
        <w:pStyle w:val="ListBullet"/>
      </w:pPr>
      <w:r>
        <w:t>The public-corporation/SOE FX-debt number is a proxy from SARB external accounts. It covers public corporations excluding deposit-taking institutions. It is not a company-by-company SOE total and does not match the full Schedule 2 SOC perimeter exactly.</w:t>
      </w:r>
    </w:p>
    <w:p>
      <w:pPr>
        <w:pStyle w:val="ListBullet"/>
      </w:pPr>
      <w:r>
        <w:t>GFECRA is treated as a valuation account related to reserves, not as a separate reserve asset. The SARB/National Treasury FAQ states that the GFECRA reform affected the liability side of the SARB balance sheet and not the quantity of FX reserves held.</w:t>
      </w:r>
    </w:p>
    <w:p>
      <w:pPr>
        <w:pStyle w:val="Heading1"/>
      </w:pPr>
      <w:r>
        <w:t>Core numbers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952"/>
            <w:vAlign w:val="top"/>
            <w:shd w:fill="D9EAF7"/>
          </w:tcPr>
          <w:p>
            <w:r>
              <w:rPr>
                <w:rFonts w:ascii="Calibri" w:hAnsi="Calibri"/>
              </w:rPr>
            </w:r>
            <w:r>
              <w:rPr>
                <w:rFonts w:ascii="Calibri" w:hAnsi="Calibri"/>
                <w:b/>
                <w:sz w:val="18"/>
              </w:rPr>
              <w:t>Measure</w:t>
            </w:r>
          </w:p>
        </w:tc>
        <w:tc>
          <w:tcPr>
            <w:tcW w:type="dxa" w:w="3096"/>
            <w:vAlign w:val="top"/>
            <w:shd w:fill="D9EAF7"/>
          </w:tcPr>
          <w:p>
            <w:r>
              <w:rPr>
                <w:rFonts w:ascii="Calibri" w:hAnsi="Calibri"/>
              </w:rPr>
            </w:r>
            <w:r>
              <w:rPr>
                <w:rFonts w:ascii="Calibri" w:hAnsi="Calibri"/>
                <w:b/>
                <w:sz w:val="18"/>
              </w:rPr>
              <w:t>Amount</w:t>
            </w:r>
          </w:p>
        </w:tc>
        <w:tc>
          <w:tcPr>
            <w:tcW w:type="dxa" w:w="2376"/>
            <w:vAlign w:val="top"/>
            <w:shd w:fill="D9EAF7"/>
          </w:tcPr>
          <w:p>
            <w:r>
              <w:rPr>
                <w:rFonts w:ascii="Calibri" w:hAnsi="Calibri"/>
              </w:rPr>
            </w:r>
            <w:r>
              <w:rPr>
                <w:rFonts w:ascii="Calibri" w:hAnsi="Calibri"/>
                <w:b/>
                <w:sz w:val="18"/>
              </w:rPr>
              <w:t>Date / basis</w:t>
            </w:r>
          </w:p>
        </w:tc>
        <w:tc>
          <w:tcPr>
            <w:tcW w:type="dxa" w:w="2232"/>
            <w:vAlign w:val="top"/>
            <w:shd w:fill="D9EAF7"/>
          </w:tcPr>
          <w:p>
            <w:r>
              <w:rPr>
                <w:rFonts w:ascii="Calibri" w:hAnsi="Calibri"/>
              </w:rPr>
            </w:r>
            <w:r>
              <w:rPr>
                <w:rFonts w:ascii="Calibri" w:hAnsi="Calibri"/>
                <w:b/>
                <w:sz w:val="18"/>
              </w:rPr>
              <w:t>Main source</w:t>
            </w:r>
          </w:p>
        </w:tc>
      </w:tr>
      <w:tr>
        <w:tc>
          <w:tcPr>
            <w:tcW w:type="dxa" w:w="2952"/>
          </w:tcPr>
          <w:p>
            <w:r>
              <w:rPr>
                <w:rFonts w:ascii="Calibri" w:hAnsi="Calibri"/>
              </w:rPr>
            </w:r>
            <w:r>
              <w:rPr>
                <w:rFonts w:ascii="Calibri" w:hAnsi="Calibri"/>
                <w:b w:val="0"/>
                <w:sz w:val="17"/>
              </w:rPr>
              <w:t>GFECRA balance</w:t>
            </w:r>
          </w:p>
        </w:tc>
        <w:tc>
          <w:tcPr>
            <w:tcW w:type="dxa" w:w="3096"/>
          </w:tcPr>
          <w:p>
            <w:r>
              <w:rPr>
                <w:rFonts w:ascii="Calibri" w:hAnsi="Calibri"/>
              </w:rPr>
            </w:r>
            <w:r>
              <w:rPr>
                <w:rFonts w:ascii="Calibri" w:hAnsi="Calibri"/>
                <w:b w:val="0"/>
                <w:sz w:val="17"/>
              </w:rPr>
              <w:t>R361.5 billion</w:t>
            </w:r>
          </w:p>
        </w:tc>
        <w:tc>
          <w:tcPr>
            <w:tcW w:type="dxa" w:w="2376"/>
          </w:tcPr>
          <w:p>
            <w:r>
              <w:rPr>
                <w:rFonts w:ascii="Calibri" w:hAnsi="Calibri"/>
              </w:rPr>
            </w:r>
            <w:r>
              <w:rPr>
                <w:rFonts w:ascii="Calibri" w:hAnsi="Calibri"/>
                <w:b w:val="0"/>
                <w:sz w:val="17"/>
              </w:rPr>
              <w:t>30 April 2026</w:t>
            </w:r>
          </w:p>
        </w:tc>
        <w:tc>
          <w:tcPr>
            <w:tcW w:type="dxa" w:w="2232"/>
          </w:tcPr>
          <w:p>
            <w:r>
              <w:rPr>
                <w:rFonts w:ascii="Calibri" w:hAnsi="Calibri"/>
              </w:rPr>
            </w:r>
            <w:r>
              <w:rPr>
                <w:rFonts w:ascii="Calibri" w:hAnsi="Calibri"/>
                <w:b w:val="0"/>
                <w:sz w:val="17"/>
              </w:rPr>
              <w:t>S2; definition in S1</w:t>
            </w:r>
          </w:p>
        </w:tc>
      </w:tr>
      <w:tr>
        <w:tc>
          <w:tcPr>
            <w:tcW w:type="dxa" w:w="2952"/>
          </w:tcPr>
          <w:p>
            <w:r>
              <w:rPr>
                <w:rFonts w:ascii="Calibri" w:hAnsi="Calibri"/>
              </w:rPr>
            </w:r>
            <w:r>
              <w:rPr>
                <w:rFonts w:ascii="Calibri" w:hAnsi="Calibri"/>
                <w:b w:val="0"/>
                <w:sz w:val="17"/>
              </w:rPr>
              <w:t>SARB foreign exchange reserves only</w:t>
            </w:r>
          </w:p>
        </w:tc>
        <w:tc>
          <w:tcPr>
            <w:tcW w:type="dxa" w:w="3096"/>
          </w:tcPr>
          <w:p>
            <w:r>
              <w:rPr>
                <w:rFonts w:ascii="Calibri" w:hAnsi="Calibri"/>
              </w:rPr>
            </w:r>
            <w:r>
              <w:rPr>
                <w:rFonts w:ascii="Calibri" w:hAnsi="Calibri"/>
                <w:b w:val="0"/>
                <w:sz w:val="17"/>
              </w:rPr>
              <w:t>US$51,725 million = R867.8 billion</w:t>
            </w:r>
          </w:p>
        </w:tc>
        <w:tc>
          <w:tcPr>
            <w:tcW w:type="dxa" w:w="2376"/>
          </w:tcPr>
          <w:p>
            <w:r>
              <w:rPr>
                <w:rFonts w:ascii="Calibri" w:hAnsi="Calibri"/>
              </w:rPr>
            </w:r>
            <w:r>
              <w:rPr>
                <w:rFonts w:ascii="Calibri" w:hAnsi="Calibri"/>
                <w:b w:val="0"/>
                <w:sz w:val="17"/>
              </w:rPr>
              <w:t>30 April 2026</w:t>
            </w:r>
          </w:p>
        </w:tc>
        <w:tc>
          <w:tcPr>
            <w:tcW w:type="dxa" w:w="2232"/>
          </w:tcPr>
          <w:p>
            <w:r>
              <w:rPr>
                <w:rFonts w:ascii="Calibri" w:hAnsi="Calibri"/>
              </w:rPr>
            </w:r>
            <w:r>
              <w:rPr>
                <w:rFonts w:ascii="Calibri" w:hAnsi="Calibri"/>
                <w:b w:val="0"/>
                <w:sz w:val="17"/>
              </w:rPr>
              <w:t>S3</w:t>
            </w:r>
          </w:p>
        </w:tc>
      </w:tr>
      <w:tr>
        <w:tc>
          <w:tcPr>
            <w:tcW w:type="dxa" w:w="2952"/>
          </w:tcPr>
          <w:p>
            <w:r>
              <w:rPr>
                <w:rFonts w:ascii="Calibri" w:hAnsi="Calibri"/>
              </w:rPr>
            </w:r>
            <w:r>
              <w:rPr>
                <w:rFonts w:ascii="Calibri" w:hAnsi="Calibri"/>
                <w:b w:val="0"/>
                <w:sz w:val="17"/>
              </w:rPr>
              <w:t>SARB gross reserves</w:t>
            </w:r>
          </w:p>
        </w:tc>
        <w:tc>
          <w:tcPr>
            <w:tcW w:type="dxa" w:w="3096"/>
          </w:tcPr>
          <w:p>
            <w:r>
              <w:rPr>
                <w:rFonts w:ascii="Calibri" w:hAnsi="Calibri"/>
              </w:rPr>
            </w:r>
            <w:r>
              <w:rPr>
                <w:rFonts w:ascii="Calibri" w:hAnsi="Calibri"/>
                <w:b w:val="0"/>
                <w:sz w:val="17"/>
              </w:rPr>
              <w:t>US$77,089 million = R1,293.4 billion</w:t>
            </w:r>
          </w:p>
        </w:tc>
        <w:tc>
          <w:tcPr>
            <w:tcW w:type="dxa" w:w="2376"/>
          </w:tcPr>
          <w:p>
            <w:r>
              <w:rPr>
                <w:rFonts w:ascii="Calibri" w:hAnsi="Calibri"/>
              </w:rPr>
            </w:r>
            <w:r>
              <w:rPr>
                <w:rFonts w:ascii="Calibri" w:hAnsi="Calibri"/>
                <w:b w:val="0"/>
                <w:sz w:val="17"/>
              </w:rPr>
              <w:t>30 April 2026</w:t>
            </w:r>
          </w:p>
        </w:tc>
        <w:tc>
          <w:tcPr>
            <w:tcW w:type="dxa" w:w="2232"/>
          </w:tcPr>
          <w:p>
            <w:r>
              <w:rPr>
                <w:rFonts w:ascii="Calibri" w:hAnsi="Calibri"/>
              </w:rPr>
            </w:r>
            <w:r>
              <w:rPr>
                <w:rFonts w:ascii="Calibri" w:hAnsi="Calibri"/>
                <w:b w:val="0"/>
                <w:sz w:val="17"/>
              </w:rPr>
              <w:t>S3</w:t>
            </w:r>
          </w:p>
        </w:tc>
      </w:tr>
      <w:tr>
        <w:tc>
          <w:tcPr>
            <w:tcW w:type="dxa" w:w="2952"/>
          </w:tcPr>
          <w:p>
            <w:r>
              <w:rPr>
                <w:rFonts w:ascii="Calibri" w:hAnsi="Calibri"/>
              </w:rPr>
            </w:r>
            <w:r>
              <w:rPr>
                <w:rFonts w:ascii="Calibri" w:hAnsi="Calibri"/>
                <w:b w:val="0"/>
                <w:sz w:val="17"/>
              </w:rPr>
              <w:t>SARB international liquidity position</w:t>
            </w:r>
          </w:p>
        </w:tc>
        <w:tc>
          <w:tcPr>
            <w:tcW w:type="dxa" w:w="3096"/>
          </w:tcPr>
          <w:p>
            <w:r>
              <w:rPr>
                <w:rFonts w:ascii="Calibri" w:hAnsi="Calibri"/>
              </w:rPr>
            </w:r>
            <w:r>
              <w:rPr>
                <w:rFonts w:ascii="Calibri" w:hAnsi="Calibri"/>
                <w:b w:val="0"/>
                <w:sz w:val="17"/>
              </w:rPr>
              <w:t>US$73,757 million = R1,237.5 billion</w:t>
            </w:r>
          </w:p>
        </w:tc>
        <w:tc>
          <w:tcPr>
            <w:tcW w:type="dxa" w:w="2376"/>
          </w:tcPr>
          <w:p>
            <w:r>
              <w:rPr>
                <w:rFonts w:ascii="Calibri" w:hAnsi="Calibri"/>
              </w:rPr>
            </w:r>
            <w:r>
              <w:rPr>
                <w:rFonts w:ascii="Calibri" w:hAnsi="Calibri"/>
                <w:b w:val="0"/>
                <w:sz w:val="17"/>
              </w:rPr>
              <w:t>30 April 2026</w:t>
            </w:r>
          </w:p>
        </w:tc>
        <w:tc>
          <w:tcPr>
            <w:tcW w:type="dxa" w:w="2232"/>
          </w:tcPr>
          <w:p>
            <w:r>
              <w:rPr>
                <w:rFonts w:ascii="Calibri" w:hAnsi="Calibri"/>
              </w:rPr>
            </w:r>
            <w:r>
              <w:rPr>
                <w:rFonts w:ascii="Calibri" w:hAnsi="Calibri"/>
                <w:b w:val="0"/>
                <w:sz w:val="17"/>
              </w:rPr>
              <w:t>S3</w:t>
            </w:r>
          </w:p>
        </w:tc>
      </w:tr>
      <w:tr>
        <w:tc>
          <w:tcPr>
            <w:tcW w:type="dxa" w:w="2952"/>
          </w:tcPr>
          <w:p>
            <w:r>
              <w:rPr>
                <w:rFonts w:ascii="Calibri" w:hAnsi="Calibri"/>
              </w:rPr>
            </w:r>
            <w:r>
              <w:rPr>
                <w:rFonts w:ascii="Calibri" w:hAnsi="Calibri"/>
                <w:b w:val="0"/>
                <w:sz w:val="17"/>
              </w:rPr>
              <w:t>Gold reserves</w:t>
            </w:r>
          </w:p>
        </w:tc>
        <w:tc>
          <w:tcPr>
            <w:tcW w:type="dxa" w:w="3096"/>
          </w:tcPr>
          <w:p>
            <w:r>
              <w:rPr>
                <w:rFonts w:ascii="Calibri" w:hAnsi="Calibri"/>
              </w:rPr>
            </w:r>
            <w:r>
              <w:rPr>
                <w:rFonts w:ascii="Calibri" w:hAnsi="Calibri"/>
                <w:b w:val="0"/>
                <w:sz w:val="17"/>
              </w:rPr>
              <w:t>US$18,700 million = R313.7 billion</w:t>
            </w:r>
          </w:p>
        </w:tc>
        <w:tc>
          <w:tcPr>
            <w:tcW w:type="dxa" w:w="2376"/>
          </w:tcPr>
          <w:p>
            <w:r>
              <w:rPr>
                <w:rFonts w:ascii="Calibri" w:hAnsi="Calibri"/>
              </w:rPr>
            </w:r>
            <w:r>
              <w:rPr>
                <w:rFonts w:ascii="Calibri" w:hAnsi="Calibri"/>
                <w:b w:val="0"/>
                <w:sz w:val="17"/>
              </w:rPr>
              <w:t>30 April 2026</w:t>
            </w:r>
          </w:p>
        </w:tc>
        <w:tc>
          <w:tcPr>
            <w:tcW w:type="dxa" w:w="2232"/>
          </w:tcPr>
          <w:p>
            <w:r>
              <w:rPr>
                <w:rFonts w:ascii="Calibri" w:hAnsi="Calibri"/>
              </w:rPr>
            </w:r>
            <w:r>
              <w:rPr>
                <w:rFonts w:ascii="Calibri" w:hAnsi="Calibri"/>
                <w:b w:val="0"/>
                <w:sz w:val="17"/>
              </w:rPr>
              <w:t>S3</w:t>
            </w:r>
          </w:p>
        </w:tc>
      </w:tr>
      <w:tr>
        <w:tc>
          <w:tcPr>
            <w:tcW w:type="dxa" w:w="2952"/>
          </w:tcPr>
          <w:p>
            <w:r>
              <w:rPr>
                <w:rFonts w:ascii="Calibri" w:hAnsi="Calibri"/>
              </w:rPr>
            </w:r>
            <w:r>
              <w:rPr>
                <w:rFonts w:ascii="Calibri" w:hAnsi="Calibri"/>
                <w:b w:val="0"/>
                <w:sz w:val="17"/>
              </w:rPr>
              <w:t>SDR holdings</w:t>
            </w:r>
          </w:p>
        </w:tc>
        <w:tc>
          <w:tcPr>
            <w:tcW w:type="dxa" w:w="3096"/>
          </w:tcPr>
          <w:p>
            <w:r>
              <w:rPr>
                <w:rFonts w:ascii="Calibri" w:hAnsi="Calibri"/>
              </w:rPr>
            </w:r>
            <w:r>
              <w:rPr>
                <w:rFonts w:ascii="Calibri" w:hAnsi="Calibri"/>
                <w:b w:val="0"/>
                <w:sz w:val="17"/>
              </w:rPr>
              <w:t>US$6,664 million = R111.8 billion</w:t>
            </w:r>
          </w:p>
        </w:tc>
        <w:tc>
          <w:tcPr>
            <w:tcW w:type="dxa" w:w="2376"/>
          </w:tcPr>
          <w:p>
            <w:r>
              <w:rPr>
                <w:rFonts w:ascii="Calibri" w:hAnsi="Calibri"/>
              </w:rPr>
            </w:r>
            <w:r>
              <w:rPr>
                <w:rFonts w:ascii="Calibri" w:hAnsi="Calibri"/>
                <w:b w:val="0"/>
                <w:sz w:val="17"/>
              </w:rPr>
              <w:t>30 April 2026</w:t>
            </w:r>
          </w:p>
        </w:tc>
        <w:tc>
          <w:tcPr>
            <w:tcW w:type="dxa" w:w="2232"/>
          </w:tcPr>
          <w:p>
            <w:r>
              <w:rPr>
                <w:rFonts w:ascii="Calibri" w:hAnsi="Calibri"/>
              </w:rPr>
            </w:r>
            <w:r>
              <w:rPr>
                <w:rFonts w:ascii="Calibri" w:hAnsi="Calibri"/>
                <w:b w:val="0"/>
                <w:sz w:val="17"/>
              </w:rPr>
              <w:t>S3</w:t>
            </w:r>
          </w:p>
        </w:tc>
      </w:tr>
      <w:tr>
        <w:tc>
          <w:tcPr>
            <w:tcW w:type="dxa" w:w="2952"/>
          </w:tcPr>
          <w:p>
            <w:r>
              <w:rPr>
                <w:rFonts w:ascii="Calibri" w:hAnsi="Calibri"/>
              </w:rPr>
            </w:r>
            <w:r>
              <w:rPr>
                <w:rFonts w:ascii="Calibri" w:hAnsi="Calibri"/>
                <w:b w:val="0"/>
                <w:sz w:val="17"/>
              </w:rPr>
              <w:t>National government foreign loans / FX debt</w:t>
            </w:r>
          </w:p>
        </w:tc>
        <w:tc>
          <w:tcPr>
            <w:tcW w:type="dxa" w:w="3096"/>
          </w:tcPr>
          <w:p>
            <w:r>
              <w:rPr>
                <w:rFonts w:ascii="Calibri" w:hAnsi="Calibri"/>
              </w:rPr>
            </w:r>
            <w:r>
              <w:rPr>
                <w:rFonts w:ascii="Calibri" w:hAnsi="Calibri"/>
                <w:b w:val="0"/>
                <w:sz w:val="17"/>
              </w:rPr>
              <w:t>R601.9 billion</w:t>
            </w:r>
          </w:p>
        </w:tc>
        <w:tc>
          <w:tcPr>
            <w:tcW w:type="dxa" w:w="2376"/>
          </w:tcPr>
          <w:p>
            <w:r>
              <w:rPr>
                <w:rFonts w:ascii="Calibri" w:hAnsi="Calibri"/>
              </w:rPr>
            </w:r>
            <w:r>
              <w:rPr>
                <w:rFonts w:ascii="Calibri" w:hAnsi="Calibri"/>
                <w:b w:val="0"/>
                <w:sz w:val="17"/>
              </w:rPr>
              <w:t>2025/26 revised estimate</w:t>
            </w:r>
          </w:p>
        </w:tc>
        <w:tc>
          <w:tcPr>
            <w:tcW w:type="dxa" w:w="2232"/>
          </w:tcPr>
          <w:p>
            <w:r>
              <w:rPr>
                <w:rFonts w:ascii="Calibri" w:hAnsi="Calibri"/>
              </w:rPr>
            </w:r>
            <w:r>
              <w:rPr>
                <w:rFonts w:ascii="Calibri" w:hAnsi="Calibri"/>
                <w:b w:val="0"/>
                <w:sz w:val="17"/>
              </w:rPr>
              <w:t>S4</w:t>
            </w:r>
          </w:p>
        </w:tc>
      </w:tr>
      <w:tr>
        <w:tc>
          <w:tcPr>
            <w:tcW w:type="dxa" w:w="2952"/>
          </w:tcPr>
          <w:p>
            <w:r>
              <w:rPr>
                <w:rFonts w:ascii="Calibri" w:hAnsi="Calibri"/>
              </w:rPr>
            </w:r>
            <w:r>
              <w:rPr>
                <w:rFonts w:ascii="Calibri" w:hAnsi="Calibri"/>
                <w:b w:val="0"/>
                <w:sz w:val="17"/>
              </w:rPr>
              <w:t>National government foreign loans / FX debt</w:t>
            </w:r>
          </w:p>
        </w:tc>
        <w:tc>
          <w:tcPr>
            <w:tcW w:type="dxa" w:w="3096"/>
          </w:tcPr>
          <w:p>
            <w:r>
              <w:rPr>
                <w:rFonts w:ascii="Calibri" w:hAnsi="Calibri"/>
              </w:rPr>
            </w:r>
            <w:r>
              <w:rPr>
                <w:rFonts w:ascii="Calibri" w:hAnsi="Calibri"/>
                <w:b w:val="0"/>
                <w:sz w:val="17"/>
              </w:rPr>
              <w:t>R625.2 billion</w:t>
            </w:r>
          </w:p>
        </w:tc>
        <w:tc>
          <w:tcPr>
            <w:tcW w:type="dxa" w:w="2376"/>
          </w:tcPr>
          <w:p>
            <w:r>
              <w:rPr>
                <w:rFonts w:ascii="Calibri" w:hAnsi="Calibri"/>
              </w:rPr>
            </w:r>
            <w:r>
              <w:rPr>
                <w:rFonts w:ascii="Calibri" w:hAnsi="Calibri"/>
                <w:b w:val="0"/>
                <w:sz w:val="17"/>
              </w:rPr>
              <w:t>2026/27 budget estimate</w:t>
            </w:r>
          </w:p>
        </w:tc>
        <w:tc>
          <w:tcPr>
            <w:tcW w:type="dxa" w:w="2232"/>
          </w:tcPr>
          <w:p>
            <w:r>
              <w:rPr>
                <w:rFonts w:ascii="Calibri" w:hAnsi="Calibri"/>
              </w:rPr>
            </w:r>
            <w:r>
              <w:rPr>
                <w:rFonts w:ascii="Calibri" w:hAnsi="Calibri"/>
                <w:b w:val="0"/>
                <w:sz w:val="17"/>
              </w:rPr>
              <w:t>S4</w:t>
            </w:r>
          </w:p>
        </w:tc>
      </w:tr>
      <w:tr>
        <w:tc>
          <w:tcPr>
            <w:tcW w:type="dxa" w:w="2952"/>
          </w:tcPr>
          <w:p>
            <w:r>
              <w:rPr>
                <w:rFonts w:ascii="Calibri" w:hAnsi="Calibri"/>
              </w:rPr>
            </w:r>
            <w:r>
              <w:rPr>
                <w:rFonts w:ascii="Calibri" w:hAnsi="Calibri"/>
                <w:b w:val="0"/>
                <w:sz w:val="17"/>
              </w:rPr>
              <w:t>Average foreign-currency debt over medium term</w:t>
            </w:r>
          </w:p>
        </w:tc>
        <w:tc>
          <w:tcPr>
            <w:tcW w:type="dxa" w:w="3096"/>
          </w:tcPr>
          <w:p>
            <w:r>
              <w:rPr>
                <w:rFonts w:ascii="Calibri" w:hAnsi="Calibri"/>
              </w:rPr>
            </w:r>
            <w:r>
              <w:rPr>
                <w:rFonts w:ascii="Calibri" w:hAnsi="Calibri"/>
                <w:b w:val="0"/>
                <w:sz w:val="17"/>
              </w:rPr>
              <w:t>R694.5 billion</w:t>
            </w:r>
          </w:p>
        </w:tc>
        <w:tc>
          <w:tcPr>
            <w:tcW w:type="dxa" w:w="2376"/>
          </w:tcPr>
          <w:p>
            <w:r>
              <w:rPr>
                <w:rFonts w:ascii="Calibri" w:hAnsi="Calibri"/>
              </w:rPr>
            </w:r>
            <w:r>
              <w:rPr>
                <w:rFonts w:ascii="Calibri" w:hAnsi="Calibri"/>
                <w:b w:val="0"/>
                <w:sz w:val="17"/>
              </w:rPr>
              <w:t>Medium-term Budget Review statement</w:t>
            </w:r>
          </w:p>
        </w:tc>
        <w:tc>
          <w:tcPr>
            <w:tcW w:type="dxa" w:w="2232"/>
          </w:tcPr>
          <w:p>
            <w:r>
              <w:rPr>
                <w:rFonts w:ascii="Calibri" w:hAnsi="Calibri"/>
              </w:rPr>
            </w:r>
            <w:r>
              <w:rPr>
                <w:rFonts w:ascii="Calibri" w:hAnsi="Calibri"/>
                <w:b w:val="0"/>
                <w:sz w:val="17"/>
              </w:rPr>
              <w:t>S4</w:t>
            </w:r>
          </w:p>
        </w:tc>
      </w:tr>
      <w:tr>
        <w:tc>
          <w:tcPr>
            <w:tcW w:type="dxa" w:w="2952"/>
          </w:tcPr>
          <w:p>
            <w:r>
              <w:rPr>
                <w:rFonts w:ascii="Calibri" w:hAnsi="Calibri"/>
              </w:rPr>
            </w:r>
            <w:r>
              <w:rPr>
                <w:rFonts w:ascii="Calibri" w:hAnsi="Calibri"/>
                <w:b w:val="0"/>
                <w:sz w:val="17"/>
              </w:rPr>
              <w:t>National Treasury foreign-currency deposits offset</w:t>
            </w:r>
          </w:p>
        </w:tc>
        <w:tc>
          <w:tcPr>
            <w:tcW w:type="dxa" w:w="3096"/>
          </w:tcPr>
          <w:p>
            <w:r>
              <w:rPr>
                <w:rFonts w:ascii="Calibri" w:hAnsi="Calibri"/>
              </w:rPr>
            </w:r>
            <w:r>
              <w:rPr>
                <w:rFonts w:ascii="Calibri" w:hAnsi="Calibri"/>
                <w:b w:val="0"/>
                <w:sz w:val="17"/>
              </w:rPr>
              <w:t>US$5.5 billion = R92.3 billion</w:t>
            </w:r>
          </w:p>
        </w:tc>
        <w:tc>
          <w:tcPr>
            <w:tcW w:type="dxa" w:w="2376"/>
          </w:tcPr>
          <w:p>
            <w:r>
              <w:rPr>
                <w:rFonts w:ascii="Calibri" w:hAnsi="Calibri"/>
              </w:rPr>
            </w:r>
            <w:r>
              <w:rPr>
                <w:rFonts w:ascii="Calibri" w:hAnsi="Calibri"/>
                <w:b w:val="0"/>
                <w:sz w:val="17"/>
              </w:rPr>
              <w:t>2025/26</w:t>
            </w:r>
          </w:p>
        </w:tc>
        <w:tc>
          <w:tcPr>
            <w:tcW w:type="dxa" w:w="2232"/>
          </w:tcPr>
          <w:p>
            <w:r>
              <w:rPr>
                <w:rFonts w:ascii="Calibri" w:hAnsi="Calibri"/>
              </w:rPr>
            </w:r>
            <w:r>
              <w:rPr>
                <w:rFonts w:ascii="Calibri" w:hAnsi="Calibri"/>
                <w:b w:val="0"/>
                <w:sz w:val="17"/>
              </w:rPr>
              <w:t>S4; converted using S3 rate</w:t>
            </w:r>
          </w:p>
        </w:tc>
      </w:tr>
      <w:tr>
        <w:tc>
          <w:tcPr>
            <w:tcW w:type="dxa" w:w="2952"/>
          </w:tcPr>
          <w:p>
            <w:r>
              <w:rPr>
                <w:rFonts w:ascii="Calibri" w:hAnsi="Calibri"/>
              </w:rPr>
            </w:r>
            <w:r>
              <w:rPr>
                <w:rFonts w:ascii="Calibri" w:hAnsi="Calibri"/>
                <w:b w:val="0"/>
                <w:sz w:val="17"/>
              </w:rPr>
              <w:t>Public corporations / SOE FX-debt proxy</w:t>
            </w:r>
          </w:p>
        </w:tc>
        <w:tc>
          <w:tcPr>
            <w:tcW w:type="dxa" w:w="3096"/>
          </w:tcPr>
          <w:p>
            <w:r>
              <w:rPr>
                <w:rFonts w:ascii="Calibri" w:hAnsi="Calibri"/>
              </w:rPr>
            </w:r>
            <w:r>
              <w:rPr>
                <w:rFonts w:ascii="Calibri" w:hAnsi="Calibri"/>
                <w:b w:val="0"/>
                <w:sz w:val="17"/>
              </w:rPr>
              <w:t>US$11,672 million = R195.8 billion</w:t>
            </w:r>
          </w:p>
        </w:tc>
        <w:tc>
          <w:tcPr>
            <w:tcW w:type="dxa" w:w="2376"/>
          </w:tcPr>
          <w:p>
            <w:r>
              <w:rPr>
                <w:rFonts w:ascii="Calibri" w:hAnsi="Calibri"/>
              </w:rPr>
            </w:r>
            <w:r>
              <w:rPr>
                <w:rFonts w:ascii="Calibri" w:hAnsi="Calibri"/>
                <w:b w:val="0"/>
                <w:sz w:val="17"/>
              </w:rPr>
              <w:t>End-September 2025 maturity table</w:t>
            </w:r>
          </w:p>
        </w:tc>
        <w:tc>
          <w:tcPr>
            <w:tcW w:type="dxa" w:w="2232"/>
          </w:tcPr>
          <w:p>
            <w:r>
              <w:rPr>
                <w:rFonts w:ascii="Calibri" w:hAnsi="Calibri"/>
              </w:rPr>
            </w:r>
            <w:r>
              <w:rPr>
                <w:rFonts w:ascii="Calibri" w:hAnsi="Calibri"/>
                <w:b w:val="0"/>
                <w:sz w:val="17"/>
              </w:rPr>
              <w:t>S5</w:t>
            </w:r>
          </w:p>
        </w:tc>
      </w:tr>
      <w:tr>
        <w:tc>
          <w:tcPr>
            <w:tcW w:type="dxa" w:w="2952"/>
          </w:tcPr>
          <w:p>
            <w:r>
              <w:rPr>
                <w:rFonts w:ascii="Calibri" w:hAnsi="Calibri"/>
              </w:rPr>
            </w:r>
            <w:r>
              <w:rPr>
                <w:rFonts w:ascii="Calibri" w:hAnsi="Calibri"/>
                <w:b w:val="0"/>
                <w:sz w:val="17"/>
              </w:rPr>
              <w:t>National government plus public-corporation FX debt proxy</w:t>
            </w:r>
          </w:p>
        </w:tc>
        <w:tc>
          <w:tcPr>
            <w:tcW w:type="dxa" w:w="3096"/>
          </w:tcPr>
          <w:p>
            <w:r>
              <w:rPr>
                <w:rFonts w:ascii="Calibri" w:hAnsi="Calibri"/>
              </w:rPr>
            </w:r>
            <w:r>
              <w:rPr>
                <w:rFonts w:ascii="Calibri" w:hAnsi="Calibri"/>
                <w:b w:val="0"/>
                <w:sz w:val="17"/>
              </w:rPr>
              <w:t>R797.7 billion</w:t>
            </w:r>
          </w:p>
        </w:tc>
        <w:tc>
          <w:tcPr>
            <w:tcW w:type="dxa" w:w="2376"/>
          </w:tcPr>
          <w:p>
            <w:r>
              <w:rPr>
                <w:rFonts w:ascii="Calibri" w:hAnsi="Calibri"/>
              </w:rPr>
            </w:r>
            <w:r>
              <w:rPr>
                <w:rFonts w:ascii="Calibri" w:hAnsi="Calibri"/>
                <w:b w:val="0"/>
                <w:sz w:val="17"/>
              </w:rPr>
              <w:t>Calculated: R601.9bn + R195.8bn</w:t>
            </w:r>
          </w:p>
        </w:tc>
        <w:tc>
          <w:tcPr>
            <w:tcW w:type="dxa" w:w="2232"/>
          </w:tcPr>
          <w:p>
            <w:r>
              <w:rPr>
                <w:rFonts w:ascii="Calibri" w:hAnsi="Calibri"/>
              </w:rPr>
            </w:r>
            <w:r>
              <w:rPr>
                <w:rFonts w:ascii="Calibri" w:hAnsi="Calibri"/>
                <w:b w:val="0"/>
                <w:sz w:val="17"/>
              </w:rPr>
              <w:t>S4, S5</w:t>
            </w:r>
          </w:p>
        </w:tc>
      </w:tr>
      <w:tr>
        <w:tc>
          <w:tcPr>
            <w:tcW w:type="dxa" w:w="2952"/>
          </w:tcPr>
          <w:p>
            <w:r>
              <w:rPr>
                <w:rFonts w:ascii="Calibri" w:hAnsi="Calibri"/>
              </w:rPr>
            </w:r>
            <w:r>
              <w:rPr>
                <w:rFonts w:ascii="Calibri" w:hAnsi="Calibri"/>
                <w:b w:val="0"/>
                <w:sz w:val="17"/>
              </w:rPr>
              <w:t>Total liabilities of selected state-owned companies</w:t>
            </w:r>
          </w:p>
        </w:tc>
        <w:tc>
          <w:tcPr>
            <w:tcW w:type="dxa" w:w="3096"/>
          </w:tcPr>
          <w:p>
            <w:r>
              <w:rPr>
                <w:rFonts w:ascii="Calibri" w:hAnsi="Calibri"/>
              </w:rPr>
            </w:r>
            <w:r>
              <w:rPr>
                <w:rFonts w:ascii="Calibri" w:hAnsi="Calibri"/>
                <w:b w:val="0"/>
                <w:sz w:val="17"/>
              </w:rPr>
              <w:t>R924.1 billion</w:t>
            </w:r>
          </w:p>
        </w:tc>
        <w:tc>
          <w:tcPr>
            <w:tcW w:type="dxa" w:w="2376"/>
          </w:tcPr>
          <w:p>
            <w:r>
              <w:rPr>
                <w:rFonts w:ascii="Calibri" w:hAnsi="Calibri"/>
              </w:rPr>
            </w:r>
            <w:r>
              <w:rPr>
                <w:rFonts w:ascii="Calibri" w:hAnsi="Calibri"/>
                <w:b w:val="0"/>
                <w:sz w:val="17"/>
              </w:rPr>
              <w:t>2024/25; Schedule 2 SOCs excluding DFIs</w:t>
            </w:r>
          </w:p>
        </w:tc>
        <w:tc>
          <w:tcPr>
            <w:tcW w:type="dxa" w:w="2232"/>
          </w:tcPr>
          <w:p>
            <w:r>
              <w:rPr>
                <w:rFonts w:ascii="Calibri" w:hAnsi="Calibri"/>
              </w:rPr>
            </w:r>
            <w:r>
              <w:rPr>
                <w:rFonts w:ascii="Calibri" w:hAnsi="Calibri"/>
                <w:b w:val="0"/>
                <w:sz w:val="17"/>
              </w:rPr>
              <w:t>S6</w:t>
            </w:r>
          </w:p>
        </w:tc>
      </w:tr>
    </w:tbl>
    <w:p>
      <w:pPr>
        <w:pStyle w:val="Heading1"/>
      </w:pPr>
      <w:r>
        <w:t>Coverage ratios</w:t>
      </w:r>
    </w:p>
    <w:p>
      <w:r>
        <w:rPr>
          <w:b/>
        </w:rPr>
        <w:t xml:space="preserve">Coverage against national government foreign loans. </w:t>
      </w:r>
      <w:r>
        <w:t>The denominator is R601.9 billion, the 2025/26 revised estimate for national government foreign loans.</w:t>
      </w:r>
    </w:p>
    <w:tbl>
      <w:tblPr>
        <w:tblStyle w:val="TableGrid"/>
        <w:tblW w:type="auto" w:w="0"/>
        <w:jc w:val="center"/>
        <w:tblLook w:firstColumn="1" w:firstRow="1" w:lastColumn="0" w:lastRow="0" w:noHBand="0" w:noVBand="1" w:val="04A0"/>
      </w:tblPr>
      <w:tblGrid>
        <w:gridCol w:w="5040"/>
        <w:gridCol w:w="5040"/>
      </w:tblGrid>
      <w:tr>
        <w:tc>
          <w:tcPr>
            <w:tcW w:type="dxa" w:w="7056"/>
            <w:vAlign w:val="top"/>
            <w:shd w:fill="D9EAD3"/>
          </w:tcPr>
          <w:p>
            <w:r>
              <w:rPr>
                <w:rFonts w:ascii="Calibri" w:hAnsi="Calibri"/>
              </w:rPr>
            </w:r>
            <w:r>
              <w:rPr>
                <w:rFonts w:ascii="Calibri" w:hAnsi="Calibri"/>
                <w:b/>
                <w:sz w:val="18"/>
              </w:rPr>
              <w:t>Comparison</w:t>
            </w:r>
          </w:p>
        </w:tc>
        <w:tc>
          <w:tcPr>
            <w:tcW w:type="dxa" w:w="2160"/>
            <w:vAlign w:val="top"/>
            <w:shd w:fill="D9EAD3"/>
          </w:tcPr>
          <w:p>
            <w:r>
              <w:rPr>
                <w:rFonts w:ascii="Calibri" w:hAnsi="Calibri"/>
              </w:rPr>
            </w:r>
            <w:r>
              <w:rPr>
                <w:rFonts w:ascii="Calibri" w:hAnsi="Calibri"/>
                <w:b/>
                <w:sz w:val="18"/>
              </w:rPr>
              <w:t>Coverage ratio</w:t>
            </w:r>
          </w:p>
        </w:tc>
      </w:tr>
      <w:tr>
        <w:tc>
          <w:tcPr>
            <w:tcW w:type="dxa" w:w="7056"/>
          </w:tcPr>
          <w:p>
            <w:r>
              <w:rPr>
                <w:rFonts w:ascii="Calibri" w:hAnsi="Calibri"/>
              </w:rPr>
            </w:r>
            <w:r>
              <w:rPr>
                <w:rFonts w:ascii="Calibri" w:hAnsi="Calibri"/>
                <w:b w:val="0"/>
                <w:sz w:val="18"/>
              </w:rPr>
              <w:t>GFECRA / national government foreign loans</w:t>
            </w:r>
          </w:p>
        </w:tc>
        <w:tc>
          <w:tcPr>
            <w:tcW w:type="dxa" w:w="2160"/>
          </w:tcPr>
          <w:p>
            <w:r>
              <w:rPr>
                <w:rFonts w:ascii="Calibri" w:hAnsi="Calibri"/>
              </w:rPr>
            </w:r>
            <w:r>
              <w:rPr>
                <w:rFonts w:ascii="Calibri" w:hAnsi="Calibri"/>
                <w:b w:val="0"/>
                <w:sz w:val="18"/>
              </w:rPr>
              <w:t>60.1%</w:t>
            </w:r>
          </w:p>
        </w:tc>
      </w:tr>
      <w:tr>
        <w:tc>
          <w:tcPr>
            <w:tcW w:type="dxa" w:w="7056"/>
          </w:tcPr>
          <w:p>
            <w:r>
              <w:rPr>
                <w:rFonts w:ascii="Calibri" w:hAnsi="Calibri"/>
              </w:rPr>
            </w:r>
            <w:r>
              <w:rPr>
                <w:rFonts w:ascii="Calibri" w:hAnsi="Calibri"/>
                <w:b w:val="0"/>
                <w:sz w:val="18"/>
              </w:rPr>
              <w:t>SARB foreign exchange reserves only / national government foreign loans</w:t>
            </w:r>
          </w:p>
        </w:tc>
        <w:tc>
          <w:tcPr>
            <w:tcW w:type="dxa" w:w="2160"/>
          </w:tcPr>
          <w:p>
            <w:r>
              <w:rPr>
                <w:rFonts w:ascii="Calibri" w:hAnsi="Calibri"/>
              </w:rPr>
            </w:r>
            <w:r>
              <w:rPr>
                <w:rFonts w:ascii="Calibri" w:hAnsi="Calibri"/>
                <w:b w:val="0"/>
                <w:sz w:val="18"/>
              </w:rPr>
              <w:t>144.2%</w:t>
            </w:r>
          </w:p>
        </w:tc>
      </w:tr>
      <w:tr>
        <w:tc>
          <w:tcPr>
            <w:tcW w:type="dxa" w:w="7056"/>
          </w:tcPr>
          <w:p>
            <w:r>
              <w:rPr>
                <w:rFonts w:ascii="Calibri" w:hAnsi="Calibri"/>
              </w:rPr>
            </w:r>
            <w:r>
              <w:rPr>
                <w:rFonts w:ascii="Calibri" w:hAnsi="Calibri"/>
                <w:b w:val="0"/>
                <w:sz w:val="18"/>
              </w:rPr>
              <w:t>SARB gross reserves / national government foreign loans</w:t>
            </w:r>
          </w:p>
        </w:tc>
        <w:tc>
          <w:tcPr>
            <w:tcW w:type="dxa" w:w="2160"/>
          </w:tcPr>
          <w:p>
            <w:r>
              <w:rPr>
                <w:rFonts w:ascii="Calibri" w:hAnsi="Calibri"/>
              </w:rPr>
            </w:r>
            <w:r>
              <w:rPr>
                <w:rFonts w:ascii="Calibri" w:hAnsi="Calibri"/>
                <w:b w:val="0"/>
                <w:sz w:val="18"/>
              </w:rPr>
              <w:t>214.9%</w:t>
            </w:r>
          </w:p>
        </w:tc>
      </w:tr>
      <w:tr>
        <w:tc>
          <w:tcPr>
            <w:tcW w:type="dxa" w:w="7056"/>
          </w:tcPr>
          <w:p>
            <w:r>
              <w:rPr>
                <w:rFonts w:ascii="Calibri" w:hAnsi="Calibri"/>
              </w:rPr>
            </w:r>
            <w:r>
              <w:rPr>
                <w:rFonts w:ascii="Calibri" w:hAnsi="Calibri"/>
                <w:b w:val="0"/>
                <w:sz w:val="18"/>
              </w:rPr>
              <w:t>SARB international liquidity position / national government foreign loans</w:t>
            </w:r>
          </w:p>
        </w:tc>
        <w:tc>
          <w:tcPr>
            <w:tcW w:type="dxa" w:w="2160"/>
          </w:tcPr>
          <w:p>
            <w:r>
              <w:rPr>
                <w:rFonts w:ascii="Calibri" w:hAnsi="Calibri"/>
              </w:rPr>
            </w:r>
            <w:r>
              <w:rPr>
                <w:rFonts w:ascii="Calibri" w:hAnsi="Calibri"/>
                <w:b w:val="0"/>
                <w:sz w:val="18"/>
              </w:rPr>
              <w:t>205.6%</w:t>
            </w:r>
          </w:p>
        </w:tc>
      </w:tr>
    </w:tbl>
    <w:p>
      <w:r>
        <w:rPr>
          <w:b/>
        </w:rPr>
        <w:t xml:space="preserve">Coverage against national government plus public-corporation FX-debt proxy. </w:t>
      </w:r>
      <w:r>
        <w:t>The denominator is R797.7 billion: R601.9 billion in national government foreign loans plus R195.8 billion for SARB public corporations foreign-currency-denominated debt.</w:t>
      </w:r>
    </w:p>
    <w:tbl>
      <w:tblPr>
        <w:tblStyle w:val="TableGrid"/>
        <w:tblW w:type="auto" w:w="0"/>
        <w:jc w:val="center"/>
        <w:tblLook w:firstColumn="1" w:firstRow="1" w:lastColumn="0" w:lastRow="0" w:noHBand="0" w:noVBand="1" w:val="04A0"/>
      </w:tblPr>
      <w:tblGrid>
        <w:gridCol w:w="5040"/>
        <w:gridCol w:w="5040"/>
      </w:tblGrid>
      <w:tr>
        <w:tc>
          <w:tcPr>
            <w:tcW w:type="dxa" w:w="7056"/>
            <w:vAlign w:val="top"/>
            <w:shd w:fill="D9EAD3"/>
          </w:tcPr>
          <w:p>
            <w:r>
              <w:rPr>
                <w:rFonts w:ascii="Calibri" w:hAnsi="Calibri"/>
              </w:rPr>
            </w:r>
            <w:r>
              <w:rPr>
                <w:rFonts w:ascii="Calibri" w:hAnsi="Calibri"/>
                <w:b/>
                <w:sz w:val="18"/>
              </w:rPr>
              <w:t>Comparison</w:t>
            </w:r>
          </w:p>
        </w:tc>
        <w:tc>
          <w:tcPr>
            <w:tcW w:type="dxa" w:w="2160"/>
            <w:vAlign w:val="top"/>
            <w:shd w:fill="D9EAD3"/>
          </w:tcPr>
          <w:p>
            <w:r>
              <w:rPr>
                <w:rFonts w:ascii="Calibri" w:hAnsi="Calibri"/>
              </w:rPr>
            </w:r>
            <w:r>
              <w:rPr>
                <w:rFonts w:ascii="Calibri" w:hAnsi="Calibri"/>
                <w:b/>
                <w:sz w:val="18"/>
              </w:rPr>
              <w:t>Coverage ratio</w:t>
            </w:r>
          </w:p>
        </w:tc>
      </w:tr>
      <w:tr>
        <w:tc>
          <w:tcPr>
            <w:tcW w:type="dxa" w:w="7056"/>
          </w:tcPr>
          <w:p>
            <w:r>
              <w:rPr>
                <w:rFonts w:ascii="Calibri" w:hAnsi="Calibri"/>
              </w:rPr>
            </w:r>
            <w:r>
              <w:rPr>
                <w:rFonts w:ascii="Calibri" w:hAnsi="Calibri"/>
                <w:b w:val="0"/>
                <w:sz w:val="18"/>
              </w:rPr>
              <w:t>GFECRA / national government plus public corporation FX debt proxy</w:t>
            </w:r>
          </w:p>
        </w:tc>
        <w:tc>
          <w:tcPr>
            <w:tcW w:type="dxa" w:w="2160"/>
          </w:tcPr>
          <w:p>
            <w:r>
              <w:rPr>
                <w:rFonts w:ascii="Calibri" w:hAnsi="Calibri"/>
              </w:rPr>
            </w:r>
            <w:r>
              <w:rPr>
                <w:rFonts w:ascii="Calibri" w:hAnsi="Calibri"/>
                <w:b w:val="0"/>
                <w:sz w:val="18"/>
              </w:rPr>
              <w:t>45.3%</w:t>
            </w:r>
          </w:p>
        </w:tc>
      </w:tr>
      <w:tr>
        <w:tc>
          <w:tcPr>
            <w:tcW w:type="dxa" w:w="7056"/>
          </w:tcPr>
          <w:p>
            <w:r>
              <w:rPr>
                <w:rFonts w:ascii="Calibri" w:hAnsi="Calibri"/>
              </w:rPr>
            </w:r>
            <w:r>
              <w:rPr>
                <w:rFonts w:ascii="Calibri" w:hAnsi="Calibri"/>
                <w:b w:val="0"/>
                <w:sz w:val="18"/>
              </w:rPr>
              <w:t>SARB foreign exchange reserves only / national government plus public corporation FX debt proxy</w:t>
            </w:r>
          </w:p>
        </w:tc>
        <w:tc>
          <w:tcPr>
            <w:tcW w:type="dxa" w:w="2160"/>
          </w:tcPr>
          <w:p>
            <w:r>
              <w:rPr>
                <w:rFonts w:ascii="Calibri" w:hAnsi="Calibri"/>
              </w:rPr>
            </w:r>
            <w:r>
              <w:rPr>
                <w:rFonts w:ascii="Calibri" w:hAnsi="Calibri"/>
                <w:b w:val="0"/>
                <w:sz w:val="18"/>
              </w:rPr>
              <w:t>108.8%</w:t>
            </w:r>
          </w:p>
        </w:tc>
      </w:tr>
      <w:tr>
        <w:tc>
          <w:tcPr>
            <w:tcW w:type="dxa" w:w="7056"/>
          </w:tcPr>
          <w:p>
            <w:r>
              <w:rPr>
                <w:rFonts w:ascii="Calibri" w:hAnsi="Calibri"/>
              </w:rPr>
            </w:r>
            <w:r>
              <w:rPr>
                <w:rFonts w:ascii="Calibri" w:hAnsi="Calibri"/>
                <w:b w:val="0"/>
                <w:sz w:val="18"/>
              </w:rPr>
              <w:t>SARB gross reserves / national government plus public corporation FX debt proxy</w:t>
            </w:r>
          </w:p>
        </w:tc>
        <w:tc>
          <w:tcPr>
            <w:tcW w:type="dxa" w:w="2160"/>
          </w:tcPr>
          <w:p>
            <w:r>
              <w:rPr>
                <w:rFonts w:ascii="Calibri" w:hAnsi="Calibri"/>
              </w:rPr>
            </w:r>
            <w:r>
              <w:rPr>
                <w:rFonts w:ascii="Calibri" w:hAnsi="Calibri"/>
                <w:b w:val="0"/>
                <w:sz w:val="18"/>
              </w:rPr>
              <w:t>162.1%</w:t>
            </w:r>
          </w:p>
        </w:tc>
      </w:tr>
      <w:tr>
        <w:tc>
          <w:tcPr>
            <w:tcW w:type="dxa" w:w="7056"/>
          </w:tcPr>
          <w:p>
            <w:r>
              <w:rPr>
                <w:rFonts w:ascii="Calibri" w:hAnsi="Calibri"/>
              </w:rPr>
            </w:r>
            <w:r>
              <w:rPr>
                <w:rFonts w:ascii="Calibri" w:hAnsi="Calibri"/>
                <w:b w:val="0"/>
                <w:sz w:val="18"/>
              </w:rPr>
              <w:t>SARB international liquidity position / national government plus public corporation FX debt proxy</w:t>
            </w:r>
          </w:p>
        </w:tc>
        <w:tc>
          <w:tcPr>
            <w:tcW w:type="dxa" w:w="2160"/>
          </w:tcPr>
          <w:p>
            <w:r>
              <w:rPr>
                <w:rFonts w:ascii="Calibri" w:hAnsi="Calibri"/>
              </w:rPr>
            </w:r>
            <w:r>
              <w:rPr>
                <w:rFonts w:ascii="Calibri" w:hAnsi="Calibri"/>
                <w:b w:val="0"/>
                <w:sz w:val="18"/>
              </w:rPr>
              <w:t>155.1%</w:t>
            </w:r>
          </w:p>
        </w:tc>
      </w:tr>
    </w:tbl>
    <w:p>
      <w:pPr>
        <w:pStyle w:val="Heading1"/>
      </w:pPr>
      <w:r>
        <w:t>Interpretation</w:t>
      </w:r>
    </w:p>
    <w:p>
      <w:r>
        <w:t>The reserve-stock comparison is much more favourable than the GFECRA-only comparison. SARB gross reserves and the international liquidity position are larger than national government foreign loans, and larger than national government foreign loans plus the public-corporation FX-debt proxy.</w:t>
      </w:r>
    </w:p>
    <w:p>
      <w:r>
        <w:t>GFECRA remains large relative to national government FX debt, at about 60 percent of the 2025/26 foreign-loan stock. But GFECRA is not itself a cash reserve. It is a valuation account that reflects unrealised and realised valuation changes on SARB's gold and FX reserve portfolio.</w:t>
      </w:r>
    </w:p>
    <w:p>
      <w:r>
        <w:t>The international liquidity position is the cleaner reserve metric when comparing against debt because the SARB notice shows that foreign exchange reserves include foreign-currency deposits received. The ILP subtracts foreign currency deposits received and adds the forward position.</w:t>
      </w:r>
    </w:p>
    <w:p>
      <w:r>
        <w:t>For fiscal risk, the National Treasury foreign-currency-deposit offset matters. Treasury states that foreign-currency debt is partly offset by US$5.5 billion in foreign-currency deposits in 2025/26. Converted at the April 2026 SARB rate, this is about R92.3 billion.</w:t>
      </w:r>
    </w:p>
    <w:p>
      <w:r>
        <w:t>For SOEs, the R195.8 billion figure is the most usable aggregate FX-debt proxy found in SARB external accounts. National Treasury reports R924.1 billion in total liabilities for selected Schedule 2 state-owned companies in 2024/25, but that table does not split the liabilities into rand and foreign-currency debt. The SOE FX-debt proxy should therefore be treated as approximate and institutionally imperfect.</w:t>
      </w:r>
    </w:p>
    <w:p>
      <w:pPr>
        <w:pStyle w:val="Heading1"/>
      </w:pPr>
      <w:r>
        <w:t>Main calculations</w:t>
      </w:r>
    </w:p>
    <w:tbl>
      <w:tblPr>
        <w:tblStyle w:val="TableGrid"/>
        <w:tblW w:type="auto" w:w="0"/>
        <w:jc w:val="center"/>
        <w:tblLook w:firstColumn="1" w:firstRow="1" w:lastColumn="0" w:lastRow="0" w:noHBand="0" w:noVBand="1" w:val="04A0"/>
      </w:tblPr>
      <w:tblGrid>
        <w:gridCol w:w="3360"/>
        <w:gridCol w:w="3360"/>
        <w:gridCol w:w="3360"/>
      </w:tblGrid>
      <w:tr>
        <w:tc>
          <w:tcPr>
            <w:tcW w:type="dxa" w:w="3600"/>
            <w:vAlign w:val="top"/>
            <w:shd w:fill="FCE4D6"/>
          </w:tcPr>
          <w:p>
            <w:r>
              <w:rPr>
                <w:rFonts w:ascii="Calibri" w:hAnsi="Calibri"/>
              </w:rPr>
            </w:r>
            <w:r>
              <w:rPr>
                <w:rFonts w:ascii="Calibri" w:hAnsi="Calibri"/>
                <w:b/>
                <w:sz w:val="18"/>
              </w:rPr>
              <w:t>Calculation</w:t>
            </w:r>
          </w:p>
        </w:tc>
        <w:tc>
          <w:tcPr>
            <w:tcW w:type="dxa" w:w="3888"/>
            <w:vAlign w:val="top"/>
            <w:shd w:fill="FCE4D6"/>
          </w:tcPr>
          <w:p>
            <w:r>
              <w:rPr>
                <w:rFonts w:ascii="Calibri" w:hAnsi="Calibri"/>
              </w:rPr>
            </w:r>
            <w:r>
              <w:rPr>
                <w:rFonts w:ascii="Calibri" w:hAnsi="Calibri"/>
                <w:b/>
                <w:sz w:val="18"/>
              </w:rPr>
              <w:t>Formula</w:t>
            </w:r>
          </w:p>
        </w:tc>
        <w:tc>
          <w:tcPr>
            <w:tcW w:type="dxa" w:w="1728"/>
            <w:vAlign w:val="top"/>
            <w:shd w:fill="FCE4D6"/>
          </w:tcPr>
          <w:p>
            <w:r>
              <w:rPr>
                <w:rFonts w:ascii="Calibri" w:hAnsi="Calibri"/>
              </w:rPr>
            </w:r>
            <w:r>
              <w:rPr>
                <w:rFonts w:ascii="Calibri" w:hAnsi="Calibri"/>
                <w:b/>
                <w:sz w:val="18"/>
              </w:rPr>
              <w:t>Result</w:t>
            </w:r>
          </w:p>
        </w:tc>
      </w:tr>
      <w:tr>
        <w:tc>
          <w:tcPr>
            <w:tcW w:type="dxa" w:w="3600"/>
          </w:tcPr>
          <w:p>
            <w:r>
              <w:rPr>
                <w:rFonts w:ascii="Calibri" w:hAnsi="Calibri"/>
              </w:rPr>
            </w:r>
            <w:r>
              <w:rPr>
                <w:rFonts w:ascii="Calibri" w:hAnsi="Calibri"/>
                <w:b w:val="0"/>
                <w:sz w:val="17"/>
              </w:rPr>
              <w:t>SARB FX reserves only</w:t>
            </w:r>
          </w:p>
        </w:tc>
        <w:tc>
          <w:tcPr>
            <w:tcW w:type="dxa" w:w="3888"/>
          </w:tcPr>
          <w:p>
            <w:r>
              <w:rPr>
                <w:rFonts w:ascii="Calibri" w:hAnsi="Calibri"/>
              </w:rPr>
            </w:r>
            <w:r>
              <w:rPr>
                <w:rFonts w:ascii="Calibri" w:hAnsi="Calibri"/>
                <w:b w:val="0"/>
                <w:sz w:val="17"/>
              </w:rPr>
              <w:t>51,725 x 16.7776 / 1,000</w:t>
            </w:r>
          </w:p>
        </w:tc>
        <w:tc>
          <w:tcPr>
            <w:tcW w:type="dxa" w:w="1728"/>
          </w:tcPr>
          <w:p>
            <w:r>
              <w:rPr>
                <w:rFonts w:ascii="Calibri" w:hAnsi="Calibri"/>
              </w:rPr>
            </w:r>
            <w:r>
              <w:rPr>
                <w:rFonts w:ascii="Calibri" w:hAnsi="Calibri"/>
                <w:b w:val="0"/>
                <w:sz w:val="17"/>
              </w:rPr>
              <w:t>R867.8bn</w:t>
            </w:r>
          </w:p>
        </w:tc>
      </w:tr>
      <w:tr>
        <w:tc>
          <w:tcPr>
            <w:tcW w:type="dxa" w:w="3600"/>
          </w:tcPr>
          <w:p>
            <w:r>
              <w:rPr>
                <w:rFonts w:ascii="Calibri" w:hAnsi="Calibri"/>
              </w:rPr>
            </w:r>
            <w:r>
              <w:rPr>
                <w:rFonts w:ascii="Calibri" w:hAnsi="Calibri"/>
                <w:b w:val="0"/>
                <w:sz w:val="17"/>
              </w:rPr>
              <w:t>SARB gross reserves</w:t>
            </w:r>
          </w:p>
        </w:tc>
        <w:tc>
          <w:tcPr>
            <w:tcW w:type="dxa" w:w="3888"/>
          </w:tcPr>
          <w:p>
            <w:r>
              <w:rPr>
                <w:rFonts w:ascii="Calibri" w:hAnsi="Calibri"/>
              </w:rPr>
            </w:r>
            <w:r>
              <w:rPr>
                <w:rFonts w:ascii="Calibri" w:hAnsi="Calibri"/>
                <w:b w:val="0"/>
                <w:sz w:val="17"/>
              </w:rPr>
              <w:t>77,089 x 16.7776 / 1,000</w:t>
            </w:r>
          </w:p>
        </w:tc>
        <w:tc>
          <w:tcPr>
            <w:tcW w:type="dxa" w:w="1728"/>
          </w:tcPr>
          <w:p>
            <w:r>
              <w:rPr>
                <w:rFonts w:ascii="Calibri" w:hAnsi="Calibri"/>
              </w:rPr>
            </w:r>
            <w:r>
              <w:rPr>
                <w:rFonts w:ascii="Calibri" w:hAnsi="Calibri"/>
                <w:b w:val="0"/>
                <w:sz w:val="17"/>
              </w:rPr>
              <w:t>R1,293.4bn</w:t>
            </w:r>
          </w:p>
        </w:tc>
      </w:tr>
      <w:tr>
        <w:tc>
          <w:tcPr>
            <w:tcW w:type="dxa" w:w="3600"/>
          </w:tcPr>
          <w:p>
            <w:r>
              <w:rPr>
                <w:rFonts w:ascii="Calibri" w:hAnsi="Calibri"/>
              </w:rPr>
            </w:r>
            <w:r>
              <w:rPr>
                <w:rFonts w:ascii="Calibri" w:hAnsi="Calibri"/>
                <w:b w:val="0"/>
                <w:sz w:val="17"/>
              </w:rPr>
              <w:t>SARB international liquidity position</w:t>
            </w:r>
          </w:p>
        </w:tc>
        <w:tc>
          <w:tcPr>
            <w:tcW w:type="dxa" w:w="3888"/>
          </w:tcPr>
          <w:p>
            <w:r>
              <w:rPr>
                <w:rFonts w:ascii="Calibri" w:hAnsi="Calibri"/>
              </w:rPr>
            </w:r>
            <w:r>
              <w:rPr>
                <w:rFonts w:ascii="Calibri" w:hAnsi="Calibri"/>
                <w:b w:val="0"/>
                <w:sz w:val="17"/>
              </w:rPr>
              <w:t>73,757 x 16.7776 / 1,000</w:t>
            </w:r>
          </w:p>
        </w:tc>
        <w:tc>
          <w:tcPr>
            <w:tcW w:type="dxa" w:w="1728"/>
          </w:tcPr>
          <w:p>
            <w:r>
              <w:rPr>
                <w:rFonts w:ascii="Calibri" w:hAnsi="Calibri"/>
              </w:rPr>
            </w:r>
            <w:r>
              <w:rPr>
                <w:rFonts w:ascii="Calibri" w:hAnsi="Calibri"/>
                <w:b w:val="0"/>
                <w:sz w:val="17"/>
              </w:rPr>
              <w:t>R1,237.5bn</w:t>
            </w:r>
          </w:p>
        </w:tc>
      </w:tr>
      <w:tr>
        <w:tc>
          <w:tcPr>
            <w:tcW w:type="dxa" w:w="3600"/>
          </w:tcPr>
          <w:p>
            <w:r>
              <w:rPr>
                <w:rFonts w:ascii="Calibri" w:hAnsi="Calibri"/>
              </w:rPr>
            </w:r>
            <w:r>
              <w:rPr>
                <w:rFonts w:ascii="Calibri" w:hAnsi="Calibri"/>
                <w:b w:val="0"/>
                <w:sz w:val="17"/>
              </w:rPr>
              <w:t>National Treasury FX deposits</w:t>
            </w:r>
          </w:p>
        </w:tc>
        <w:tc>
          <w:tcPr>
            <w:tcW w:type="dxa" w:w="3888"/>
          </w:tcPr>
          <w:p>
            <w:r>
              <w:rPr>
                <w:rFonts w:ascii="Calibri" w:hAnsi="Calibri"/>
              </w:rPr>
            </w:r>
            <w:r>
              <w:rPr>
                <w:rFonts w:ascii="Calibri" w:hAnsi="Calibri"/>
                <w:b w:val="0"/>
                <w:sz w:val="17"/>
              </w:rPr>
              <w:t>5.5 x 16.7776</w:t>
            </w:r>
          </w:p>
        </w:tc>
        <w:tc>
          <w:tcPr>
            <w:tcW w:type="dxa" w:w="1728"/>
          </w:tcPr>
          <w:p>
            <w:r>
              <w:rPr>
                <w:rFonts w:ascii="Calibri" w:hAnsi="Calibri"/>
              </w:rPr>
            </w:r>
            <w:r>
              <w:rPr>
                <w:rFonts w:ascii="Calibri" w:hAnsi="Calibri"/>
                <w:b w:val="0"/>
                <w:sz w:val="17"/>
              </w:rPr>
              <w:t>R92.3bn</w:t>
            </w:r>
          </w:p>
        </w:tc>
      </w:tr>
      <w:tr>
        <w:tc>
          <w:tcPr>
            <w:tcW w:type="dxa" w:w="3600"/>
          </w:tcPr>
          <w:p>
            <w:r>
              <w:rPr>
                <w:rFonts w:ascii="Calibri" w:hAnsi="Calibri"/>
              </w:rPr>
            </w:r>
            <w:r>
              <w:rPr>
                <w:rFonts w:ascii="Calibri" w:hAnsi="Calibri"/>
                <w:b w:val="0"/>
                <w:sz w:val="17"/>
              </w:rPr>
              <w:t>Public corporation FX-debt proxy</w:t>
            </w:r>
          </w:p>
        </w:tc>
        <w:tc>
          <w:tcPr>
            <w:tcW w:type="dxa" w:w="3888"/>
          </w:tcPr>
          <w:p>
            <w:r>
              <w:rPr>
                <w:rFonts w:ascii="Calibri" w:hAnsi="Calibri"/>
              </w:rPr>
            </w:r>
            <w:r>
              <w:rPr>
                <w:rFonts w:ascii="Calibri" w:hAnsi="Calibri"/>
                <w:b w:val="0"/>
                <w:sz w:val="17"/>
              </w:rPr>
              <w:t>(3,235 + 8,437) x 16.7776 / 1,000</w:t>
            </w:r>
          </w:p>
        </w:tc>
        <w:tc>
          <w:tcPr>
            <w:tcW w:type="dxa" w:w="1728"/>
          </w:tcPr>
          <w:p>
            <w:r>
              <w:rPr>
                <w:rFonts w:ascii="Calibri" w:hAnsi="Calibri"/>
              </w:rPr>
            </w:r>
            <w:r>
              <w:rPr>
                <w:rFonts w:ascii="Calibri" w:hAnsi="Calibri"/>
                <w:b w:val="0"/>
                <w:sz w:val="17"/>
              </w:rPr>
              <w:t>R195.8bn</w:t>
            </w:r>
          </w:p>
        </w:tc>
      </w:tr>
      <w:tr>
        <w:tc>
          <w:tcPr>
            <w:tcW w:type="dxa" w:w="3600"/>
          </w:tcPr>
          <w:p>
            <w:r>
              <w:rPr>
                <w:rFonts w:ascii="Calibri" w:hAnsi="Calibri"/>
              </w:rPr>
            </w:r>
            <w:r>
              <w:rPr>
                <w:rFonts w:ascii="Calibri" w:hAnsi="Calibri"/>
                <w:b w:val="0"/>
                <w:sz w:val="17"/>
              </w:rPr>
              <w:t>National government plus public-corporation FX debt proxy</w:t>
            </w:r>
          </w:p>
        </w:tc>
        <w:tc>
          <w:tcPr>
            <w:tcW w:type="dxa" w:w="3888"/>
          </w:tcPr>
          <w:p>
            <w:r>
              <w:rPr>
                <w:rFonts w:ascii="Calibri" w:hAnsi="Calibri"/>
              </w:rPr>
            </w:r>
            <w:r>
              <w:rPr>
                <w:rFonts w:ascii="Calibri" w:hAnsi="Calibri"/>
                <w:b w:val="0"/>
                <w:sz w:val="17"/>
              </w:rPr>
              <w:t>601.9 + 195.8</w:t>
            </w:r>
          </w:p>
        </w:tc>
        <w:tc>
          <w:tcPr>
            <w:tcW w:type="dxa" w:w="1728"/>
          </w:tcPr>
          <w:p>
            <w:r>
              <w:rPr>
                <w:rFonts w:ascii="Calibri" w:hAnsi="Calibri"/>
              </w:rPr>
            </w:r>
            <w:r>
              <w:rPr>
                <w:rFonts w:ascii="Calibri" w:hAnsi="Calibri"/>
                <w:b w:val="0"/>
                <w:sz w:val="17"/>
              </w:rPr>
              <w:t>R797.7bn</w:t>
            </w:r>
          </w:p>
        </w:tc>
      </w:tr>
      <w:tr>
        <w:tc>
          <w:tcPr>
            <w:tcW w:type="dxa" w:w="3600"/>
          </w:tcPr>
          <w:p>
            <w:r>
              <w:rPr>
                <w:rFonts w:ascii="Calibri" w:hAnsi="Calibri"/>
              </w:rPr>
            </w:r>
            <w:r>
              <w:rPr>
                <w:rFonts w:ascii="Calibri" w:hAnsi="Calibri"/>
                <w:b w:val="0"/>
                <w:sz w:val="17"/>
              </w:rPr>
              <w:t>GFECRA / national government foreign loans</w:t>
            </w:r>
          </w:p>
        </w:tc>
        <w:tc>
          <w:tcPr>
            <w:tcW w:type="dxa" w:w="3888"/>
          </w:tcPr>
          <w:p>
            <w:r>
              <w:rPr>
                <w:rFonts w:ascii="Calibri" w:hAnsi="Calibri"/>
              </w:rPr>
            </w:r>
            <w:r>
              <w:rPr>
                <w:rFonts w:ascii="Calibri" w:hAnsi="Calibri"/>
                <w:b w:val="0"/>
                <w:sz w:val="17"/>
              </w:rPr>
              <w:t>361.5 / 601.9</w:t>
            </w:r>
          </w:p>
        </w:tc>
        <w:tc>
          <w:tcPr>
            <w:tcW w:type="dxa" w:w="1728"/>
          </w:tcPr>
          <w:p>
            <w:r>
              <w:rPr>
                <w:rFonts w:ascii="Calibri" w:hAnsi="Calibri"/>
              </w:rPr>
            </w:r>
            <w:r>
              <w:rPr>
                <w:rFonts w:ascii="Calibri" w:hAnsi="Calibri"/>
                <w:b w:val="0"/>
                <w:sz w:val="17"/>
              </w:rPr>
              <w:t>60.1%</w:t>
            </w:r>
          </w:p>
        </w:tc>
      </w:tr>
    </w:tbl>
    <w:p>
      <w:pPr>
        <w:pStyle w:val="Heading1"/>
      </w:pPr>
      <w:r>
        <w:t>Suggested search terms</w:t>
      </w:r>
    </w:p>
    <w:p>
      <w:pPr>
        <w:pStyle w:val="ListBullet"/>
      </w:pPr>
      <w:r>
        <w:t>GFECRA SARB National Treasury</w:t>
      </w:r>
    </w:p>
    <w:p>
      <w:pPr>
        <w:pStyle w:val="ListBullet"/>
      </w:pPr>
      <w:r>
        <w:t>Gold and Foreign Exchange Contingency Reserve Account South Africa</w:t>
      </w:r>
    </w:p>
    <w:p>
      <w:pPr>
        <w:pStyle w:val="ListBullet"/>
      </w:pPr>
      <w:r>
        <w:t>SARB Statement of Assets and Liabilities GFECRA April 2026</w:t>
      </w:r>
    </w:p>
    <w:p>
      <w:pPr>
        <w:pStyle w:val="ListBullet"/>
      </w:pPr>
      <w:r>
        <w:t>SARB official gold and foreign exchange reserves April 2026 international liquidity position</w:t>
      </w:r>
    </w:p>
    <w:p>
      <w:pPr>
        <w:pStyle w:val="ListBullet"/>
      </w:pPr>
      <w:r>
        <w:t>National Treasury 2026 Budget Review foreign loans foreign-currency debt</w:t>
      </w:r>
    </w:p>
    <w:p>
      <w:pPr>
        <w:pStyle w:val="ListBullet"/>
      </w:pPr>
      <w:r>
        <w:t>SARB Quarterly Bulletin public corporations foreign currency-denominated debt</w:t>
      </w:r>
    </w:p>
    <w:p>
      <w:pPr>
        <w:pStyle w:val="ListBullet"/>
      </w:pPr>
      <w:r>
        <w:t>GFECRA settlement agreement Minister of Finance Governor</w:t>
      </w:r>
    </w:p>
    <w:p>
      <w:pPr>
        <w:pStyle w:val="ListBullet"/>
      </w:pPr>
      <w:r>
        <w:t>IMF South Africa GFECRA policy solvency central bank balance sheet</w:t>
      </w:r>
    </w:p>
    <w:p>
      <w:pPr>
        <w:pStyle w:val="ListBullet"/>
      </w:pPr>
      <w:r>
        <w:t>Gold and Foreign Exchange Contingency Reserve Account Defrayal Amendment Act 2024</w:t>
      </w:r>
    </w:p>
    <w:p>
      <w:pPr>
        <w:pStyle w:val="Heading1"/>
      </w:pPr>
      <w:r>
        <w:t>Sources and links</w:t>
      </w:r>
    </w:p>
    <w:p>
      <w:r>
        <w:t>The following sources were used or identified as relevant background. Links are embedded in the source titles.</w:t>
      </w:r>
    </w:p>
    <w:p>
      <w:pPr>
        <w:pStyle w:val="ListNumber"/>
      </w:pPr>
      <w:r>
        <w:rPr>
          <w:b/>
        </w:rPr>
        <w:t xml:space="preserve">S1 </w:t>
      </w:r>
      <w:hyperlink r:id="rId9">
        <w:r>
          <w:rPr>
            <w:color w:val="0563C1"/>
            <w:u w:val="single"/>
          </w:rPr>
          <w:t>SARB: The Gold and Foreign Exchange Contingency Reserve Account (GFECRA)</w:t>
        </w:r>
      </w:hyperlink>
      <w:r>
        <w:t>. Defines GFECRA as a valuation account, a SARB liability and a National Treasury asset; explains legal basis and 2024 reform principles.</w:t>
      </w:r>
    </w:p>
    <w:p>
      <w:pPr>
        <w:pStyle w:val="ListNumber"/>
      </w:pPr>
      <w:r>
        <w:rPr>
          <w:b/>
        </w:rPr>
        <w:t xml:space="preserve">S2 </w:t>
      </w:r>
      <w:hyperlink r:id="rId10">
        <w:r>
          <w:rPr>
            <w:color w:val="0563C1"/>
            <w:u w:val="single"/>
          </w:rPr>
          <w:t>SARB Statement of Assets and Liabilities, April 2026</w:t>
        </w:r>
      </w:hyperlink>
      <w:r>
        <w:t>. Source for the April 2026 GFECRA balance used in this note.</w:t>
      </w:r>
    </w:p>
    <w:p>
      <w:pPr>
        <w:pStyle w:val="ListNumber"/>
      </w:pPr>
      <w:r>
        <w:rPr>
          <w:b/>
        </w:rPr>
        <w:t xml:space="preserve">S3 </w:t>
      </w:r>
      <w:hyperlink r:id="rId11">
        <w:r>
          <w:rPr>
            <w:color w:val="0563C1"/>
            <w:u w:val="single"/>
          </w:rPr>
          <w:t>SARB information notice on official gold and foreign exchange reserves, 30 April 2026</w:t>
        </w:r>
      </w:hyperlink>
      <w:r>
        <w:t>. Source for reserve levels and the US$/ZAR conversion rate used in this note.</w:t>
      </w:r>
    </w:p>
    <w:p>
      <w:pPr>
        <w:pStyle w:val="ListNumber"/>
      </w:pPr>
      <w:r>
        <w:rPr>
          <w:b/>
        </w:rPr>
        <w:t xml:space="preserve">S4 </w:t>
      </w:r>
      <w:hyperlink r:id="rId12">
        <w:r>
          <w:rPr>
            <w:color w:val="0563C1"/>
            <w:u w:val="single"/>
          </w:rPr>
          <w:t>National Treasury 2026 Budget Review, Chapter 7 / full Budget Review</w:t>
        </w:r>
      </w:hyperlink>
      <w:r>
        <w:t>. Source for national government foreign loans, medium-term foreign-currency debt, and foreign-currency deposits.</w:t>
      </w:r>
    </w:p>
    <w:p>
      <w:pPr>
        <w:pStyle w:val="ListNumber"/>
      </w:pPr>
      <w:r>
        <w:rPr>
          <w:b/>
        </w:rPr>
        <w:t xml:space="preserve">S5 </w:t>
      </w:r>
      <w:hyperlink r:id="rId13">
        <w:r>
          <w:rPr>
            <w:color w:val="0563C1"/>
            <w:u w:val="single"/>
          </w:rPr>
          <w:t>SARB Quarterly Bulletin, March 2026, Statistical tables: External economic accounts</w:t>
        </w:r>
      </w:hyperlink>
      <w:r>
        <w:t>. Source for the public corporations foreign-currency-denominated external debt proxy.</w:t>
      </w:r>
    </w:p>
    <w:p>
      <w:pPr>
        <w:pStyle w:val="ListNumber"/>
      </w:pPr>
      <w:r>
        <w:rPr>
          <w:b/>
        </w:rPr>
        <w:t xml:space="preserve">S6 </w:t>
      </w:r>
      <w:hyperlink r:id="rId14">
        <w:r>
          <w:rPr>
            <w:color w:val="0563C1"/>
            <w:u w:val="single"/>
          </w:rPr>
          <w:t>National Treasury 2026 Budget Review, Chapter 8</w:t>
        </w:r>
      </w:hyperlink>
      <w:r>
        <w:t>. Source for the state-owned company total liabilities caveat.</w:t>
      </w:r>
    </w:p>
    <w:p>
      <w:pPr>
        <w:pStyle w:val="ListNumber"/>
      </w:pPr>
      <w:r>
        <w:rPr>
          <w:b/>
        </w:rPr>
        <w:t xml:space="preserve">S7 </w:t>
      </w:r>
      <w:hyperlink r:id="rId15">
        <w:r>
          <w:rPr>
            <w:color w:val="0563C1"/>
            <w:u w:val="single"/>
          </w:rPr>
          <w:t>National Treasury clarification on GFECRA reform and accounting, 22 October 2024</w:t>
        </w:r>
      </w:hyperlink>
      <w:r>
        <w:t>. Explains the 2024 settlement agreement, the three-bucket allocation, and the R250 billion distribution.</w:t>
      </w:r>
    </w:p>
    <w:p>
      <w:pPr>
        <w:pStyle w:val="ListNumber"/>
      </w:pPr>
      <w:r>
        <w:rPr>
          <w:b/>
        </w:rPr>
        <w:t xml:space="preserve">S8 </w:t>
      </w:r>
      <w:hyperlink r:id="rId16">
        <w:r>
          <w:rPr>
            <w:color w:val="0563C1"/>
            <w:u w:val="single"/>
          </w:rPr>
          <w:t>National Treasury / SARB GFECRA FAQ</w:t>
        </w:r>
      </w:hyperlink>
      <w:r>
        <w:t>. Explains that the GFECRA distribution did not require sales of FX reserves and affected the liability side of the SARB balance sheet.</w:t>
      </w:r>
    </w:p>
    <w:p>
      <w:pPr>
        <w:pStyle w:val="ListNumber"/>
      </w:pPr>
      <w:r>
        <w:rPr>
          <w:b/>
        </w:rPr>
        <w:t xml:space="preserve">S9 </w:t>
      </w:r>
      <w:hyperlink r:id="rId17">
        <w:r>
          <w:rPr>
            <w:color w:val="0563C1"/>
            <w:u w:val="single"/>
          </w:rPr>
          <w:t>Gold and Foreign Exchange Contingency Reserve Account Defrayal Amendment Act 27 of 2024</w:t>
        </w:r>
      </w:hyperlink>
      <w:r>
        <w:t>. Legal source for direct charges against the National Revenue Fund for SARB requirements related to GFECRA.</w:t>
      </w:r>
    </w:p>
    <w:p>
      <w:pPr>
        <w:pStyle w:val="ListNumber"/>
      </w:pPr>
      <w:r>
        <w:rPr>
          <w:b/>
        </w:rPr>
        <w:t xml:space="preserve">S10 </w:t>
      </w:r>
      <w:hyperlink r:id="rId18">
        <w:r>
          <w:rPr>
            <w:color w:val="0563C1"/>
            <w:u w:val="single"/>
          </w:rPr>
          <w:t>IMF Technical Assistance Report, 2025: Stress Testing the Central Bank Balance Sheet and Calibrating Risk-based Capital Buffers</w:t>
        </w:r>
      </w:hyperlink>
      <w:r>
        <w:t>. IMF material directly focused on SARB balance-sheet stress testing, GFECRA, and risk-based buffers.</w:t>
      </w:r>
    </w:p>
    <w:p>
      <w:pPr>
        <w:pStyle w:val="ListNumber"/>
      </w:pPr>
      <w:r>
        <w:rPr>
          <w:b/>
        </w:rPr>
        <w:t xml:space="preserve">S11 </w:t>
      </w:r>
      <w:hyperlink r:id="rId19">
        <w:r>
          <w:rPr>
            <w:color w:val="0563C1"/>
            <w:u w:val="single"/>
          </w:rPr>
          <w:t>IMF Central Bank Transparency Code Review, South Africa, 2024</w:t>
        </w:r>
      </w:hyperlink>
      <w:r>
        <w:t>. Contains background on GFECRA, including the transparency and policy-solvency context.</w:t>
      </w:r>
    </w:p>
    <w:p>
      <w:pPr>
        <w:pStyle w:val="ListNumber"/>
      </w:pPr>
      <w:r>
        <w:rPr>
          <w:b/>
        </w:rPr>
        <w:t xml:space="preserve">S12 </w:t>
      </w:r>
      <w:hyperlink r:id="rId20">
        <w:r>
          <w:rPr>
            <w:color w:val="0563C1"/>
            <w:u w:val="single"/>
          </w:rPr>
          <w:t>IMF Staff Concluding Statement of the 2024 Article IV Mission</w:t>
        </w:r>
      </w:hyperlink>
      <w:r>
        <w:t>. Notes that the new GFECRA framework and distributions safeguard SARB policy solvency, while not substituting for fiscal consolidation.</w:t>
      </w:r>
    </w:p>
    <w:p>
      <w:pPr>
        <w:pStyle w:val="ListNumber"/>
      </w:pPr>
      <w:r>
        <w:rPr>
          <w:b/>
        </w:rPr>
        <w:t xml:space="preserve">S13 </w:t>
      </w:r>
      <w:hyperlink r:id="rId21">
        <w:r>
          <w:rPr>
            <w:color w:val="0563C1"/>
            <w:u w:val="single"/>
          </w:rPr>
          <w:t>BIS/SARB: Reserves management and FX intervention</w:t>
        </w:r>
      </w:hyperlink>
      <w:r>
        <w:t>. Background paper stating that gains/losses on gold and FX holdings due to rand translation are for the account of the South African government.</w:t>
      </w:r>
    </w:p>
    <w:p>
      <w:pPr>
        <w:pStyle w:val="ListNumber"/>
      </w:pPr>
      <w:r>
        <w:rPr>
          <w:b/>
        </w:rPr>
        <w:t xml:space="preserve">S14 </w:t>
      </w:r>
      <w:hyperlink r:id="rId22">
        <w:r>
          <w:rPr>
            <w:color w:val="0563C1"/>
            <w:u w:val="single"/>
          </w:rPr>
          <w:t>SARB GFECRA-related documents page</w:t>
        </w:r>
      </w:hyperlink>
      <w:r>
        <w:t>. Landing page for the signed GFECRA agreement, Q&amp;A, Act, and related notices.</w:t>
      </w:r>
    </w:p>
    <w:p>
      <w:pPr>
        <w:pStyle w:val="Heading1"/>
      </w:pPr>
      <w:r>
        <w:t>Caveats</w:t>
      </w:r>
    </w:p>
    <w:p>
      <w:pPr>
        <w:pStyle w:val="ListBullet"/>
      </w:pPr>
      <w:r>
        <w:t>Publication-date mismatch: GFECRA and reserves are April 2026; Treasury debt figures are from the 2026 Budget Review; public-corporation FX debt is end-September 2025.</w:t>
      </w:r>
    </w:p>
    <w:p>
      <w:pPr>
        <w:pStyle w:val="ListBullet"/>
      </w:pPr>
      <w:r>
        <w:t>Currency mismatch and conversion: USD figures are converted using the April 2026 SARB US$/ZAR rate for a common-scale comparison, not a historical valuation for each debt item.</w:t>
      </w:r>
    </w:p>
    <w:p>
      <w:pPr>
        <w:pStyle w:val="ListBullet"/>
      </w:pPr>
      <w:r>
        <w:t>Institutional mismatch: the SARB public corporations debt category is not the same as National Treasury's selected Schedule 2 SOC perimeter. It is a defensible proxy, not a complete SOE FX-debt register.</w:t>
      </w:r>
    </w:p>
    <w:p>
      <w:pPr>
        <w:pStyle w:val="ListBullet"/>
      </w:pPr>
      <w:r>
        <w:t>Double-counting caution: GFECRA is linked to reserve valuation and should not be added to SARB reserves in a stock-of-assets comparison.</w:t>
      </w:r>
    </w:p>
    <w:sectPr w:rsidR="00FC693F" w:rsidRPr="0006063C" w:rsidSect="00034616">
      <w:footerReference w:type="default" r:id="rId23"/>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Generated by ChatGPT - South Africa GFECRA/reserves/FX debt note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resbank.co.za/en/home/what-we-do/financial-markets/The-Gold-and-Foreign-Exchange-Contingency-Reserve-Account" TargetMode="External"/><Relationship Id="rId10" Type="http://schemas.openxmlformats.org/officeDocument/2006/relationships/hyperlink" Target="https://www.resbank.co.za/content/dam/sarb/publications/statements/assets-and-liabilities/2026/April%202026.pdf" TargetMode="External"/><Relationship Id="rId11" Type="http://schemas.openxmlformats.org/officeDocument/2006/relationships/hyperlink" Target="https://www.resbank.co.za/content/dam/sarb/publications/financial-markets/notices/information-notice/2026/information-notice-gold-and-foreign-exchange-reserves-april-2026.pdf" TargetMode="External"/><Relationship Id="rId12" Type="http://schemas.openxmlformats.org/officeDocument/2006/relationships/hyperlink" Target="https://www.treasury.gov.za/documents/National%20Budget/2026/review/FullBR.pdf" TargetMode="External"/><Relationship Id="rId13" Type="http://schemas.openxmlformats.org/officeDocument/2006/relationships/hyperlink" Target="https://www.resbank.co.za/content/dam/sarb/publications/quarterly-bulletins/quarterly-bulletin-publications/2026/march/08Statistical%20tables%20External%20economic%20accounts.pdf" TargetMode="External"/><Relationship Id="rId14" Type="http://schemas.openxmlformats.org/officeDocument/2006/relationships/hyperlink" Target="https://www.treasury.gov.za/documents/National%20Budget/2026/review/Chapter%208.pdf" TargetMode="External"/><Relationship Id="rId15" Type="http://schemas.openxmlformats.org/officeDocument/2006/relationships/hyperlink" Target="https://www.gov.za/news/media-statements/treasury-clarifies-gold-and-foreign-exchange-contingency-reserve-account" TargetMode="External"/><Relationship Id="rId16" Type="http://schemas.openxmlformats.org/officeDocument/2006/relationships/hyperlink" Target="https://www.treasury.gov.za/GFECRA%20FAQs%20with%20NT%20.pdf" TargetMode="External"/><Relationship Id="rId17" Type="http://schemas.openxmlformats.org/officeDocument/2006/relationships/hyperlink" Target="https://www.gov.za/documents/acts/gold-and-foreign-exchange-contingency-reserve-account-defrayal-amendment-act-27-2024" TargetMode="External"/><Relationship Id="rId18" Type="http://schemas.openxmlformats.org/officeDocument/2006/relationships/hyperlink" Target="https://www.imf.org/en/publications/technical-assistance-reports/issues/2025/05/07/south-africa-technical-assistance-report-stress-testing-the-central-bank-balance-sheet-and-566727" TargetMode="External"/><Relationship Id="rId19" Type="http://schemas.openxmlformats.org/officeDocument/2006/relationships/hyperlink" Target="https://www.resbank.co.za/content/dam/sarb/publications/media-releases/2024/imf/imf-sa-transparency.pdf" TargetMode="External"/><Relationship Id="rId20" Type="http://schemas.openxmlformats.org/officeDocument/2006/relationships/hyperlink" Target="https://www.imf.org/en/news/articles/2024/11/26/mcs-south-africa-staff-concluding-statement-of-the-2024-article-iv-mission" TargetMode="External"/><Relationship Id="rId21" Type="http://schemas.openxmlformats.org/officeDocument/2006/relationships/hyperlink" Target="https://www.bis.org/publ/bppdf/bispap104w.pdf" TargetMode="External"/><Relationship Id="rId22" Type="http://schemas.openxmlformats.org/officeDocument/2006/relationships/hyperlink" Target="https://www.resbank.co.za/en/home/what-we-do/financial-markets/The-Gold-and-Foreign-Exchange-Contingency-Reserve-Account/GFECRA-related-documents" TargetMode="External"/><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