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C0392B"/>
          <w:sz w:val="19"/>
        </w:rPr>
        <w:t>ENTERPRISE PRODUCTION AI &amp; MLOPS SPECIFICATION REPORT</w:t>
      </w:r>
    </w:p>
    <w:p>
      <w:pPr>
        <w:spacing w:before="40" w:after="120"/>
      </w:pPr>
      <w:r>
        <w:rPr>
          <w:b/>
          <w:color w:val="102C57"/>
          <w:sz w:val="44"/>
        </w:rPr>
        <w:t>Air Quality Index (AQI) 3-Day Forecasting System for Pakistan</w:t>
      </w:r>
    </w:p>
    <w:p>
      <w:pPr>
        <w:spacing w:before="0" w:after="320"/>
      </w:pPr>
      <w:r>
        <w:rPr>
          <w:color w:val="2874A6"/>
          <w:sz w:val="24"/>
        </w:rPr>
        <w:t>Multi-Horizon XGBoost Modeling, 84 Atmospheric Features, Supabase Cloud Warehouse, and Automated GitHub Actions CI/CD</w:t>
      </w:r>
    </w:p>
    <w:tbl>
      <w:tblPr>
        <w:tblW w:type="auto" w:w="0"/>
        <w:jc w:val="center"/>
        <w:tblLook w:firstColumn="1" w:firstRow="1" w:lastColumn="0" w:lastRow="0" w:noHBand="0" w:noVBand="1" w:val="04A0"/>
        <w:tblBorders>
          <w:top w:val="single" w:sz="4" w:space="0" w:color="C5D1DE"/>
          <w:bottom w:val="single" w:sz="4" w:space="0" w:color="C5D1DE"/>
          <w:left w:val="none"/>
          <w:right w:val="none"/>
          <w:insideH w:val="single" w:sz="4" w:space="0" w:color="C5D1DE"/>
          <w:insideV w:val="none"/>
        </w:tblBorders>
      </w:tblPr>
      <w:tblGrid>
        <w:gridCol w:w="4680"/>
        <w:gridCol w:w="4680"/>
      </w:tblGrid>
      <w:tr>
        <w:tc>
          <w:tcPr>
            <w:tcW w:type="dxa" w:w="2592"/>
            <w:shd w:fill="F7F9FB"/>
            <w:vAlign w:val="center"/>
          </w:tcPr>
          <w:p>
            <w:pPr>
              <w:spacing w:before="100" w:after="100"/>
            </w:pPr>
            <w:r>
              <w:rPr>
                <w:b/>
                <w:color w:val="212529"/>
                <w:sz w:val="19"/>
              </w:rPr>
              <w:t>Target Focus</w:t>
            </w:r>
          </w:p>
        </w:tc>
        <w:tc>
          <w:tcPr>
            <w:tcW w:type="dxa" w:w="6768"/>
            <w:shd w:fill="F7F9FB"/>
            <w:vAlign w:val="center"/>
          </w:tcPr>
          <w:p>
            <w:pPr>
              <w:spacing w:before="100" w:after="100"/>
            </w:pPr>
            <w:r>
              <w:rPr>
                <w:color w:val="212529"/>
                <w:sz w:val="19"/>
              </w:rPr>
              <w:t>3-Day Continuous Air Quality Forecasting (+24h, +48h, +72h Horizons)</w:t>
            </w:r>
          </w:p>
        </w:tc>
      </w:tr>
      <w:tr>
        <w:tc>
          <w:tcPr>
            <w:tcW w:type="dxa" w:w="2592"/>
            <w:shd w:fill="FFFFFF"/>
            <w:vAlign w:val="center"/>
          </w:tcPr>
          <w:p>
            <w:pPr>
              <w:spacing w:before="100" w:after="100"/>
            </w:pPr>
            <w:r>
              <w:rPr>
                <w:b/>
                <w:color w:val="212529"/>
                <w:sz w:val="19"/>
              </w:rPr>
              <w:t>Target Geographies</w:t>
            </w:r>
          </w:p>
        </w:tc>
        <w:tc>
          <w:tcPr>
            <w:tcW w:type="dxa" w:w="6768"/>
            <w:shd w:fill="FFFFFF"/>
            <w:vAlign w:val="center"/>
          </w:tcPr>
          <w:p>
            <w:pPr>
              <w:spacing w:before="100" w:after="100"/>
            </w:pPr>
            <w:r>
              <w:rPr>
                <w:color w:val="212529"/>
                <w:sz w:val="19"/>
              </w:rPr>
              <w:t>Karachi (Coastal), Lahore (Indus Plain Smog Basin), Islamabad (Himalayan Foothills)</w:t>
            </w:r>
          </w:p>
        </w:tc>
      </w:tr>
      <w:tr>
        <w:tc>
          <w:tcPr>
            <w:tcW w:type="dxa" w:w="2592"/>
            <w:shd w:fill="F7F9FB"/>
            <w:vAlign w:val="center"/>
          </w:tcPr>
          <w:p>
            <w:pPr>
              <w:spacing w:before="100" w:after="100"/>
            </w:pPr>
            <w:r>
              <w:rPr>
                <w:b/>
                <w:color w:val="212529"/>
                <w:sz w:val="19"/>
              </w:rPr>
              <w:t>Core Machine Learning</w:t>
            </w:r>
          </w:p>
        </w:tc>
        <w:tc>
          <w:tcPr>
            <w:tcW w:type="dxa" w:w="6768"/>
            <w:shd w:fill="F7F9FB"/>
            <w:vAlign w:val="center"/>
          </w:tcPr>
          <w:p>
            <w:pPr>
              <w:spacing w:before="100" w:after="100"/>
            </w:pPr>
            <w:r>
              <w:rPr>
                <w:color w:val="212529"/>
                <w:sz w:val="19"/>
              </w:rPr>
              <w:t>Multi-Horizon Extreme Gradient Boosting (XGBoost) with 84 Domain Physics Features</w:t>
            </w:r>
          </w:p>
        </w:tc>
      </w:tr>
      <w:tr>
        <w:tc>
          <w:tcPr>
            <w:tcW w:type="dxa" w:w="2592"/>
            <w:shd w:fill="FFFFFF"/>
            <w:vAlign w:val="center"/>
          </w:tcPr>
          <w:p>
            <w:pPr>
              <w:spacing w:before="100" w:after="100"/>
            </w:pPr>
            <w:r>
              <w:rPr>
                <w:b/>
                <w:color w:val="212529"/>
                <w:sz w:val="19"/>
              </w:rPr>
              <w:t>Data Warehouse</w:t>
            </w:r>
          </w:p>
        </w:tc>
        <w:tc>
          <w:tcPr>
            <w:tcW w:type="dxa" w:w="6768"/>
            <w:shd w:fill="FFFFFF"/>
            <w:vAlign w:val="center"/>
          </w:tcPr>
          <w:p>
            <w:pPr>
              <w:spacing w:before="100" w:after="100"/>
            </w:pPr>
            <w:r>
              <w:rPr>
                <w:color w:val="212529"/>
                <w:sz w:val="19"/>
              </w:rPr>
              <w:t>Supabase PostgreSQL (Managed Relational Feature Store &amp; Compressed Model Registry)</w:t>
            </w:r>
          </w:p>
        </w:tc>
      </w:tr>
      <w:tr>
        <w:tc>
          <w:tcPr>
            <w:tcW w:type="dxa" w:w="2592"/>
            <w:shd w:fill="F7F9FB"/>
            <w:vAlign w:val="center"/>
          </w:tcPr>
          <w:p>
            <w:pPr>
              <w:spacing w:before="100" w:after="100"/>
            </w:pPr>
            <w:r>
              <w:rPr>
                <w:b/>
                <w:color w:val="212529"/>
                <w:sz w:val="19"/>
              </w:rPr>
              <w:t>CI/CD Automation</w:t>
            </w:r>
          </w:p>
        </w:tc>
        <w:tc>
          <w:tcPr>
            <w:tcW w:type="dxa" w:w="6768"/>
            <w:shd w:fill="F7F9FB"/>
            <w:vAlign w:val="center"/>
          </w:tcPr>
          <w:p>
            <w:pPr>
              <w:spacing w:before="100" w:after="100"/>
            </w:pPr>
            <w:r>
              <w:rPr>
                <w:color w:val="212529"/>
                <w:sz w:val="19"/>
              </w:rPr>
              <w:t>GitHub Actions (Hourly Live Ingestion &amp; Daily Model Retraining Workflows)</w:t>
            </w:r>
          </w:p>
        </w:tc>
      </w:tr>
      <w:tr>
        <w:tc>
          <w:tcPr>
            <w:tcW w:type="dxa" w:w="2592"/>
            <w:shd w:fill="FFFFFF"/>
            <w:vAlign w:val="center"/>
          </w:tcPr>
          <w:p>
            <w:pPr>
              <w:spacing w:before="100" w:after="100"/>
            </w:pPr>
            <w:r>
              <w:rPr>
                <w:b/>
                <w:color w:val="212529"/>
                <w:sz w:val="19"/>
              </w:rPr>
              <w:t>Production URL</w:t>
            </w:r>
          </w:p>
        </w:tc>
        <w:tc>
          <w:tcPr>
            <w:tcW w:type="dxa" w:w="6768"/>
            <w:shd w:fill="FFFFFF"/>
            <w:vAlign w:val="center"/>
          </w:tcPr>
          <w:p>
            <w:pPr>
              <w:spacing w:before="100" w:after="100"/>
            </w:pPr>
            <w:r>
              <w:rPr>
                <w:color w:val="212529"/>
                <w:sz w:val="19"/>
              </w:rPr>
              <w:t>https://pakistan-aqi-predictor.streamlit.app</w:t>
            </w:r>
          </w:p>
        </w:tc>
      </w:tr>
    </w:tbl>
    <w:p>
      <w:pPr>
        <w:spacing w:after="240"/>
      </w:pPr>
    </w:p>
    <w:p>
      <w:pPr>
        <w:pStyle w:val="Heading1"/>
        <w:keepNext/>
        <w:spacing w:before="360" w:after="120"/>
      </w:pPr>
      <w:r>
        <w:rPr>
          <w:color w:val="102C57"/>
          <w:sz w:val="32"/>
        </w:rPr>
        <w:t>1. Introduction, Project Scope &amp; Problem Formulation</w:t>
      </w:r>
    </w:p>
    <w:p>
      <w:r>
        <w:t>Air pollution in Pakistan has become an environmental, economic, and public health crisis. Urban centers experience severe particulate episodes, with particulate matter (PM2.5 and PM10) concentrations frequently surpassing World Health Organization (WHO) and United States Environmental Protection Agency (US EPA) thresholds by 5 to 15 times. In particular, the winter months see severe thermal inversions and crop-residue burning create hazardous smog layers across the Punjab plains, while industrial emissions and coastal stagnation impact Karachi, and valley trapping affects Islamabad.</w:t>
      </w:r>
    </w:p>
    <w:p>
      <w:r>
        <w:t>Traditional atmospheric prediction relies either on computationally demanding Numerical Weather Prediction (NWP) models—which suffer from high compute latency and localized biases—or simplistic Naive Persistence assumptions (assuming tomorrow's air quality will mirror today's). Naive persistence fails dramatically during rapid weather fronts, wind shifts, and sudden thermal inversions.</w:t>
      </w:r>
    </w:p>
    <w:p>
      <w:r>
        <w:t>Project Scope: This project delivers an automated, production-grade Machine Learning and MLOps system that forecasts US EPA standard AQI across three distinct Pakistani urban microclimates for three operational horizons: +24 Hours (Day 1 Ahead), +48 Hours (Day 2 Ahead), and +72 Hours (Day 3 Ahead). The system incorporates end-to-end automation spanning continuous hourly data harvesting, physical feature engineering, cloud data warehousing, daily model retraining, explainable AI, and interactive web dissemination.</w:t>
      </w:r>
    </w:p>
    <w:tbl>
      <w:tblPr>
        <w:tblW w:type="auto" w:w="0"/>
        <w:jc w:val="center"/>
        <w:tblLook w:firstColumn="1" w:firstRow="1" w:lastColumn="0" w:lastRow="0" w:noHBand="0" w:noVBand="1" w:val="04A0"/>
      </w:tblPr>
      <w:tblGrid>
        <w:gridCol w:w="9360"/>
      </w:tblGrid>
      <w:tr>
        <w:tc>
          <w:tcPr>
            <w:tcW w:type="dxa" w:w="9360"/>
            <w:shd w:fill="F4F7FB"/>
            <w:tcBorders>
              <w:left w:val="single" w:sz="24" w:space="0" w:color="102C57"/>
              <w:top w:val="none"/>
              <w:right w:val="none"/>
              <w:bottom w:val="none"/>
            </w:tcBorders>
          </w:tcPr>
          <w:p>
            <w:pPr>
              <w:spacing w:before="120" w:after="120"/>
              <w:ind w:left="216" w:right="216"/>
            </w:pPr>
            <w:r>
              <w:rPr>
                <w:b/>
                <w:color w:val="102C57"/>
                <w:sz w:val="19"/>
              </w:rPr>
              <w:t>📌 CORE TECHNICAL CONTRIBUTION</w:t>
              <w:br/>
            </w:r>
            <w:r>
              <w:rPr>
                <w:color w:val="212529"/>
                <w:sz w:val="19"/>
              </w:rPr>
              <w:t>By replacing autoregressive feedback with decoupled multi-horizon estimators and engineering 84 atmospheric boundary features, the system achieves a +40.3% error reduction over Naive Persistence across a 3-day lead window.</w:t>
            </w:r>
          </w:p>
        </w:tc>
      </w:tr>
    </w:tbl>
    <w:p>
      <w:pPr>
        <w:spacing w:after="120"/>
      </w:pPr>
    </w:p>
    <w:p>
      <w:pPr>
        <w:pStyle w:val="Heading1"/>
        <w:keepNext/>
        <w:spacing w:before="360" w:after="120"/>
      </w:pPr>
      <w:r>
        <w:rPr>
          <w:color w:val="102C57"/>
          <w:sz w:val="32"/>
        </w:rPr>
        <w:t>2. Data Ingestion Architecture &amp; Three-City Domain Analysis</w:t>
      </w:r>
    </w:p>
    <w:p>
      <w:r>
        <w:t>To provide accurate forecasts, the pipeline ingests continuous historical and real-time atmospheric telemetry tailored to the geographic and meteorological realities of three distinct Pakistani urban centers:</w:t>
      </w:r>
    </w:p>
    <w:tbl>
      <w:tblPr>
        <w:tblW w:type="auto" w:w="0"/>
        <w:jc w:val="center"/>
        <w:tblLook w:firstColumn="1" w:firstRow="1" w:lastColumn="0" w:lastRow="0" w:noHBand="0" w:noVBand="1" w:val="04A0"/>
        <w:tblBorders>
          <w:top w:val="single" w:sz="4" w:space="0" w:color="C5D1DE"/>
          <w:bottom w:val="single" w:sz="4" w:space="0" w:color="C5D1DE"/>
          <w:left w:val="none"/>
          <w:right w:val="none"/>
          <w:insideH w:val="single" w:sz="4" w:space="0" w:color="C5D1DE"/>
          <w:insideV w:val="none"/>
        </w:tblBorders>
      </w:tblPr>
      <w:tblGrid>
        <w:gridCol w:w="2340"/>
        <w:gridCol w:w="2340"/>
        <w:gridCol w:w="2340"/>
        <w:gridCol w:w="2340"/>
      </w:tblGrid>
      <w:tr>
        <w:tc>
          <w:tcPr>
            <w:tcW w:type="dxa" w:w="2340"/>
            <w:shd w:fill="102C57"/>
            <w:vAlign w:val="center"/>
          </w:tcPr>
          <w:p>
            <w:pPr>
              <w:spacing w:before="100" w:after="100"/>
            </w:pPr>
            <w:r>
              <w:rPr>
                <w:b/>
                <w:color w:val="FFFFFF"/>
                <w:sz w:val="19"/>
              </w:rPr>
              <w:t>City</w:t>
            </w:r>
          </w:p>
        </w:tc>
        <w:tc>
          <w:tcPr>
            <w:tcW w:type="dxa" w:w="2340"/>
            <w:shd w:fill="102C57"/>
            <w:vAlign w:val="center"/>
          </w:tcPr>
          <w:p>
            <w:pPr>
              <w:spacing w:before="100" w:after="100"/>
            </w:pPr>
            <w:r>
              <w:rPr>
                <w:b/>
                <w:color w:val="FFFFFF"/>
                <w:sz w:val="19"/>
              </w:rPr>
              <w:t>Geographic Coordinates</w:t>
            </w:r>
          </w:p>
        </w:tc>
        <w:tc>
          <w:tcPr>
            <w:tcW w:type="dxa" w:w="2340"/>
            <w:shd w:fill="102C57"/>
            <w:vAlign w:val="center"/>
          </w:tcPr>
          <w:p>
            <w:pPr>
              <w:spacing w:before="100" w:after="100"/>
            </w:pPr>
            <w:r>
              <w:rPr>
                <w:b/>
                <w:color w:val="FFFFFF"/>
                <w:sz w:val="19"/>
              </w:rPr>
              <w:t>Meteorological &amp; Atmospheric Characteristics</w:t>
            </w:r>
          </w:p>
        </w:tc>
        <w:tc>
          <w:tcPr>
            <w:tcW w:type="dxa" w:w="2340"/>
            <w:shd w:fill="102C57"/>
            <w:vAlign w:val="center"/>
          </w:tcPr>
          <w:p>
            <w:pPr>
              <w:spacing w:before="100" w:after="100"/>
            </w:pPr>
            <w:r>
              <w:rPr>
                <w:b/>
                <w:color w:val="FFFFFF"/>
                <w:sz w:val="19"/>
              </w:rPr>
              <w:t>Primary Air Quality Dynamics</w:t>
            </w:r>
          </w:p>
        </w:tc>
      </w:tr>
      <w:tr>
        <w:tc>
          <w:tcPr>
            <w:tcW w:type="dxa" w:w="1584"/>
            <w:shd w:fill="F9FBFD"/>
            <w:vAlign w:val="center"/>
          </w:tcPr>
          <w:p>
            <w:pPr>
              <w:spacing w:before="100" w:after="100"/>
            </w:pPr>
            <w:r>
              <w:rPr>
                <w:color w:val="212529"/>
                <w:sz w:val="19"/>
              </w:rPr>
              <w:t>Karachi</w:t>
            </w:r>
          </w:p>
        </w:tc>
        <w:tc>
          <w:tcPr>
            <w:tcW w:type="dxa" w:w="2304"/>
            <w:shd w:fill="F9FBFD"/>
            <w:vAlign w:val="center"/>
          </w:tcPr>
          <w:p>
            <w:pPr>
              <w:spacing w:before="100" w:after="100"/>
            </w:pPr>
            <w:r>
              <w:rPr>
                <w:color w:val="212529"/>
                <w:sz w:val="19"/>
              </w:rPr>
              <w:t>24.8607° N, 67.0011° E</w:t>
              <w:br/>
              <w:t>Elevation: 10m ASL</w:t>
            </w:r>
          </w:p>
        </w:tc>
        <w:tc>
          <w:tcPr>
            <w:tcW w:type="dxa" w:w="3168"/>
            <w:shd w:fill="F9FBFD"/>
            <w:vAlign w:val="center"/>
          </w:tcPr>
          <w:p>
            <w:pPr>
              <w:spacing w:before="100" w:after="100"/>
            </w:pPr>
            <w:r>
              <w:rPr>
                <w:color w:val="212529"/>
                <w:sz w:val="19"/>
              </w:rPr>
              <w:t>Coastal marine boundary layer; maritime sea breezes; high relative humidity (70-90%); sea-salt aerosol interaction; temperature modulation.</w:t>
            </w:r>
          </w:p>
        </w:tc>
        <w:tc>
          <w:tcPr>
            <w:tcW w:type="dxa" w:w="2304"/>
            <w:shd w:fill="F9FBFD"/>
            <w:vAlign w:val="center"/>
          </w:tcPr>
          <w:p>
            <w:pPr>
              <w:spacing w:before="100" w:after="100"/>
            </w:pPr>
            <w:r>
              <w:rPr>
                <w:color w:val="212529"/>
                <w:sz w:val="19"/>
              </w:rPr>
              <w:t>Moderate baseline AQI (50-100); coarse particulate loading; evening land breeze trapping vehicular emissions; hygroscopic aerosol swelling.</w:t>
            </w:r>
          </w:p>
        </w:tc>
      </w:tr>
      <w:tr>
        <w:tc>
          <w:tcPr>
            <w:tcW w:type="dxa" w:w="1584"/>
            <w:shd w:fill="FFFFFF"/>
            <w:vAlign w:val="center"/>
          </w:tcPr>
          <w:p>
            <w:pPr>
              <w:spacing w:before="100" w:after="100"/>
            </w:pPr>
            <w:r>
              <w:rPr>
                <w:color w:val="212529"/>
                <w:sz w:val="19"/>
              </w:rPr>
              <w:t>Lahore</w:t>
            </w:r>
          </w:p>
        </w:tc>
        <w:tc>
          <w:tcPr>
            <w:tcW w:type="dxa" w:w="2304"/>
            <w:shd w:fill="FFFFFF"/>
            <w:vAlign w:val="center"/>
          </w:tcPr>
          <w:p>
            <w:pPr>
              <w:spacing w:before="100" w:after="100"/>
            </w:pPr>
            <w:r>
              <w:rPr>
                <w:color w:val="212529"/>
                <w:sz w:val="19"/>
              </w:rPr>
              <w:t>31.5497° N, 74.3436° E</w:t>
              <w:br/>
              <w:t>Elevation: 217m ASL</w:t>
            </w:r>
          </w:p>
        </w:tc>
        <w:tc>
          <w:tcPr>
            <w:tcW w:type="dxa" w:w="3168"/>
            <w:shd w:fill="FFFFFF"/>
            <w:vAlign w:val="center"/>
          </w:tcPr>
          <w:p>
            <w:pPr>
              <w:spacing w:before="100" w:after="100"/>
            </w:pPr>
            <w:r>
              <w:rPr>
                <w:color w:val="212529"/>
                <w:sz w:val="19"/>
              </w:rPr>
              <w:t>Continental alluvial plain; calm surface winds; low winter Boundary Layer Height (&lt;250m); intense surface radiative cooling.</w:t>
            </w:r>
          </w:p>
        </w:tc>
        <w:tc>
          <w:tcPr>
            <w:tcW w:type="dxa" w:w="2304"/>
            <w:shd w:fill="FFFFFF"/>
            <w:vAlign w:val="center"/>
          </w:tcPr>
          <w:p>
            <w:pPr>
              <w:spacing w:before="100" w:after="100"/>
            </w:pPr>
            <w:r>
              <w:rPr>
                <w:color w:val="212529"/>
                <w:sz w:val="19"/>
              </w:rPr>
              <w:t>Severe episodic winter smog (AQI 250-450+); high PM2.5 concentrations; post-monsoon agricultural crop residue burning; thermal inversion trapping.</w:t>
            </w:r>
          </w:p>
        </w:tc>
      </w:tr>
      <w:tr>
        <w:tc>
          <w:tcPr>
            <w:tcW w:type="dxa" w:w="1584"/>
            <w:shd w:fill="F9FBFD"/>
            <w:vAlign w:val="center"/>
          </w:tcPr>
          <w:p>
            <w:pPr>
              <w:spacing w:before="100" w:after="100"/>
            </w:pPr>
            <w:r>
              <w:rPr>
                <w:color w:val="212529"/>
                <w:sz w:val="19"/>
              </w:rPr>
              <w:t>Islamabad</w:t>
            </w:r>
          </w:p>
        </w:tc>
        <w:tc>
          <w:tcPr>
            <w:tcW w:type="dxa" w:w="2304"/>
            <w:shd w:fill="F9FBFD"/>
            <w:vAlign w:val="center"/>
          </w:tcPr>
          <w:p>
            <w:pPr>
              <w:spacing w:before="100" w:after="100"/>
            </w:pPr>
            <w:r>
              <w:rPr>
                <w:color w:val="212529"/>
                <w:sz w:val="19"/>
              </w:rPr>
              <w:t>33.6844° N, 73.0479° E</w:t>
              <w:br/>
              <w:t>Elevation: 540m ASL</w:t>
            </w:r>
          </w:p>
        </w:tc>
        <w:tc>
          <w:tcPr>
            <w:tcW w:type="dxa" w:w="3168"/>
            <w:shd w:fill="F9FBFD"/>
            <w:vAlign w:val="center"/>
          </w:tcPr>
          <w:p>
            <w:pPr>
              <w:spacing w:before="100" w:after="100"/>
            </w:pPr>
            <w:r>
              <w:rPr>
                <w:color w:val="212529"/>
                <w:sz w:val="19"/>
              </w:rPr>
              <w:t>Sub-Himalayan Margalla foothill plateau; valley drainage winds; orographic precipitation washout; diurnal convective mixing.</w:t>
            </w:r>
          </w:p>
        </w:tc>
        <w:tc>
          <w:tcPr>
            <w:tcW w:type="dxa" w:w="2304"/>
            <w:shd w:fill="F9FBFD"/>
            <w:vAlign w:val="center"/>
          </w:tcPr>
          <w:p>
            <w:pPr>
              <w:spacing w:before="100" w:after="100"/>
            </w:pPr>
            <w:r>
              <w:rPr>
                <w:color w:val="212529"/>
                <w:sz w:val="19"/>
              </w:rPr>
              <w:t>Sensitive to moderate AQI (70-180); winter stagnation in the Potohar basin; transboundary dust transport from arid west; rapid post-rain clearing.</w:t>
            </w:r>
          </w:p>
        </w:tc>
      </w:tr>
    </w:tbl>
    <w:p>
      <w:pPr>
        <w:spacing w:after="160"/>
      </w:pPr>
    </w:p>
    <w:p>
      <w:pPr>
        <w:pStyle w:val="Heading2"/>
        <w:keepNext/>
        <w:spacing w:before="260" w:after="80"/>
      </w:pPr>
      <w:r>
        <w:rPr>
          <w:color w:val="2874A6"/>
          <w:sz w:val="26"/>
        </w:rPr>
        <w:t>Data Sourcing Protocols &amp; Temporal Coverage</w:t>
      </w:r>
    </w:p>
    <w:p>
      <w:r>
        <w:t>• Data Providers &amp; APIs:</w:t>
        <w:br/>
        <w:t xml:space="preserve">  1. Open-Meteo Air Quality API: Harvests data from the Copernicus Atmosphere Monitoring Service (ECMWF CAMS)      integrated with regional atmospheric chemistry transport models.</w:t>
        <w:br/>
        <w:t xml:space="preserve">  2. Open-Meteo Historical Weather API: Provides numerical atmospheric reanalysis derived from the ECMWF ERA5 dataset.</w:t>
        <w:br/>
        <w:t>• Temporal Depth: 1 full continuous year of historical training data (8,760+ hourly steps per city), generating   over 28,400+ total rows across Karachi, Lahore, and Islamabad.</w:t>
        <w:br/>
        <w:t>• Temporal Resolution: 1-hour continuous sampling frequency (24 data points per day per city).</w:t>
        <w:br/>
        <w:t>• Ingested Raw Telemetry Variables:</w:t>
        <w:br/>
        <w:t xml:space="preserve">  - Pollutants: PM2.5, PM10, Carbon Monoxide (CO), Nitrogen Dioxide (NO2), Sulphur Dioxide (SO2), Ground-Level Ozone (O3), US AQI.</w:t>
        <w:br/>
        <w:t xml:space="preserve">  - Meteorological Parameters: 2m Temperature, Relative Humidity, Surface Pressure, 10m Wind Speed, Wind Direction.</w:t>
        <w:br/>
        <w:t xml:space="preserve">  - Atmospheric Physics: Boundary Layer Height (BLH), Aerosol Optical Depth (AOD 550nm), Dust Concentration, Direct Shortwave Solar Radiation, Precipitation, Cloud Cover, Dew Point Temperature, UV Index.</w:t>
      </w:r>
    </w:p>
    <w:p>
      <w:pPr>
        <w:pStyle w:val="Heading1"/>
        <w:keepNext/>
        <w:spacing w:before="360" w:after="120"/>
      </w:pPr>
      <w:r>
        <w:rPr>
          <w:color w:val="102C57"/>
          <w:sz w:val="32"/>
        </w:rPr>
        <w:t>3. Exhaustive Atmospheric Feature Engineering (84 Domain Features)</w:t>
      </w:r>
    </w:p>
    <w:p>
      <w:r>
        <w:t>Raw meteorological variables correlate with air quality, but non-linear physical interactions dictate real-world dispersion. To empower the gradient boosting algorithm, an automated feature engineering pipeline generates 84 domain-specific features:</w:t>
      </w:r>
    </w:p>
    <w:p>
      <w:pPr>
        <w:pStyle w:val="Heading2"/>
        <w:keepNext/>
        <w:spacing w:before="260" w:after="80"/>
      </w:pPr>
      <w:r>
        <w:rPr>
          <w:color w:val="2874A6"/>
          <w:sz w:val="26"/>
        </w:rPr>
        <w:t>1. Atmospheric Physics Engine</w:t>
      </w:r>
    </w:p>
    <w:p>
      <w:r>
        <w:t>• Ventilation Index (VI): Defined as VI = Boundary_Layer_Height × Wind_Speed_10m. This represents the total atmospheric volume available per unit time to dilute and transport pollutants. Low VI values (&lt; 1000 m²/s) signify extreme stagnation and smog trapping.</w:t>
        <w:br/>
        <w:t>• Cartesian Wind Vector Decomposition: Because wind direction is circular (0° and 360° represent identical northern winds), angles cannot be fed directly into tree algorithms. Wind is decomposed into orthogonal components:</w:t>
        <w:br/>
        <w:t xml:space="preserve">    U-Vector = - Wind_Speed × sin(Wind_Direction × π / 180)  [Zonal / East-West Transport]</w:t>
        <w:br/>
        <w:t xml:space="preserve">    V-Vector = - Wind_Speed × cos(Wind_Direction × π / 180)  [Meridional / North-South Transport]</w:t>
        <w:br/>
        <w:t>• Dew Point Depression: T_diff = Temperature_2m - Dew_Point_2m. When relative humidity approaches 100% (T_diff ≈ 0), hygroscopic aerosol growth occurs—particulate matter absorbs water vapor, rapidly swelling in physical size and optical density.</w:t>
        <w:br/>
        <w:t>• Radiative Inversion Proxy: Computed as Temperature / (Shortwave_Radiation + 1.0). High surface temperatures paired with low incoming solar radiation serve as an empirical signature for ground-level thermal inversions.</w:t>
        <w:br/>
        <w:t>• Effective Solar Irradiance: Direct solar radiation attenuated by Cloud Cover, representing the photochemical energy available for Ozone formation.</w:t>
      </w:r>
    </w:p>
    <w:p>
      <w:pPr>
        <w:pStyle w:val="Heading2"/>
        <w:keepNext/>
        <w:spacing w:before="260" w:after="80"/>
      </w:pPr>
      <w:r>
        <w:rPr>
          <w:color w:val="2874A6"/>
          <w:sz w:val="26"/>
        </w:rPr>
        <w:t>2. Multi-Scale Historical Lags &amp; Autoregressive Dynamics</w:t>
      </w:r>
    </w:p>
    <w:p>
      <w:r>
        <w:t>Pollutant concentration is inherently continuous and autocorrelated. The system computes multiple temporal lag horizons:</w:t>
        <w:br/>
        <w:t>• Short-Term Lags: 1-hour, 2-hour, 3-hour, 6-hour, and 12-hour lags for AQI, PM2.5, and PM10 to capture immediate atmospheric momentum.</w:t>
        <w:br/>
        <w:t>• Diurnal Lags: 24-hour, 48-hour, and 72-hour lags for AQI and key weather variables to model 24-hour cyclic persistence across multi-day horizons.</w:t>
      </w:r>
    </w:p>
    <w:p>
      <w:pPr>
        <w:pStyle w:val="Heading2"/>
        <w:keepNext/>
        <w:spacing w:before="260" w:after="80"/>
      </w:pPr>
      <w:r>
        <w:rPr>
          <w:color w:val="2874A6"/>
          <w:sz w:val="26"/>
        </w:rPr>
        <w:t>3. Rolling Statistics &amp; Atmospheric Stability Metrics</w:t>
      </w:r>
    </w:p>
    <w:p>
      <w:r>
        <w:t>• Rolling Means: 3-hour, 6-hour, 12-hour, 24-hour, and 48-hour rolling averages smooth localized sensor fluctuations and provide baseline trends.</w:t>
        <w:br/>
        <w:t>• Rolling Volatility: 24-hour standard deviation quantifies atmospheric stability versus turbulent frontal clearing.</w:t>
        <w:br/>
        <w:t>• Rolling Extrema: 24-hour rolling minimum and maximum track diurnal peaks and troughs.</w:t>
        <w:br/>
        <w:t>• Acceleration / Rate of Change: 24-hour percentage change: (AQI_t - AQI_{t-24}) / (AQI_{t-24} + 1.0).</w:t>
      </w:r>
    </w:p>
    <w:p>
      <w:pPr>
        <w:pStyle w:val="Heading2"/>
        <w:keepNext/>
        <w:spacing w:before="260" w:after="80"/>
      </w:pPr>
      <w:r>
        <w:rPr>
          <w:color w:val="2874A6"/>
          <w:sz w:val="26"/>
        </w:rPr>
        <w:t>4. Cyclic Temporal Encodings &amp; Spatial Microclimates</w:t>
      </w:r>
    </w:p>
    <w:p>
      <w:r>
        <w:t>• Diurnal Encodings: sin(2π × Hour / 24) and cos(2π × Hour / 24) prevent artificial numerical jumps between 23:00 and 00:00.</w:t>
        <w:br/>
        <w:t>• Weekly Encodings: sin(2π × DayOfWeek / 7) and cos(2π × DayOfWeek / 7) model industrial emission drops on weekends.</w:t>
        <w:br/>
        <w:t>• Annual Encodings: sin(2π × Month / 12) and cos(2π × Month / 12) model seasonal monsoons, post-monsoon smog, and summer dust storms.</w:t>
        <w:br/>
        <w:t>• Spatial Encodings: One-hot binary indicators (city_Karachi, city_Lahore, city_Islamabad) that interact with local weather variables.</w:t>
      </w:r>
    </w:p>
    <w:p>
      <w:pPr>
        <w:pStyle w:val="Heading1"/>
        <w:keepNext/>
        <w:spacing w:before="360" w:after="120"/>
      </w:pPr>
      <w:r>
        <w:rPr>
          <w:color w:val="102C57"/>
          <w:sz w:val="32"/>
        </w:rPr>
        <w:t>4. Model Architecture &amp; Multi-Horizon Training Methodology</w:t>
      </w:r>
    </w:p>
    <w:p>
      <w:r>
        <w:t>• Chronological Time-Series Partitioning: Standard cross-validation or random shuffling causes temporal data leakage, allowing future atmospheric conditions to artificially inform past predictions. To prevent lookahead bias, the dataset is split strictly chronologically: the earliest 85% of records form the Training Set, while the final 15% out-of-time records form the Test Set.</w:t>
      </w:r>
    </w:p>
    <w:p>
      <w:r>
        <w:t>• Multi-Horizon Architecture (MultiHorizonXGBoost):</w:t>
        <w:br/>
        <w:t xml:space="preserve">  Autoregressive multi-step forecasting (where a model predicts step t+1 and feeds that prediction recursively into t+2) suffers   from compounding error drift. To guarantee robust multi-day stability, the system builds dedicated, independent gradient boosted   regressors for each operational horizon:</w:t>
        <w:br/>
        <w:t xml:space="preserve">  - Horizon 1 (H24): Optimized for +24 Hours (Next Day Forecast)</w:t>
        <w:br/>
        <w:t xml:space="preserve">  - Horizon 2 (H48): Optimized for +48 Hours (Day 2 Forecast)</w:t>
        <w:br/>
        <w:t xml:space="preserve">  - Horizon 3 (H72): Optimized for +72 Hours (Day 3 Forecast)</w:t>
      </w:r>
    </w:p>
    <w:p>
      <w:r>
        <w:t>• Hyperparameter Specifications:</w:t>
        <w:br/>
        <w:t xml:space="preserve">  - n_estimators = 450 trees per horizon</w:t>
        <w:br/>
        <w:t xml:space="preserve">  - learning_rate = 0.03 (conservative shrinkage preventing overshooting)</w:t>
        <w:br/>
        <w:t xml:space="preserve">  - max_depth = 6 (balances high-order atmospheric feature interactions with generalization)</w:t>
        <w:br/>
        <w:t xml:space="preserve">  - subsample = 0.85 (stochastic row bagging per boosting iteration)</w:t>
        <w:br/>
        <w:t xml:space="preserve">  - colsample_bytree = 0.80 (feature subsampling preventing dominance by individual lag terms)</w:t>
        <w:br/>
        <w:t xml:space="preserve">  - reg_alpha = 0.1 (L1 regularization) and reg_lambda = 1.0 (L2 regularization) to stabilize noisy sensor anomalies.</w:t>
      </w:r>
    </w:p>
    <w:p>
      <w:pPr>
        <w:pStyle w:val="Heading1"/>
        <w:keepNext/>
        <w:spacing w:before="360" w:after="120"/>
      </w:pPr>
      <w:r>
        <w:rPr>
          <w:color w:val="102C57"/>
          <w:sz w:val="32"/>
        </w:rPr>
        <w:t>5. Architectural Decision: Why Supabase Instead of Hopsworks?</w:t>
      </w:r>
    </w:p>
    <w:p>
      <w:r>
        <w:t>During architectural design, both Hopsworks Feature Store and Supabase PostgreSQL were evaluated as the central data warehouse and model registry. Supabase was selected as the optimal production platform for five technical reasons:</w:t>
      </w:r>
    </w:p>
    <w:tbl>
      <w:tblPr>
        <w:tblW w:type="auto" w:w="0"/>
        <w:jc w:val="center"/>
        <w:tblLook w:firstColumn="1" w:firstRow="1" w:lastColumn="0" w:lastRow="0" w:noHBand="0" w:noVBand="1" w:val="04A0"/>
        <w:tblBorders>
          <w:top w:val="single" w:sz="4" w:space="0" w:color="C5D1DE"/>
          <w:bottom w:val="single" w:sz="4" w:space="0" w:color="C5D1DE"/>
          <w:left w:val="none"/>
          <w:right w:val="none"/>
          <w:insideH w:val="single" w:sz="4" w:space="0" w:color="C5D1DE"/>
          <w:insideV w:val="none"/>
        </w:tblBorders>
      </w:tblPr>
      <w:tblGrid>
        <w:gridCol w:w="3120"/>
        <w:gridCol w:w="3120"/>
        <w:gridCol w:w="3120"/>
      </w:tblGrid>
      <w:tr>
        <w:tc>
          <w:tcPr>
            <w:tcW w:type="dxa" w:w="3120"/>
            <w:shd w:fill="102C57"/>
            <w:vAlign w:val="center"/>
          </w:tcPr>
          <w:p>
            <w:pPr>
              <w:spacing w:before="100" w:after="100"/>
            </w:pPr>
            <w:r>
              <w:rPr>
                <w:b/>
                <w:color w:val="FFFFFF"/>
                <w:sz w:val="19"/>
              </w:rPr>
              <w:t>Evaluation Criterion</w:t>
            </w:r>
          </w:p>
        </w:tc>
        <w:tc>
          <w:tcPr>
            <w:tcW w:type="dxa" w:w="3120"/>
            <w:shd w:fill="102C57"/>
            <w:vAlign w:val="center"/>
          </w:tcPr>
          <w:p>
            <w:pPr>
              <w:spacing w:before="100" w:after="100"/>
            </w:pPr>
            <w:r>
              <w:rPr>
                <w:b/>
                <w:color w:val="FFFFFF"/>
                <w:sz w:val="19"/>
              </w:rPr>
              <w:t>Hopsworks Feature Store</w:t>
            </w:r>
          </w:p>
        </w:tc>
        <w:tc>
          <w:tcPr>
            <w:tcW w:type="dxa" w:w="3120"/>
            <w:shd w:fill="102C57"/>
            <w:vAlign w:val="center"/>
          </w:tcPr>
          <w:p>
            <w:pPr>
              <w:spacing w:before="100" w:after="100"/>
            </w:pPr>
            <w:r>
              <w:rPr>
                <w:b/>
                <w:color w:val="FFFFFF"/>
                <w:sz w:val="19"/>
              </w:rPr>
              <w:t>Supabase PostgreSQL (Chosen Architecture)</w:t>
            </w:r>
          </w:p>
        </w:tc>
      </w:tr>
      <w:tr>
        <w:tc>
          <w:tcPr>
            <w:tcW w:type="dxa" w:w="2160"/>
            <w:shd w:fill="F9FBFD"/>
            <w:vAlign w:val="center"/>
          </w:tcPr>
          <w:p>
            <w:pPr>
              <w:spacing w:before="100" w:after="100"/>
            </w:pPr>
            <w:r>
              <w:rPr>
                <w:color w:val="212529"/>
                <w:sz w:val="19"/>
              </w:rPr>
              <w:t>Deployment &amp; Infrastructure</w:t>
            </w:r>
          </w:p>
        </w:tc>
        <w:tc>
          <w:tcPr>
            <w:tcW w:type="dxa" w:w="3600"/>
            <w:shd w:fill="F9FBFD"/>
            <w:vAlign w:val="center"/>
          </w:tcPr>
          <w:p>
            <w:pPr>
              <w:spacing w:before="100" w:after="100"/>
            </w:pPr>
            <w:r>
              <w:rPr>
                <w:color w:val="212529"/>
                <w:sz w:val="19"/>
              </w:rPr>
              <w:t>Heavyweight Java/Kubernetes cluster; complex setup requiring Kafka, RonDB, Hive, and Docker daemons.</w:t>
            </w:r>
          </w:p>
        </w:tc>
        <w:tc>
          <w:tcPr>
            <w:tcW w:type="dxa" w:w="3600"/>
            <w:shd w:fill="F9FBFD"/>
            <w:vAlign w:val="center"/>
          </w:tcPr>
          <w:p>
            <w:pPr>
              <w:spacing w:before="100" w:after="100"/>
            </w:pPr>
            <w:r>
              <w:rPr>
                <w:color w:val="212529"/>
                <w:sz w:val="19"/>
              </w:rPr>
              <w:t>Managed serverless PostgreSQL; instant setup with zero infrastructure overhead and high availability.</w:t>
            </w:r>
          </w:p>
        </w:tc>
      </w:tr>
      <w:tr>
        <w:tc>
          <w:tcPr>
            <w:tcW w:type="dxa" w:w="2160"/>
            <w:shd w:fill="FFFFFF"/>
            <w:vAlign w:val="center"/>
          </w:tcPr>
          <w:p>
            <w:pPr>
              <w:spacing w:before="100" w:after="100"/>
            </w:pPr>
            <w:r>
              <w:rPr>
                <w:color w:val="212529"/>
                <w:sz w:val="19"/>
              </w:rPr>
              <w:t>Universal Model Persistence</w:t>
            </w:r>
          </w:p>
        </w:tc>
        <w:tc>
          <w:tcPr>
            <w:tcW w:type="dxa" w:w="3600"/>
            <w:shd w:fill="FFFFFF"/>
            <w:vAlign w:val="center"/>
          </w:tcPr>
          <w:p>
            <w:pPr>
              <w:spacing w:before="100" w:after="100"/>
            </w:pPr>
            <w:r>
              <w:rPr>
                <w:color w:val="212529"/>
                <w:sz w:val="19"/>
              </w:rPr>
              <w:t>Requires separate model registry integration and multi-part S3/GCS bucket permissions.</w:t>
            </w:r>
          </w:p>
        </w:tc>
        <w:tc>
          <w:tcPr>
            <w:tcW w:type="dxa" w:w="3600"/>
            <w:shd w:fill="FFFFFF"/>
            <w:vAlign w:val="center"/>
          </w:tcPr>
          <w:p>
            <w:pPr>
              <w:spacing w:before="100" w:after="100"/>
            </w:pPr>
            <w:r>
              <w:rPr>
                <w:color w:val="212529"/>
                <w:sz w:val="19"/>
              </w:rPr>
              <w:t>Direct database model persistence: compressed base64 binaries stored in `metrics['model_payload']` for instant deserialization.</w:t>
            </w:r>
          </w:p>
        </w:tc>
      </w:tr>
      <w:tr>
        <w:tc>
          <w:tcPr>
            <w:tcW w:type="dxa" w:w="2160"/>
            <w:shd w:fill="F9FBFD"/>
            <w:vAlign w:val="center"/>
          </w:tcPr>
          <w:p>
            <w:pPr>
              <w:spacing w:before="100" w:after="100"/>
            </w:pPr>
            <w:r>
              <w:rPr>
                <w:color w:val="212529"/>
                <w:sz w:val="19"/>
              </w:rPr>
              <w:t>Query Latency &amp; Indexing</w:t>
            </w:r>
          </w:p>
        </w:tc>
        <w:tc>
          <w:tcPr>
            <w:tcW w:type="dxa" w:w="3600"/>
            <w:shd w:fill="F9FBFD"/>
            <w:vAlign w:val="center"/>
          </w:tcPr>
          <w:p>
            <w:pPr>
              <w:spacing w:before="100" w:after="100"/>
            </w:pPr>
            <w:r>
              <w:rPr>
                <w:color w:val="212529"/>
                <w:sz w:val="19"/>
              </w:rPr>
              <w:t>Optimized for offline batch Parquet dumps; high cold-start latency for single-row live inference.</w:t>
            </w:r>
          </w:p>
        </w:tc>
        <w:tc>
          <w:tcPr>
            <w:tcW w:type="dxa" w:w="3600"/>
            <w:shd w:fill="F9FBFD"/>
            <w:vAlign w:val="center"/>
          </w:tcPr>
          <w:p>
            <w:pPr>
              <w:spacing w:before="100" w:after="100"/>
            </w:pPr>
            <w:r>
              <w:rPr>
                <w:color w:val="212529"/>
                <w:sz w:val="19"/>
              </w:rPr>
              <w:t>Sub-millisecond composite B-Tree indexing on `(city, datetime DESC)`; instantaneous live telemetry slicing.</w:t>
            </w:r>
          </w:p>
        </w:tc>
      </w:tr>
      <w:tr>
        <w:tc>
          <w:tcPr>
            <w:tcW w:type="dxa" w:w="2160"/>
            <w:shd w:fill="FFFFFF"/>
            <w:vAlign w:val="center"/>
          </w:tcPr>
          <w:p>
            <w:pPr>
              <w:spacing w:before="100" w:after="100"/>
            </w:pPr>
            <w:r>
              <w:rPr>
                <w:color w:val="212529"/>
                <w:sz w:val="19"/>
              </w:rPr>
              <w:t>CI/CD Runner Compatibility</w:t>
            </w:r>
          </w:p>
        </w:tc>
        <w:tc>
          <w:tcPr>
            <w:tcW w:type="dxa" w:w="3600"/>
            <w:shd w:fill="FFFFFF"/>
            <w:vAlign w:val="center"/>
          </w:tcPr>
          <w:p>
            <w:pPr>
              <w:spacing w:before="100" w:after="100"/>
            </w:pPr>
            <w:r>
              <w:rPr>
                <w:color w:val="212529"/>
                <w:sz w:val="19"/>
              </w:rPr>
              <w:t>Large client SDKs with heavy dependencies causing build delays and timeouts in serverless GitHub Actions.</w:t>
            </w:r>
          </w:p>
        </w:tc>
        <w:tc>
          <w:tcPr>
            <w:tcW w:type="dxa" w:w="3600"/>
            <w:shd w:fill="FFFFFF"/>
            <w:vAlign w:val="center"/>
          </w:tcPr>
          <w:p>
            <w:pPr>
              <w:spacing w:before="100" w:after="100"/>
            </w:pPr>
            <w:r>
              <w:rPr>
                <w:color w:val="212529"/>
                <w:sz w:val="19"/>
              </w:rPr>
              <w:t>Lightweight PostgREST Python client; connects in milliseconds across GitHub Actions runners and Streamlit Cloud.</w:t>
            </w:r>
          </w:p>
        </w:tc>
      </w:tr>
      <w:tr>
        <w:tc>
          <w:tcPr>
            <w:tcW w:type="dxa" w:w="2160"/>
            <w:shd w:fill="F9FBFD"/>
            <w:vAlign w:val="center"/>
          </w:tcPr>
          <w:p>
            <w:pPr>
              <w:spacing w:before="100" w:after="100"/>
            </w:pPr>
            <w:r>
              <w:rPr>
                <w:color w:val="212529"/>
                <w:sz w:val="19"/>
              </w:rPr>
              <w:t>Operational Maintenance &amp; Cost</w:t>
            </w:r>
          </w:p>
        </w:tc>
        <w:tc>
          <w:tcPr>
            <w:tcW w:type="dxa" w:w="3600"/>
            <w:shd w:fill="F9FBFD"/>
            <w:vAlign w:val="center"/>
          </w:tcPr>
          <w:p>
            <w:pPr>
              <w:spacing w:before="100" w:after="100"/>
            </w:pPr>
            <w:r>
              <w:rPr>
                <w:color w:val="212529"/>
                <w:sz w:val="19"/>
              </w:rPr>
              <w:t>Resource-intensive; high idle cloud costs and cluster maintenance overhead.</w:t>
            </w:r>
          </w:p>
        </w:tc>
        <w:tc>
          <w:tcPr>
            <w:tcW w:type="dxa" w:w="3600"/>
            <w:shd w:fill="F9FBFD"/>
            <w:vAlign w:val="center"/>
          </w:tcPr>
          <w:p>
            <w:pPr>
              <w:spacing w:before="100" w:after="100"/>
            </w:pPr>
            <w:r>
              <w:rPr>
                <w:color w:val="212529"/>
                <w:sz w:val="19"/>
              </w:rPr>
              <w:t>Enterprise PostgreSQL reliability on free/standard tiers; complete relational integrity and automated backups.</w:t>
            </w:r>
          </w:p>
        </w:tc>
      </w:tr>
    </w:tbl>
    <w:p>
      <w:pPr>
        <w:pStyle w:val="Heading2"/>
        <w:keepNext/>
        <w:spacing w:before="260" w:after="80"/>
      </w:pPr>
      <w:r>
        <w:rPr>
          <w:color w:val="2874A6"/>
          <w:sz w:val="26"/>
        </w:rPr>
        <w:t>5.1 Cloud Production Model Registry</w:t>
      </w:r>
    </w:p>
    <w:p>
      <w:r>
        <w:t>The figure below illustrates the live production Supabase model_registry table, capturing model versioning (from initial baseline experiments through aqi_forecast_xgboost v16), validation RMSE scores, JSONB parameter sets, top-25 global SHAP attributions, and compressed Base64 serialized model payloads:</w:t>
      </w:r>
    </w:p>
    <w:p>
      <w:r>
        <w:drawing>
          <wp:inline xmlns:a="http://schemas.openxmlformats.org/drawingml/2006/main" xmlns:pic="http://schemas.openxmlformats.org/drawingml/2006/picture">
            <wp:extent cx="5669280" cy="2685157"/>
            <wp:docPr id="1" name="Picture 1"/>
            <wp:cNvGraphicFramePr>
              <a:graphicFrameLocks noChangeAspect="1"/>
            </wp:cNvGraphicFramePr>
            <a:graphic>
              <a:graphicData uri="http://schemas.openxmlformats.org/drawingml/2006/picture">
                <pic:pic>
                  <pic:nvPicPr>
                    <pic:cNvPr id="0" name="supabase_model_registry.png"/>
                    <pic:cNvPicPr/>
                  </pic:nvPicPr>
                  <pic:blipFill>
                    <a:blip r:embed="rId10"/>
                    <a:stretch>
                      <a:fillRect/>
                    </a:stretch>
                  </pic:blipFill>
                  <pic:spPr>
                    <a:xfrm>
                      <a:off x="0" y="0"/>
                      <a:ext cx="5669280" cy="2685157"/>
                    </a:xfrm>
                    <a:prstGeom prst="rect"/>
                  </pic:spPr>
                </pic:pic>
              </a:graphicData>
            </a:graphic>
          </wp:inline>
        </w:drawing>
      </w:r>
    </w:p>
    <w:p>
      <w:pPr>
        <w:spacing w:after="240"/>
      </w:pPr>
      <w:r>
        <w:rPr>
          <w:i/>
          <w:sz w:val="17"/>
        </w:rPr>
        <w:t>Figure 5.1: Live Supabase PostgreSQL model_registry table in production.</w:t>
      </w:r>
    </w:p>
    <w:p>
      <w:pPr>
        <w:spacing w:after="240"/>
      </w:pPr>
    </w:p>
    <w:p>
      <w:pPr>
        <w:pStyle w:val="Heading1"/>
        <w:keepNext/>
        <w:spacing w:before="360" w:after="120"/>
      </w:pPr>
      <w:r>
        <w:rPr>
          <w:color w:val="102C57"/>
          <w:sz w:val="32"/>
        </w:rPr>
        <w:t>6. Model Benchmarking, Evaluation Metrics &amp; Rationale for XGBoost</w:t>
      </w:r>
    </w:p>
    <w:p>
      <w:r>
        <w:t>Four distinct modeling methodologies were developed and benchmarked on the chronological out-of-time test set: Naive Persistence, Ridge Regression, Random Forest, and Multi-Horizon XGBoost. The quantitative results demonstrate that XGBoost is the decisive champion across all horizons:</w:t>
      </w:r>
    </w:p>
    <w:tbl>
      <w:tblPr>
        <w:tblW w:type="auto" w:w="0"/>
        <w:jc w:val="center"/>
        <w:tblLook w:firstColumn="1" w:firstRow="1" w:lastColumn="0" w:lastRow="0" w:noHBand="0" w:noVBand="1" w:val="04A0"/>
        <w:tblBorders>
          <w:top w:val="single" w:sz="4" w:space="0" w:color="C5D1DE"/>
          <w:bottom w:val="single" w:sz="4" w:space="0" w:color="C5D1DE"/>
          <w:left w:val="none"/>
          <w:right w:val="none"/>
          <w:insideH w:val="single" w:sz="4" w:space="0" w:color="C5D1DE"/>
          <w:insideV w:val="none"/>
        </w:tblBorders>
      </w:tblPr>
      <w:tblGrid>
        <w:gridCol w:w="1337"/>
        <w:gridCol w:w="1337"/>
        <w:gridCol w:w="1337"/>
        <w:gridCol w:w="1337"/>
        <w:gridCol w:w="1337"/>
        <w:gridCol w:w="1337"/>
        <w:gridCol w:w="1337"/>
      </w:tblGrid>
      <w:tr>
        <w:tc>
          <w:tcPr>
            <w:tcW w:type="dxa" w:w="1337"/>
            <w:shd w:fill="102C57"/>
            <w:vAlign w:val="center"/>
          </w:tcPr>
          <w:p>
            <w:pPr>
              <w:spacing w:before="100" w:after="100"/>
            </w:pPr>
            <w:r>
              <w:rPr>
                <w:b/>
                <w:color w:val="FFFFFF"/>
                <w:sz w:val="18"/>
              </w:rPr>
              <w:t>Forecasting Horizon</w:t>
            </w:r>
          </w:p>
        </w:tc>
        <w:tc>
          <w:tcPr>
            <w:tcW w:type="dxa" w:w="1337"/>
            <w:shd w:fill="102C57"/>
            <w:vAlign w:val="center"/>
          </w:tcPr>
          <w:p>
            <w:pPr>
              <w:spacing w:before="100" w:after="100"/>
            </w:pPr>
            <w:r>
              <w:rPr>
                <w:b/>
                <w:color w:val="FFFFFF"/>
                <w:sz w:val="18"/>
              </w:rPr>
              <w:t>Model Architecture</w:t>
            </w:r>
          </w:p>
        </w:tc>
        <w:tc>
          <w:tcPr>
            <w:tcW w:type="dxa" w:w="1337"/>
            <w:shd w:fill="102C57"/>
            <w:vAlign w:val="center"/>
          </w:tcPr>
          <w:p>
            <w:pPr>
              <w:spacing w:before="100" w:after="100"/>
            </w:pPr>
            <w:r>
              <w:rPr>
                <w:b/>
                <w:color w:val="FFFFFF"/>
                <w:sz w:val="18"/>
              </w:rPr>
              <w:t>MAE (Points)</w:t>
            </w:r>
          </w:p>
        </w:tc>
        <w:tc>
          <w:tcPr>
            <w:tcW w:type="dxa" w:w="1337"/>
            <w:shd w:fill="102C57"/>
            <w:vAlign w:val="center"/>
          </w:tcPr>
          <w:p>
            <w:pPr>
              <w:spacing w:before="100" w:after="100"/>
            </w:pPr>
            <w:r>
              <w:rPr>
                <w:b/>
                <w:color w:val="FFFFFF"/>
                <w:sz w:val="18"/>
              </w:rPr>
              <w:t>MAE Improvement</w:t>
            </w:r>
          </w:p>
        </w:tc>
        <w:tc>
          <w:tcPr>
            <w:tcW w:type="dxa" w:w="1337"/>
            <w:shd w:fill="102C57"/>
            <w:vAlign w:val="center"/>
          </w:tcPr>
          <w:p>
            <w:pPr>
              <w:spacing w:before="100" w:after="100"/>
            </w:pPr>
            <w:r>
              <w:rPr>
                <w:b/>
                <w:color w:val="FFFFFF"/>
                <w:sz w:val="18"/>
              </w:rPr>
              <w:t>RMSE (Points)</w:t>
            </w:r>
          </w:p>
        </w:tc>
        <w:tc>
          <w:tcPr>
            <w:tcW w:type="dxa" w:w="1337"/>
            <w:shd w:fill="102C57"/>
            <w:vAlign w:val="center"/>
          </w:tcPr>
          <w:p>
            <w:pPr>
              <w:spacing w:before="100" w:after="100"/>
            </w:pPr>
            <w:r>
              <w:rPr>
                <w:b/>
                <w:color w:val="FFFFFF"/>
                <w:sz w:val="18"/>
              </w:rPr>
              <w:t>Skill Score (RMSE Gain)</w:t>
            </w:r>
          </w:p>
        </w:tc>
        <w:tc>
          <w:tcPr>
            <w:tcW w:type="dxa" w:w="1337"/>
            <w:shd w:fill="102C57"/>
            <w:vAlign w:val="center"/>
          </w:tcPr>
          <w:p>
            <w:pPr>
              <w:spacing w:before="100" w:after="100"/>
            </w:pPr>
            <w:r>
              <w:rPr>
                <w:b/>
                <w:color w:val="FFFFFF"/>
                <w:sz w:val="18"/>
              </w:rPr>
              <w:t>R² Score</w:t>
            </w:r>
          </w:p>
        </w:tc>
      </w:tr>
      <w:tr>
        <w:tc>
          <w:tcPr>
            <w:tcW w:type="dxa" w:w="1584"/>
            <w:shd w:fill="F9FBFD"/>
            <w:vAlign w:val="center"/>
          </w:tcPr>
          <w:p>
            <w:pPr>
              <w:spacing w:before="100" w:after="100"/>
            </w:pPr>
            <w:r>
              <w:rPr>
                <w:color w:val="212529"/>
                <w:sz w:val="17"/>
              </w:rPr>
              <w:t>+24h (Day 1)</w:t>
            </w:r>
          </w:p>
        </w:tc>
        <w:tc>
          <w:tcPr>
            <w:tcW w:type="dxa" w:w="2592"/>
            <w:shd w:fill="F9FBFD"/>
            <w:vAlign w:val="center"/>
          </w:tcPr>
          <w:p>
            <w:pPr>
              <w:spacing w:before="100" w:after="100"/>
            </w:pPr>
            <w:r>
              <w:rPr>
                <w:color w:val="212529"/>
                <w:sz w:val="17"/>
              </w:rPr>
              <w:t>Naïve Persistence Baseline</w:t>
              <w:br/>
              <w:t>Ridge Regression</w:t>
              <w:br/>
              <w:t>Random Forest Regressor</w:t>
              <w:br/>
              <w:t>Multi-Horizon XGBoost</w:t>
            </w:r>
          </w:p>
        </w:tc>
        <w:tc>
          <w:tcPr>
            <w:tcW w:type="dxa" w:w="1152"/>
            <w:shd w:fill="F9FBFD"/>
            <w:vAlign w:val="center"/>
          </w:tcPr>
          <w:p>
            <w:pPr>
              <w:spacing w:before="100" w:after="100"/>
            </w:pPr>
            <w:r>
              <w:rPr>
                <w:color w:val="212529"/>
                <w:sz w:val="17"/>
              </w:rPr>
              <w:t>29.99</w:t>
              <w:br/>
              <w:t>22.40</w:t>
              <w:br/>
              <w:t>16.12</w:t>
              <w:br/>
              <w:t>12.52</w:t>
            </w:r>
          </w:p>
        </w:tc>
        <w:tc>
          <w:tcPr>
            <w:tcW w:type="dxa" w:w="1440"/>
            <w:shd w:fill="F9FBFD"/>
            <w:vAlign w:val="center"/>
          </w:tcPr>
          <w:p>
            <w:pPr>
              <w:spacing w:before="100" w:after="100"/>
            </w:pPr>
            <w:r>
              <w:rPr>
                <w:color w:val="212529"/>
                <w:sz w:val="17"/>
              </w:rPr>
              <w:t>Baseline</w:t>
              <w:br/>
              <w:t>+25.3%</w:t>
              <w:br/>
              <w:t>+46.2%</w:t>
              <w:br/>
              <w:t>+58.3% 🚀</w:t>
            </w:r>
          </w:p>
        </w:tc>
        <w:tc>
          <w:tcPr>
            <w:tcW w:type="dxa" w:w="1152"/>
            <w:shd w:fill="F9FBFD"/>
            <w:vAlign w:val="center"/>
          </w:tcPr>
          <w:p>
            <w:pPr>
              <w:spacing w:before="100" w:after="100"/>
            </w:pPr>
            <w:r>
              <w:rPr>
                <w:color w:val="212529"/>
                <w:sz w:val="17"/>
              </w:rPr>
              <w:t>40.25</w:t>
              <w:br/>
              <w:t>31.50</w:t>
              <w:br/>
              <w:t>24.80</w:t>
              <w:br/>
              <w:t>19.81</w:t>
            </w:r>
          </w:p>
        </w:tc>
        <w:tc>
          <w:tcPr>
            <w:tcW w:type="dxa" w:w="1440"/>
            <w:shd w:fill="F9FBFD"/>
            <w:vAlign w:val="center"/>
          </w:tcPr>
          <w:p>
            <w:pPr>
              <w:spacing w:before="100" w:after="100"/>
            </w:pPr>
            <w:r>
              <w:rPr>
                <w:color w:val="212529"/>
                <w:sz w:val="17"/>
              </w:rPr>
              <w:t>Baseline</w:t>
              <w:br/>
              <w:t>+21.7%</w:t>
              <w:br/>
              <w:t>+38.4%</w:t>
              <w:br/>
              <w:t>+50.8% 🏆</w:t>
            </w:r>
          </w:p>
        </w:tc>
        <w:tc>
          <w:tcPr>
            <w:tcW w:type="dxa" w:w="1152"/>
            <w:shd w:fill="F9FBFD"/>
            <w:vAlign w:val="center"/>
          </w:tcPr>
          <w:p>
            <w:pPr>
              <w:spacing w:before="100" w:after="100"/>
            </w:pPr>
            <w:r>
              <w:rPr>
                <w:color w:val="212529"/>
                <w:sz w:val="17"/>
              </w:rPr>
              <w:t>0.070</w:t>
              <w:br/>
              <w:t>0.388</w:t>
              <w:br/>
              <w:t>0.620</w:t>
              <w:br/>
              <w:t>0.775 🌟</w:t>
            </w:r>
          </w:p>
        </w:tc>
      </w:tr>
      <w:tr>
        <w:tc>
          <w:tcPr>
            <w:tcW w:type="dxa" w:w="1584"/>
            <w:shd w:fill="FFFFFF"/>
            <w:vAlign w:val="center"/>
          </w:tcPr>
          <w:p>
            <w:pPr>
              <w:spacing w:before="100" w:after="100"/>
            </w:pPr>
            <w:r>
              <w:rPr>
                <w:color w:val="212529"/>
                <w:sz w:val="17"/>
              </w:rPr>
              <w:t>+48h (Day 2)</w:t>
            </w:r>
          </w:p>
        </w:tc>
        <w:tc>
          <w:tcPr>
            <w:tcW w:type="dxa" w:w="2592"/>
            <w:shd w:fill="FFFFFF"/>
            <w:vAlign w:val="center"/>
          </w:tcPr>
          <w:p>
            <w:pPr>
              <w:spacing w:before="100" w:after="100"/>
            </w:pPr>
            <w:r>
              <w:rPr>
                <w:color w:val="212529"/>
                <w:sz w:val="17"/>
              </w:rPr>
              <w:t>Naïve Persistence Baseline</w:t>
              <w:br/>
              <w:t>Random Forest Regressor</w:t>
              <w:br/>
              <w:t>Multi-Horizon XGBoost</w:t>
            </w:r>
          </w:p>
        </w:tc>
        <w:tc>
          <w:tcPr>
            <w:tcW w:type="dxa" w:w="1152"/>
            <w:shd w:fill="FFFFFF"/>
            <w:vAlign w:val="center"/>
          </w:tcPr>
          <w:p>
            <w:pPr>
              <w:spacing w:before="100" w:after="100"/>
            </w:pPr>
            <w:r>
              <w:rPr>
                <w:color w:val="212529"/>
                <w:sz w:val="17"/>
              </w:rPr>
              <w:t>30.62</w:t>
              <w:br/>
              <w:t>21.85</w:t>
              <w:br/>
              <w:t>17.63</w:t>
            </w:r>
          </w:p>
        </w:tc>
        <w:tc>
          <w:tcPr>
            <w:tcW w:type="dxa" w:w="1440"/>
            <w:shd w:fill="FFFFFF"/>
            <w:vAlign w:val="center"/>
          </w:tcPr>
          <w:p>
            <w:pPr>
              <w:spacing w:before="100" w:after="100"/>
            </w:pPr>
            <w:r>
              <w:rPr>
                <w:color w:val="212529"/>
                <w:sz w:val="17"/>
              </w:rPr>
              <w:t>Baseline</w:t>
              <w:br/>
              <w:t>+28.6%</w:t>
              <w:br/>
              <w:t>+42.4% 🚀</w:t>
            </w:r>
          </w:p>
        </w:tc>
        <w:tc>
          <w:tcPr>
            <w:tcW w:type="dxa" w:w="1152"/>
            <w:shd w:fill="FFFFFF"/>
            <w:vAlign w:val="center"/>
          </w:tcPr>
          <w:p>
            <w:pPr>
              <w:spacing w:before="100" w:after="100"/>
            </w:pPr>
            <w:r>
              <w:rPr>
                <w:color w:val="212529"/>
                <w:sz w:val="17"/>
              </w:rPr>
              <w:t>40.27</w:t>
              <w:br/>
              <w:t>31.20</w:t>
              <w:br/>
              <w:t>26.29</w:t>
            </w:r>
          </w:p>
        </w:tc>
        <w:tc>
          <w:tcPr>
            <w:tcW w:type="dxa" w:w="1440"/>
            <w:shd w:fill="FFFFFF"/>
            <w:vAlign w:val="center"/>
          </w:tcPr>
          <w:p>
            <w:pPr>
              <w:spacing w:before="100" w:after="100"/>
            </w:pPr>
            <w:r>
              <w:rPr>
                <w:color w:val="212529"/>
                <w:sz w:val="17"/>
              </w:rPr>
              <w:t>Baseline</w:t>
              <w:br/>
              <w:t>+22.5%</w:t>
              <w:br/>
              <w:t>+34.7% 🏆</w:t>
            </w:r>
          </w:p>
        </w:tc>
        <w:tc>
          <w:tcPr>
            <w:tcW w:type="dxa" w:w="1152"/>
            <w:shd w:fill="FFFFFF"/>
            <w:vAlign w:val="center"/>
          </w:tcPr>
          <w:p>
            <w:pPr>
              <w:spacing w:before="100" w:after="100"/>
            </w:pPr>
            <w:r>
              <w:rPr>
                <w:color w:val="212529"/>
                <w:sz w:val="17"/>
              </w:rPr>
              <w:t>0.075</w:t>
              <w:br/>
              <w:t>0.398</w:t>
              <w:br/>
              <w:t>0.606 🌟</w:t>
            </w:r>
          </w:p>
        </w:tc>
      </w:tr>
      <w:tr>
        <w:tc>
          <w:tcPr>
            <w:tcW w:type="dxa" w:w="1584"/>
            <w:shd w:fill="F9FBFD"/>
            <w:vAlign w:val="center"/>
          </w:tcPr>
          <w:p>
            <w:pPr>
              <w:spacing w:before="100" w:after="100"/>
            </w:pPr>
            <w:r>
              <w:rPr>
                <w:color w:val="212529"/>
                <w:sz w:val="17"/>
              </w:rPr>
              <w:t>+72h (Day 3)</w:t>
            </w:r>
          </w:p>
        </w:tc>
        <w:tc>
          <w:tcPr>
            <w:tcW w:type="dxa" w:w="2592"/>
            <w:shd w:fill="F9FBFD"/>
            <w:vAlign w:val="center"/>
          </w:tcPr>
          <w:p>
            <w:pPr>
              <w:spacing w:before="100" w:after="100"/>
            </w:pPr>
            <w:r>
              <w:rPr>
                <w:color w:val="212529"/>
                <w:sz w:val="17"/>
              </w:rPr>
              <w:t>Naïve Persistence Baseline</w:t>
              <w:br/>
              <w:t>Random Forest Regressor</w:t>
              <w:br/>
              <w:t>Multi-Horizon XGBoost</w:t>
            </w:r>
          </w:p>
        </w:tc>
        <w:tc>
          <w:tcPr>
            <w:tcW w:type="dxa" w:w="1152"/>
            <w:shd w:fill="F9FBFD"/>
            <w:vAlign w:val="center"/>
          </w:tcPr>
          <w:p>
            <w:pPr>
              <w:spacing w:before="100" w:after="100"/>
            </w:pPr>
            <w:r>
              <w:rPr>
                <w:color w:val="212529"/>
                <w:sz w:val="17"/>
              </w:rPr>
              <w:t>30.66</w:t>
              <w:br/>
              <w:t>24.10</w:t>
              <w:br/>
              <w:t>19.38</w:t>
            </w:r>
          </w:p>
        </w:tc>
        <w:tc>
          <w:tcPr>
            <w:tcW w:type="dxa" w:w="1440"/>
            <w:shd w:fill="F9FBFD"/>
            <w:vAlign w:val="center"/>
          </w:tcPr>
          <w:p>
            <w:pPr>
              <w:spacing w:before="100" w:after="100"/>
            </w:pPr>
            <w:r>
              <w:rPr>
                <w:color w:val="212529"/>
                <w:sz w:val="17"/>
              </w:rPr>
              <w:t>Baseline</w:t>
              <w:br/>
              <w:t>+21.4%</w:t>
              <w:br/>
              <w:t>+36.8% 🚀</w:t>
            </w:r>
          </w:p>
        </w:tc>
        <w:tc>
          <w:tcPr>
            <w:tcW w:type="dxa" w:w="1152"/>
            <w:shd w:fill="F9FBFD"/>
            <w:vAlign w:val="center"/>
          </w:tcPr>
          <w:p>
            <w:pPr>
              <w:spacing w:before="100" w:after="100"/>
            </w:pPr>
            <w:r>
              <w:rPr>
                <w:color w:val="212529"/>
                <w:sz w:val="17"/>
              </w:rPr>
              <w:t>40.33</w:t>
              <w:br/>
              <w:t>34.50</w:t>
              <w:br/>
              <w:t>28.60</w:t>
            </w:r>
          </w:p>
        </w:tc>
        <w:tc>
          <w:tcPr>
            <w:tcW w:type="dxa" w:w="1440"/>
            <w:shd w:fill="F9FBFD"/>
            <w:vAlign w:val="center"/>
          </w:tcPr>
          <w:p>
            <w:pPr>
              <w:spacing w:before="100" w:after="100"/>
            </w:pPr>
            <w:r>
              <w:rPr>
                <w:color w:val="212529"/>
                <w:sz w:val="17"/>
              </w:rPr>
              <w:t>Baseline</w:t>
              <w:br/>
              <w:t>+14.5%</w:t>
              <w:br/>
              <w:t>+29.1% 🏆</w:t>
            </w:r>
          </w:p>
        </w:tc>
        <w:tc>
          <w:tcPr>
            <w:tcW w:type="dxa" w:w="1152"/>
            <w:shd w:fill="F9FBFD"/>
            <w:vAlign w:val="center"/>
          </w:tcPr>
          <w:p>
            <w:pPr>
              <w:spacing w:before="100" w:after="100"/>
            </w:pPr>
            <w:r>
              <w:rPr>
                <w:color w:val="212529"/>
                <w:sz w:val="17"/>
              </w:rPr>
              <w:t>0.077</w:t>
              <w:br/>
              <w:t>0.268</w:t>
              <w:br/>
              <w:t>0.536 🌟</w:t>
            </w:r>
          </w:p>
        </w:tc>
      </w:tr>
      <w:tr>
        <w:tc>
          <w:tcPr>
            <w:tcW w:type="dxa" w:w="1584"/>
            <w:shd w:fill="FFFFFF"/>
            <w:vAlign w:val="center"/>
          </w:tcPr>
          <w:p>
            <w:pPr>
              <w:spacing w:before="100" w:after="100"/>
            </w:pPr>
            <w:r>
              <w:rPr>
                <w:color w:val="212529"/>
                <w:sz w:val="17"/>
              </w:rPr>
              <w:t>3-Day Overall</w:t>
            </w:r>
          </w:p>
        </w:tc>
        <w:tc>
          <w:tcPr>
            <w:tcW w:type="dxa" w:w="2592"/>
            <w:shd w:fill="FFFFFF"/>
            <w:vAlign w:val="center"/>
          </w:tcPr>
          <w:p>
            <w:pPr>
              <w:spacing w:before="100" w:after="100"/>
            </w:pPr>
            <w:r>
              <w:rPr>
                <w:color w:val="212529"/>
                <w:sz w:val="17"/>
              </w:rPr>
              <w:t>Multi-Horizon XGBoost</w:t>
            </w:r>
          </w:p>
        </w:tc>
        <w:tc>
          <w:tcPr>
            <w:tcW w:type="dxa" w:w="1152"/>
            <w:shd w:fill="FFFFFF"/>
            <w:vAlign w:val="center"/>
          </w:tcPr>
          <w:p>
            <w:pPr>
              <w:spacing w:before="100" w:after="100"/>
            </w:pPr>
            <w:r>
              <w:rPr>
                <w:color w:val="212529"/>
                <w:sz w:val="17"/>
              </w:rPr>
              <w:t>16.51</w:t>
            </w:r>
          </w:p>
        </w:tc>
        <w:tc>
          <w:tcPr>
            <w:tcW w:type="dxa" w:w="1440"/>
            <w:shd w:fill="FFFFFF"/>
            <w:vAlign w:val="center"/>
          </w:tcPr>
          <w:p>
            <w:pPr>
              <w:spacing w:before="100" w:after="100"/>
            </w:pPr>
            <w:r>
              <w:rPr>
                <w:color w:val="212529"/>
                <w:sz w:val="17"/>
              </w:rPr>
              <w:t>+45.8% vs Baseline</w:t>
            </w:r>
          </w:p>
        </w:tc>
        <w:tc>
          <w:tcPr>
            <w:tcW w:type="dxa" w:w="1152"/>
            <w:shd w:fill="FFFFFF"/>
            <w:vAlign w:val="center"/>
          </w:tcPr>
          <w:p>
            <w:pPr>
              <w:spacing w:before="100" w:after="100"/>
            </w:pPr>
            <w:r>
              <w:rPr>
                <w:color w:val="212529"/>
                <w:sz w:val="17"/>
              </w:rPr>
              <w:t>24.90</w:t>
            </w:r>
          </w:p>
        </w:tc>
        <w:tc>
          <w:tcPr>
            <w:tcW w:type="dxa" w:w="1440"/>
            <w:shd w:fill="FFFFFF"/>
            <w:vAlign w:val="center"/>
          </w:tcPr>
          <w:p>
            <w:pPr>
              <w:spacing w:before="100" w:after="100"/>
            </w:pPr>
            <w:r>
              <w:rPr>
                <w:color w:val="212529"/>
                <w:sz w:val="17"/>
              </w:rPr>
              <w:t>+38.2% vs Baseline</w:t>
            </w:r>
          </w:p>
        </w:tc>
        <w:tc>
          <w:tcPr>
            <w:tcW w:type="dxa" w:w="1152"/>
            <w:shd w:fill="FFFFFF"/>
            <w:vAlign w:val="center"/>
          </w:tcPr>
          <w:p>
            <w:pPr>
              <w:spacing w:before="100" w:after="100"/>
            </w:pPr>
            <w:r>
              <w:rPr>
                <w:color w:val="212529"/>
                <w:sz w:val="17"/>
              </w:rPr>
              <w:t>0.639 Average</w:t>
            </w:r>
          </w:p>
        </w:tc>
      </w:tr>
    </w:tbl>
    <w:p>
      <w:pPr>
        <w:spacing w:after="160"/>
      </w:pPr>
    </w:p>
    <w:p>
      <w:pPr>
        <w:pStyle w:val="Heading2"/>
        <w:keepNext/>
        <w:spacing w:before="260" w:after="80"/>
      </w:pPr>
      <w:r>
        <w:rPr>
          <w:color w:val="2874A6"/>
          <w:sz w:val="26"/>
        </w:rPr>
        <w:t>Detailed Per-City Performance Breakdown (+24h Horizon)</w:t>
      </w:r>
    </w:p>
    <w:tbl>
      <w:tblPr>
        <w:tblW w:type="auto" w:w="0"/>
        <w:jc w:val="center"/>
        <w:tblLook w:firstColumn="1" w:firstRow="1" w:lastColumn="0" w:lastRow="0" w:noHBand="0" w:noVBand="1" w:val="04A0"/>
        <w:tblBorders>
          <w:top w:val="single" w:sz="4" w:space="0" w:color="C5D1DE"/>
          <w:bottom w:val="single" w:sz="4" w:space="0" w:color="C5D1DE"/>
          <w:left w:val="none"/>
          <w:right w:val="none"/>
          <w:insideH w:val="single" w:sz="4" w:space="0" w:color="C5D1DE"/>
          <w:insideV w:val="none"/>
        </w:tblBorders>
      </w:tblPr>
      <w:tblGrid>
        <w:gridCol w:w="1560"/>
        <w:gridCol w:w="1560"/>
        <w:gridCol w:w="1560"/>
        <w:gridCol w:w="1560"/>
        <w:gridCol w:w="1560"/>
        <w:gridCol w:w="1560"/>
      </w:tblGrid>
      <w:tr>
        <w:tc>
          <w:tcPr>
            <w:tcW w:type="dxa" w:w="1560"/>
            <w:shd w:fill="2874A6"/>
            <w:vAlign w:val="center"/>
          </w:tcPr>
          <w:p>
            <w:pPr>
              <w:spacing w:before="100" w:after="100"/>
            </w:pPr>
            <w:r>
              <w:rPr>
                <w:b/>
                <w:color w:val="FFFFFF"/>
                <w:sz w:val="18"/>
              </w:rPr>
              <w:t>Target City</w:t>
            </w:r>
          </w:p>
        </w:tc>
        <w:tc>
          <w:tcPr>
            <w:tcW w:type="dxa" w:w="1560"/>
            <w:shd w:fill="2874A6"/>
            <w:vAlign w:val="center"/>
          </w:tcPr>
          <w:p>
            <w:pPr>
              <w:spacing w:before="100" w:after="100"/>
            </w:pPr>
            <w:r>
              <w:rPr>
                <w:b/>
                <w:color w:val="FFFFFF"/>
                <w:sz w:val="18"/>
              </w:rPr>
              <w:t>Test AQI Range</w:t>
            </w:r>
          </w:p>
        </w:tc>
        <w:tc>
          <w:tcPr>
            <w:tcW w:type="dxa" w:w="1560"/>
            <w:shd w:fill="2874A6"/>
            <w:vAlign w:val="center"/>
          </w:tcPr>
          <w:p>
            <w:pPr>
              <w:spacing w:before="100" w:after="100"/>
            </w:pPr>
            <w:r>
              <w:rPr>
                <w:b/>
                <w:color w:val="FFFFFF"/>
                <w:sz w:val="18"/>
              </w:rPr>
              <w:t>XGBoost MAE</w:t>
            </w:r>
          </w:p>
        </w:tc>
        <w:tc>
          <w:tcPr>
            <w:tcW w:type="dxa" w:w="1560"/>
            <w:shd w:fill="2874A6"/>
            <w:vAlign w:val="center"/>
          </w:tcPr>
          <w:p>
            <w:pPr>
              <w:spacing w:before="100" w:after="100"/>
            </w:pPr>
            <w:r>
              <w:rPr>
                <w:b/>
                <w:color w:val="FFFFFF"/>
                <w:sz w:val="18"/>
              </w:rPr>
              <w:t>XGBoost RMSE</w:t>
            </w:r>
          </w:p>
        </w:tc>
        <w:tc>
          <w:tcPr>
            <w:tcW w:type="dxa" w:w="1560"/>
            <w:shd w:fill="2874A6"/>
            <w:vAlign w:val="center"/>
          </w:tcPr>
          <w:p>
            <w:pPr>
              <w:spacing w:before="100" w:after="100"/>
            </w:pPr>
            <w:r>
              <w:rPr>
                <w:b/>
                <w:color w:val="FFFFFF"/>
                <w:sz w:val="18"/>
              </w:rPr>
              <w:t>XGBoost R²</w:t>
            </w:r>
          </w:p>
        </w:tc>
        <w:tc>
          <w:tcPr>
            <w:tcW w:type="dxa" w:w="1560"/>
            <w:shd w:fill="2874A6"/>
            <w:vAlign w:val="center"/>
          </w:tcPr>
          <w:p>
            <w:pPr>
              <w:spacing w:before="100" w:after="100"/>
            </w:pPr>
            <w:r>
              <w:rPr>
                <w:b/>
                <w:color w:val="FFFFFF"/>
                <w:sz w:val="18"/>
              </w:rPr>
              <w:t>Skill Score vs Baseline</w:t>
            </w:r>
          </w:p>
        </w:tc>
      </w:tr>
      <w:tr>
        <w:tc>
          <w:tcPr>
            <w:tcW w:type="dxa" w:w="1560"/>
            <w:shd w:fill="F9FBFD"/>
            <w:vAlign w:val="center"/>
          </w:tcPr>
          <w:p>
            <w:pPr>
              <w:spacing w:before="100" w:after="100"/>
            </w:pPr>
            <w:r>
              <w:rPr>
                <w:color w:val="212529"/>
                <w:sz w:val="18"/>
              </w:rPr>
              <w:t>Karachi</w:t>
            </w:r>
          </w:p>
        </w:tc>
        <w:tc>
          <w:tcPr>
            <w:tcW w:type="dxa" w:w="1560"/>
            <w:shd w:fill="F9FBFD"/>
            <w:vAlign w:val="center"/>
          </w:tcPr>
          <w:p>
            <w:pPr>
              <w:spacing w:before="100" w:after="100"/>
            </w:pPr>
            <w:r>
              <w:rPr>
                <w:color w:val="212529"/>
                <w:sz w:val="18"/>
              </w:rPr>
              <w:t>61 - 109 (Moderate)</w:t>
            </w:r>
          </w:p>
        </w:tc>
        <w:tc>
          <w:tcPr>
            <w:tcW w:type="dxa" w:w="1560"/>
            <w:shd w:fill="F9FBFD"/>
            <w:vAlign w:val="center"/>
          </w:tcPr>
          <w:p>
            <w:pPr>
              <w:spacing w:before="100" w:after="100"/>
            </w:pPr>
            <w:r>
              <w:rPr>
                <w:color w:val="212529"/>
                <w:sz w:val="18"/>
              </w:rPr>
              <w:t>4.22</w:t>
            </w:r>
          </w:p>
        </w:tc>
        <w:tc>
          <w:tcPr>
            <w:tcW w:type="dxa" w:w="1560"/>
            <w:shd w:fill="F9FBFD"/>
            <w:vAlign w:val="center"/>
          </w:tcPr>
          <w:p>
            <w:pPr>
              <w:spacing w:before="100" w:after="100"/>
            </w:pPr>
            <w:r>
              <w:rPr>
                <w:color w:val="212529"/>
                <w:sz w:val="18"/>
              </w:rPr>
              <w:t>5.47</w:t>
            </w:r>
          </w:p>
        </w:tc>
        <w:tc>
          <w:tcPr>
            <w:tcW w:type="dxa" w:w="1560"/>
            <w:shd w:fill="F9FBFD"/>
            <w:vAlign w:val="center"/>
          </w:tcPr>
          <w:p>
            <w:pPr>
              <w:spacing w:before="100" w:after="100"/>
            </w:pPr>
            <w:r>
              <w:rPr>
                <w:color w:val="212529"/>
                <w:sz w:val="18"/>
              </w:rPr>
              <w:t>0.614</w:t>
            </w:r>
          </w:p>
        </w:tc>
        <w:tc>
          <w:tcPr>
            <w:tcW w:type="dxa" w:w="1560"/>
            <w:shd w:fill="F9FBFD"/>
            <w:vAlign w:val="center"/>
          </w:tcPr>
          <w:p>
            <w:pPr>
              <w:spacing w:before="100" w:after="100"/>
            </w:pPr>
            <w:r>
              <w:rPr>
                <w:color w:val="212529"/>
                <w:sz w:val="18"/>
              </w:rPr>
              <w:t>+88.5% 🏆</w:t>
            </w:r>
          </w:p>
        </w:tc>
      </w:tr>
      <w:tr>
        <w:tc>
          <w:tcPr>
            <w:tcW w:type="dxa" w:w="1560"/>
            <w:shd w:fill="FFFFFF"/>
            <w:vAlign w:val="center"/>
          </w:tcPr>
          <w:p>
            <w:pPr>
              <w:spacing w:before="100" w:after="100"/>
            </w:pPr>
            <w:r>
              <w:rPr>
                <w:color w:val="212529"/>
                <w:sz w:val="18"/>
              </w:rPr>
              <w:t>Islamabad</w:t>
            </w:r>
          </w:p>
        </w:tc>
        <w:tc>
          <w:tcPr>
            <w:tcW w:type="dxa" w:w="1560"/>
            <w:shd w:fill="FFFFFF"/>
            <w:vAlign w:val="center"/>
          </w:tcPr>
          <w:p>
            <w:pPr>
              <w:spacing w:before="100" w:after="100"/>
            </w:pPr>
            <w:r>
              <w:rPr>
                <w:color w:val="212529"/>
                <w:sz w:val="18"/>
              </w:rPr>
              <w:t>61 - 208 (Sensitive)</w:t>
            </w:r>
          </w:p>
        </w:tc>
        <w:tc>
          <w:tcPr>
            <w:tcW w:type="dxa" w:w="1560"/>
            <w:shd w:fill="FFFFFF"/>
            <w:vAlign w:val="center"/>
          </w:tcPr>
          <w:p>
            <w:pPr>
              <w:spacing w:before="100" w:after="100"/>
            </w:pPr>
            <w:r>
              <w:rPr>
                <w:color w:val="212529"/>
                <w:sz w:val="18"/>
              </w:rPr>
              <w:t>14.85</w:t>
            </w:r>
          </w:p>
        </w:tc>
        <w:tc>
          <w:tcPr>
            <w:tcW w:type="dxa" w:w="1560"/>
            <w:shd w:fill="FFFFFF"/>
            <w:vAlign w:val="center"/>
          </w:tcPr>
          <w:p>
            <w:pPr>
              <w:spacing w:before="100" w:after="100"/>
            </w:pPr>
            <w:r>
              <w:rPr>
                <w:color w:val="212529"/>
                <w:sz w:val="18"/>
              </w:rPr>
              <w:t>19.86</w:t>
            </w:r>
          </w:p>
        </w:tc>
        <w:tc>
          <w:tcPr>
            <w:tcW w:type="dxa" w:w="1560"/>
            <w:shd w:fill="FFFFFF"/>
            <w:vAlign w:val="center"/>
          </w:tcPr>
          <w:p>
            <w:pPr>
              <w:spacing w:before="100" w:after="100"/>
            </w:pPr>
            <w:r>
              <w:rPr>
                <w:color w:val="212529"/>
                <w:sz w:val="18"/>
              </w:rPr>
              <w:t>0.554</w:t>
            </w:r>
          </w:p>
        </w:tc>
        <w:tc>
          <w:tcPr>
            <w:tcW w:type="dxa" w:w="1560"/>
            <w:shd w:fill="FFFFFF"/>
            <w:vAlign w:val="center"/>
          </w:tcPr>
          <w:p>
            <w:pPr>
              <w:spacing w:before="100" w:after="100"/>
            </w:pPr>
            <w:r>
              <w:rPr>
                <w:color w:val="212529"/>
                <w:sz w:val="18"/>
              </w:rPr>
              <w:t>+45.4%</w:t>
            </w:r>
          </w:p>
        </w:tc>
      </w:tr>
      <w:tr>
        <w:tc>
          <w:tcPr>
            <w:tcW w:type="dxa" w:w="1560"/>
            <w:shd w:fill="F9FBFD"/>
            <w:vAlign w:val="center"/>
          </w:tcPr>
          <w:p>
            <w:pPr>
              <w:spacing w:before="100" w:after="100"/>
            </w:pPr>
            <w:r>
              <w:rPr>
                <w:color w:val="212529"/>
                <w:sz w:val="18"/>
              </w:rPr>
              <w:t>Lahore</w:t>
            </w:r>
          </w:p>
        </w:tc>
        <w:tc>
          <w:tcPr>
            <w:tcW w:type="dxa" w:w="1560"/>
            <w:shd w:fill="F9FBFD"/>
            <w:vAlign w:val="center"/>
          </w:tcPr>
          <w:p>
            <w:pPr>
              <w:spacing w:before="100" w:after="100"/>
            </w:pPr>
            <w:r>
              <w:rPr>
                <w:color w:val="212529"/>
                <w:sz w:val="18"/>
              </w:rPr>
              <w:t>74 - 364 (Hazardous Smog)</w:t>
            </w:r>
          </w:p>
        </w:tc>
        <w:tc>
          <w:tcPr>
            <w:tcW w:type="dxa" w:w="1560"/>
            <w:shd w:fill="F9FBFD"/>
            <w:vAlign w:val="center"/>
          </w:tcPr>
          <w:p>
            <w:pPr>
              <w:spacing w:before="100" w:after="100"/>
            </w:pPr>
            <w:r>
              <w:rPr>
                <w:color w:val="212529"/>
                <w:sz w:val="18"/>
              </w:rPr>
              <w:t>20.54</w:t>
            </w:r>
          </w:p>
        </w:tc>
        <w:tc>
          <w:tcPr>
            <w:tcW w:type="dxa" w:w="1560"/>
            <w:shd w:fill="F9FBFD"/>
            <w:vAlign w:val="center"/>
          </w:tcPr>
          <w:p>
            <w:pPr>
              <w:spacing w:before="100" w:after="100"/>
            </w:pPr>
            <w:r>
              <w:rPr>
                <w:color w:val="212529"/>
                <w:sz w:val="18"/>
              </w:rPr>
              <w:t>30.27</w:t>
            </w:r>
          </w:p>
        </w:tc>
        <w:tc>
          <w:tcPr>
            <w:tcW w:type="dxa" w:w="1560"/>
            <w:shd w:fill="F9FBFD"/>
            <w:vAlign w:val="center"/>
          </w:tcPr>
          <w:p>
            <w:pPr>
              <w:spacing w:before="100" w:after="100"/>
            </w:pPr>
            <w:r>
              <w:rPr>
                <w:color w:val="212529"/>
                <w:sz w:val="18"/>
              </w:rPr>
              <w:t>0.305</w:t>
            </w:r>
          </w:p>
        </w:tc>
        <w:tc>
          <w:tcPr>
            <w:tcW w:type="dxa" w:w="1560"/>
            <w:shd w:fill="F9FBFD"/>
            <w:vAlign w:val="center"/>
          </w:tcPr>
          <w:p>
            <w:pPr>
              <w:spacing w:before="100" w:after="100"/>
            </w:pPr>
            <w:r>
              <w:rPr>
                <w:color w:val="212529"/>
                <w:sz w:val="18"/>
              </w:rPr>
              <w:t>+32.6%</w:t>
            </w:r>
          </w:p>
        </w:tc>
      </w:tr>
    </w:tbl>
    <w:p>
      <w:pPr>
        <w:spacing w:after="160"/>
      </w:pPr>
    </w:p>
    <w:p>
      <w:pPr>
        <w:pStyle w:val="Heading2"/>
        <w:keepNext/>
        <w:spacing w:before="260" w:after="80"/>
      </w:pPr>
      <w:r>
        <w:rPr>
          <w:color w:val="2874A6"/>
          <w:sz w:val="26"/>
        </w:rPr>
        <w:t>Detailed Technical Metric Definitions &amp; Physical Meaning</w:t>
      </w:r>
    </w:p>
    <w:p>
      <w:r>
        <w:t>• MAE (Mean Absolute Error): Represents the average magnitude of absolute errors in identical units (AQI points). An MAE of 12.52 at +24h indicates that tomorrow's predicted AQI is typically within ±12.5 points of actual ground truth.</w:t>
        <w:br/>
        <w:t>• RMSE (Root Mean Squared Error): By squaring error terms before taking the square root, RMSE heavily penalizes large outlier misses. Reducing RMSE from 40.25 (persistence) to 19.81 demonstrates the model's ability to prevent dangerous underestimations during smog spikes.</w:t>
        <w:br/>
        <w:t>• R² (Coefficient of Determination): Quantifies the percentage of true atmospheric variance explained by the model compared to guessing the historical mean. An R² of 0.775 (77.5%) at +24h and 0.536 (53.6%) at +72h confirms robust multi-day predictive power.</w:t>
      </w:r>
    </w:p>
    <w:p>
      <w:pPr>
        <w:pStyle w:val="Heading2"/>
        <w:keepNext/>
        <w:spacing w:before="260" w:after="80"/>
      </w:pPr>
      <w:r>
        <w:rPr>
          <w:color w:val="2874A6"/>
          <w:sz w:val="26"/>
        </w:rPr>
        <w:t>Theoretical Rationale: Why XGBoost Outperforms Other Models</w:t>
      </w:r>
    </w:p>
    <w:p>
      <w:r>
        <w:t>1. Non-Linear Boundary Layer Mechanics: Atmospheric dispersion exhibits sudden physical phase shifts. When wind speed drops below 5 km/h, pollutant trapping increases exponentially. Linear and Ridge models fail because they enforce a constant proportional gradient.</w:t>
        <w:br/>
        <w:t>2. Handling Severe Multicollinearity: Meteorological parameters (temperature, radiation, humidity, dew point) exhibit high mutual collinearity. While collinearity destabilizes regression coefficients, decision trees partition feature space orthogonally, selecting the optimal split without matrix inversion instability.</w:t>
        <w:br/>
        <w:t>3. Second-Order Newton-Raphson Optimization: Unlike Random Forests (which use simple bagging) or traditional Gradient Boosting (first-order gradients), XGBoost employs second-order Taylor expansion approximations (gradients and Hessians), ensuring faster convergence and tighter predictions.</w:t>
        <w:br/>
        <w:t>4. Built-in Regularization: Explicit L1 (alpha) and L2 (lambda) penalties directly in the split gain formula prevent overfitting extreme episodic winter smog spikes.</w:t>
      </w:r>
    </w:p>
    <w:p>
      <w:pPr>
        <w:pStyle w:val="Heading1"/>
        <w:keepNext/>
        <w:spacing w:before="360" w:after="120"/>
      </w:pPr>
      <w:r>
        <w:rPr>
          <w:color w:val="102C57"/>
          <w:sz w:val="32"/>
        </w:rPr>
        <w:t>7. Explainable AI: Game-Theoretic SHAP Feature Attributions</w:t>
      </w:r>
    </w:p>
    <w:p>
      <w:r>
        <w:t>To ensure clinical and public trust, the model integrates Tree SHAP (SHapley Additive exPlanations). Based on cooperative game theory, SHAP fairly allocates the credit or penalty for a prediction among all input features.</w:t>
      </w:r>
    </w:p>
    <w:tbl>
      <w:tblPr>
        <w:tblW w:type="auto" w:w="0"/>
        <w:jc w:val="center"/>
        <w:tblLook w:firstColumn="1" w:firstRow="1" w:lastColumn="0" w:lastRow="0" w:noHBand="0" w:noVBand="1" w:val="04A0"/>
        <w:tblBorders>
          <w:top w:val="single" w:sz="4" w:space="0" w:color="C5D1DE"/>
          <w:bottom w:val="single" w:sz="4" w:space="0" w:color="C5D1DE"/>
          <w:left w:val="none"/>
          <w:right w:val="none"/>
          <w:insideH w:val="single" w:sz="4" w:space="0" w:color="C5D1DE"/>
          <w:insideV w:val="none"/>
        </w:tblBorders>
      </w:tblPr>
      <w:tblGrid>
        <w:gridCol w:w="3120"/>
        <w:gridCol w:w="3120"/>
        <w:gridCol w:w="3120"/>
      </w:tblGrid>
      <w:tr>
        <w:tc>
          <w:tcPr>
            <w:tcW w:type="dxa" w:w="3120"/>
            <w:shd w:fill="102C57"/>
            <w:vAlign w:val="center"/>
          </w:tcPr>
          <w:p>
            <w:pPr>
              <w:spacing w:before="100" w:after="100"/>
            </w:pPr>
            <w:r>
              <w:rPr>
                <w:b/>
                <w:color w:val="FFFFFF"/>
                <w:sz w:val="19"/>
              </w:rPr>
              <w:t>Rank</w:t>
            </w:r>
          </w:p>
        </w:tc>
        <w:tc>
          <w:tcPr>
            <w:tcW w:type="dxa" w:w="3120"/>
            <w:shd w:fill="102C57"/>
            <w:vAlign w:val="center"/>
          </w:tcPr>
          <w:p>
            <w:pPr>
              <w:spacing w:before="100" w:after="100"/>
            </w:pPr>
            <w:r>
              <w:rPr>
                <w:b/>
                <w:color w:val="FFFFFF"/>
                <w:sz w:val="19"/>
              </w:rPr>
              <w:t>Predictive Feature</w:t>
            </w:r>
          </w:p>
        </w:tc>
        <w:tc>
          <w:tcPr>
            <w:tcW w:type="dxa" w:w="3120"/>
            <w:shd w:fill="102C57"/>
            <w:vAlign w:val="center"/>
          </w:tcPr>
          <w:p>
            <w:pPr>
              <w:spacing w:before="100" w:after="100"/>
            </w:pPr>
            <w:r>
              <w:rPr>
                <w:b/>
                <w:color w:val="FFFFFF"/>
                <w:sz w:val="19"/>
              </w:rPr>
              <w:t>Mean Absolute SHAP Impact &amp; Domain Role</w:t>
            </w:r>
          </w:p>
        </w:tc>
      </w:tr>
      <w:tr>
        <w:tc>
          <w:tcPr>
            <w:tcW w:type="dxa" w:w="1152"/>
            <w:shd w:fill="F9FBFD"/>
            <w:vAlign w:val="center"/>
          </w:tcPr>
          <w:p>
            <w:pPr>
              <w:spacing w:before="100" w:after="100"/>
            </w:pPr>
            <w:r>
              <w:rPr>
                <w:color w:val="212529"/>
                <w:sz w:val="19"/>
              </w:rPr>
              <w:t>1</w:t>
            </w:r>
          </w:p>
        </w:tc>
        <w:tc>
          <w:tcPr>
            <w:tcW w:type="dxa" w:w="3600"/>
            <w:shd w:fill="F9FBFD"/>
            <w:vAlign w:val="center"/>
          </w:tcPr>
          <w:p>
            <w:pPr>
              <w:spacing w:before="100" w:after="100"/>
            </w:pPr>
            <w:r>
              <w:rPr>
                <w:color w:val="212529"/>
                <w:sz w:val="19"/>
              </w:rPr>
              <w:t>us_aqi (Current Baseline Value)</w:t>
            </w:r>
          </w:p>
        </w:tc>
        <w:tc>
          <w:tcPr>
            <w:tcW w:type="dxa" w:w="4608"/>
            <w:shd w:fill="F9FBFD"/>
            <w:vAlign w:val="center"/>
          </w:tcPr>
          <w:p>
            <w:pPr>
              <w:spacing w:before="100" w:after="100"/>
            </w:pPr>
            <w:r>
              <w:rPr>
                <w:color w:val="212529"/>
                <w:sz w:val="19"/>
              </w:rPr>
              <w:t>Mean |SHAP| ≈ 19.77 — Establishes baseline atmospheric loading and strong short-term persistence.</w:t>
            </w:r>
          </w:p>
        </w:tc>
      </w:tr>
      <w:tr>
        <w:tc>
          <w:tcPr>
            <w:tcW w:type="dxa" w:w="1152"/>
            <w:shd w:fill="FFFFFF"/>
            <w:vAlign w:val="center"/>
          </w:tcPr>
          <w:p>
            <w:pPr>
              <w:spacing w:before="100" w:after="100"/>
            </w:pPr>
            <w:r>
              <w:rPr>
                <w:color w:val="212529"/>
                <w:sz w:val="19"/>
              </w:rPr>
              <w:t>2</w:t>
            </w:r>
          </w:p>
        </w:tc>
        <w:tc>
          <w:tcPr>
            <w:tcW w:type="dxa" w:w="3600"/>
            <w:shd w:fill="FFFFFF"/>
            <w:vAlign w:val="center"/>
          </w:tcPr>
          <w:p>
            <w:pPr>
              <w:spacing w:before="100" w:after="100"/>
            </w:pPr>
            <w:r>
              <w:rPr>
                <w:color w:val="212529"/>
                <w:sz w:val="19"/>
              </w:rPr>
              <w:t>pm2_5 (Fine Particulate Matter)</w:t>
            </w:r>
          </w:p>
        </w:tc>
        <w:tc>
          <w:tcPr>
            <w:tcW w:type="dxa" w:w="4608"/>
            <w:shd w:fill="FFFFFF"/>
            <w:vAlign w:val="center"/>
          </w:tcPr>
          <w:p>
            <w:pPr>
              <w:spacing w:before="100" w:after="100"/>
            </w:pPr>
            <w:r>
              <w:rPr>
                <w:color w:val="212529"/>
                <w:sz w:val="19"/>
              </w:rPr>
              <w:t>Mean |SHAP| ≈ 5.02 — Primary chemical driver of the US EPA AQI formula and health risk classifications.</w:t>
            </w:r>
          </w:p>
        </w:tc>
      </w:tr>
      <w:tr>
        <w:tc>
          <w:tcPr>
            <w:tcW w:type="dxa" w:w="1152"/>
            <w:shd w:fill="F9FBFD"/>
            <w:vAlign w:val="center"/>
          </w:tcPr>
          <w:p>
            <w:pPr>
              <w:spacing w:before="100" w:after="100"/>
            </w:pPr>
            <w:r>
              <w:rPr>
                <w:color w:val="212529"/>
                <w:sz w:val="19"/>
              </w:rPr>
              <w:t>3</w:t>
            </w:r>
          </w:p>
        </w:tc>
        <w:tc>
          <w:tcPr>
            <w:tcW w:type="dxa" w:w="3600"/>
            <w:shd w:fill="F9FBFD"/>
            <w:vAlign w:val="center"/>
          </w:tcPr>
          <w:p>
            <w:pPr>
              <w:spacing w:before="100" w:after="100"/>
            </w:pPr>
            <w:r>
              <w:rPr>
                <w:color w:val="212529"/>
                <w:sz w:val="19"/>
              </w:rPr>
              <w:t>pm2_5_rolling_mean_24h</w:t>
            </w:r>
          </w:p>
        </w:tc>
        <w:tc>
          <w:tcPr>
            <w:tcW w:type="dxa" w:w="4608"/>
            <w:shd w:fill="F9FBFD"/>
            <w:vAlign w:val="center"/>
          </w:tcPr>
          <w:p>
            <w:pPr>
              <w:spacing w:before="100" w:after="100"/>
            </w:pPr>
            <w:r>
              <w:rPr>
                <w:color w:val="212529"/>
                <w:sz w:val="19"/>
              </w:rPr>
              <w:t>Mean |SHAP| ≈ 3.85 — Captures 24-hour cumulative aerosol saturation across the urban canopy.</w:t>
            </w:r>
          </w:p>
        </w:tc>
      </w:tr>
      <w:tr>
        <w:tc>
          <w:tcPr>
            <w:tcW w:type="dxa" w:w="1152"/>
            <w:shd w:fill="FFFFFF"/>
            <w:vAlign w:val="center"/>
          </w:tcPr>
          <w:p>
            <w:pPr>
              <w:spacing w:before="100" w:after="100"/>
            </w:pPr>
            <w:r>
              <w:rPr>
                <w:color w:val="212529"/>
                <w:sz w:val="19"/>
              </w:rPr>
              <w:t>4</w:t>
            </w:r>
          </w:p>
        </w:tc>
        <w:tc>
          <w:tcPr>
            <w:tcW w:type="dxa" w:w="3600"/>
            <w:shd w:fill="FFFFFF"/>
            <w:vAlign w:val="center"/>
          </w:tcPr>
          <w:p>
            <w:pPr>
              <w:spacing w:before="100" w:after="100"/>
            </w:pPr>
            <w:r>
              <w:rPr>
                <w:color w:val="212529"/>
                <w:sz w:val="19"/>
              </w:rPr>
              <w:t>pm10 (Coarse Respirable Dust)</w:t>
            </w:r>
          </w:p>
        </w:tc>
        <w:tc>
          <w:tcPr>
            <w:tcW w:type="dxa" w:w="4608"/>
            <w:shd w:fill="FFFFFF"/>
            <w:vAlign w:val="center"/>
          </w:tcPr>
          <w:p>
            <w:pPr>
              <w:spacing w:before="100" w:after="100"/>
            </w:pPr>
            <w:r>
              <w:rPr>
                <w:color w:val="212529"/>
                <w:sz w:val="19"/>
              </w:rPr>
              <w:t>Mean |SHAP| ≈ 1.04 — Major contributor during dry seasons and arid regional dust transport events.</w:t>
            </w:r>
          </w:p>
        </w:tc>
      </w:tr>
      <w:tr>
        <w:tc>
          <w:tcPr>
            <w:tcW w:type="dxa" w:w="1152"/>
            <w:shd w:fill="F9FBFD"/>
            <w:vAlign w:val="center"/>
          </w:tcPr>
          <w:p>
            <w:pPr>
              <w:spacing w:before="100" w:after="100"/>
            </w:pPr>
            <w:r>
              <w:rPr>
                <w:color w:val="212529"/>
                <w:sz w:val="19"/>
              </w:rPr>
              <w:t>5</w:t>
            </w:r>
          </w:p>
        </w:tc>
        <w:tc>
          <w:tcPr>
            <w:tcW w:type="dxa" w:w="3600"/>
            <w:shd w:fill="F9FBFD"/>
            <w:vAlign w:val="center"/>
          </w:tcPr>
          <w:p>
            <w:pPr>
              <w:spacing w:before="100" w:after="100"/>
            </w:pPr>
            <w:r>
              <w:rPr>
                <w:color w:val="212529"/>
                <w:sz w:val="19"/>
              </w:rPr>
              <w:t>day &amp; month (Temporal / Seasonal)</w:t>
            </w:r>
          </w:p>
        </w:tc>
        <w:tc>
          <w:tcPr>
            <w:tcW w:type="dxa" w:w="4608"/>
            <w:shd w:fill="F9FBFD"/>
            <w:vAlign w:val="center"/>
          </w:tcPr>
          <w:p>
            <w:pPr>
              <w:spacing w:before="100" w:after="100"/>
            </w:pPr>
            <w:r>
              <w:rPr>
                <w:color w:val="212529"/>
                <w:sz w:val="19"/>
              </w:rPr>
              <w:t>Mean |SHAP| ≈ 0.70 — Captures annual crop burning seasonality and winter inversion cycles.</w:t>
            </w:r>
          </w:p>
        </w:tc>
      </w:tr>
      <w:tr>
        <w:tc>
          <w:tcPr>
            <w:tcW w:type="dxa" w:w="1152"/>
            <w:shd w:fill="FFFFFF"/>
            <w:vAlign w:val="center"/>
          </w:tcPr>
          <w:p>
            <w:pPr>
              <w:spacing w:before="100" w:after="100"/>
            </w:pPr>
            <w:r>
              <w:rPr>
                <w:color w:val="212529"/>
                <w:sz w:val="19"/>
              </w:rPr>
              <w:t>6</w:t>
            </w:r>
          </w:p>
        </w:tc>
        <w:tc>
          <w:tcPr>
            <w:tcW w:type="dxa" w:w="3600"/>
            <w:shd w:fill="FFFFFF"/>
            <w:vAlign w:val="center"/>
          </w:tcPr>
          <w:p>
            <w:pPr>
              <w:spacing w:before="100" w:after="100"/>
            </w:pPr>
            <w:r>
              <w:rPr>
                <w:color w:val="212529"/>
                <w:sz w:val="19"/>
              </w:rPr>
              <w:t>dust &amp; aerosol_optical_depth (AOD)</w:t>
            </w:r>
          </w:p>
        </w:tc>
        <w:tc>
          <w:tcPr>
            <w:tcW w:type="dxa" w:w="4608"/>
            <w:shd w:fill="FFFFFF"/>
            <w:vAlign w:val="center"/>
          </w:tcPr>
          <w:p>
            <w:pPr>
              <w:spacing w:before="100" w:after="100"/>
            </w:pPr>
            <w:r>
              <w:rPr>
                <w:color w:val="212529"/>
                <w:sz w:val="19"/>
              </w:rPr>
              <w:t>Mean |SHAP| ≈ 0.65 — Quantifies column-integrated solar extinction and particulate loading.</w:t>
            </w:r>
          </w:p>
        </w:tc>
      </w:tr>
      <w:tr>
        <w:tc>
          <w:tcPr>
            <w:tcW w:type="dxa" w:w="1152"/>
            <w:shd w:fill="F9FBFD"/>
            <w:vAlign w:val="center"/>
          </w:tcPr>
          <w:p>
            <w:pPr>
              <w:spacing w:before="100" w:after="100"/>
            </w:pPr>
            <w:r>
              <w:rPr>
                <w:color w:val="212529"/>
                <w:sz w:val="19"/>
              </w:rPr>
              <w:t>7</w:t>
            </w:r>
          </w:p>
        </w:tc>
        <w:tc>
          <w:tcPr>
            <w:tcW w:type="dxa" w:w="3600"/>
            <w:shd w:fill="F9FBFD"/>
            <w:vAlign w:val="center"/>
          </w:tcPr>
          <w:p>
            <w:pPr>
              <w:spacing w:before="100" w:after="100"/>
            </w:pPr>
            <w:r>
              <w:rPr>
                <w:color w:val="212529"/>
                <w:sz w:val="19"/>
              </w:rPr>
              <w:t>temperature_2m &amp; ventilation_index</w:t>
            </w:r>
          </w:p>
        </w:tc>
        <w:tc>
          <w:tcPr>
            <w:tcW w:type="dxa" w:w="4608"/>
            <w:shd w:fill="F9FBFD"/>
            <w:vAlign w:val="center"/>
          </w:tcPr>
          <w:p>
            <w:pPr>
              <w:spacing w:before="100" w:after="100"/>
            </w:pPr>
            <w:r>
              <w:rPr>
                <w:color w:val="212529"/>
                <w:sz w:val="19"/>
              </w:rPr>
              <w:t>Mean |SHAP| ≈ 0.48 — Controls vertical convective mixing and boundary layer height.</w:t>
            </w:r>
          </w:p>
        </w:tc>
      </w:tr>
    </w:tbl>
    <w:p>
      <w:pPr>
        <w:spacing w:after="160"/>
      </w:pPr>
    </w:p>
    <w:p>
      <w:pPr>
        <w:pStyle w:val="Heading2"/>
        <w:keepNext/>
        <w:spacing w:before="260" w:after="80"/>
      </w:pPr>
      <w:r>
        <w:rPr>
          <w:color w:val="2874A6"/>
          <w:sz w:val="26"/>
        </w:rPr>
        <w:t>High-Performance Native C++ Tree SHAP Engine</w:t>
      </w:r>
    </w:p>
    <w:p>
      <w:r>
        <w:t>In production cloud environments, traditional Python SHAP wrappers can encounter thread timeouts on single-row inference. To ensure instantaneous response times, the dashboard utilizes XGBoost's native internal C++ Tree SHAP engine (get_booster().predict(..., pred_contribs=True)). This executes directly in compiled C++, computing exact local Shapley values in less than 5 milliseconds with zero external dependencies.</w:t>
      </w:r>
    </w:p>
    <w:p>
      <w:pPr>
        <w:pStyle w:val="Heading1"/>
        <w:keepNext/>
        <w:spacing w:before="360" w:after="120"/>
      </w:pPr>
      <w:r>
        <w:rPr>
          <w:color w:val="102C57"/>
          <w:sz w:val="32"/>
        </w:rPr>
        <w:t>8. Production CI/CD &amp; Automated GitHub Actions Workflows</w:t>
      </w:r>
    </w:p>
    <w:p>
      <w:r>
        <w:t>The system operates autonomously in production via two dedicated serverless GitHub Actions workflows:</w:t>
      </w:r>
    </w:p>
    <w:p>
      <w:r>
        <w:t>1. Hourly Live Feature Pipeline (.github/workflows/feature_pipeline.yml):</w:t>
        <w:br/>
        <w:t xml:space="preserve">   - Execution Schedule: cron: '15 * * * *' (Executes automatically once every hour at minute 15 to avoid top-of-hour GitHub queue delays).</w:t>
        <w:br/>
        <w:t xml:space="preserve">   - Ingestion Process: Harvests live hourly telemetry for Karachi, Lahore, and Islamabad from Open-Meteo, calculates domain features,      and performs idempotent upserts into Supabase `aqi_features`.</w:t>
        <w:br/>
        <w:br/>
        <w:t>2. Daily Automated Model Retraining (.github/workflows/training_pipeline.yml):</w:t>
        <w:br/>
        <w:t xml:space="preserve">   - Execution Schedule: cron: '0 0 * * *' (Executes automatically every 24 hours at midnight UTC).</w:t>
        <w:br/>
        <w:t xml:space="preserve">   - Retraining Process: Extracts the expanding historical dataset from Supabase, retrains the MultiHorizonXGBoost ensemble,      computes updated 25-feature SHAP summaries, serializes the model to compressed base64, and updates the champion model in `model_registry`.</w:t>
        <w:br/>
        <w:br/>
        <w:t>3. Manual Trigger Support: Both workflows support `workflow_dispatch` for on-demand execution from GitHub.</w:t>
      </w:r>
    </w:p>
    <w:p>
      <w:pPr>
        <w:pStyle w:val="Heading2"/>
        <w:keepNext/>
        <w:spacing w:before="260" w:after="80"/>
      </w:pPr>
      <w:r>
        <w:rPr>
          <w:color w:val="2874A6"/>
          <w:sz w:val="26"/>
        </w:rPr>
        <w:t>8.1 Automated Workflow Execution Telemetry</w:t>
      </w:r>
    </w:p>
    <w:p>
      <w:r>
        <w:t>The figure below demonstrates the continuous, autonomous execution history of the production CI/CD workflows on GitHub Actions, showing 52+ consecutive successful runs without human intervention:</w:t>
      </w:r>
    </w:p>
    <w:p>
      <w:r>
        <w:drawing>
          <wp:inline xmlns:a="http://schemas.openxmlformats.org/drawingml/2006/main" xmlns:pic="http://schemas.openxmlformats.org/drawingml/2006/picture">
            <wp:extent cx="5669280" cy="2801422"/>
            <wp:docPr id="2" name="Picture 2"/>
            <wp:cNvGraphicFramePr>
              <a:graphicFrameLocks noChangeAspect="1"/>
            </wp:cNvGraphicFramePr>
            <a:graphic>
              <a:graphicData uri="http://schemas.openxmlformats.org/drawingml/2006/picture">
                <pic:pic>
                  <pic:nvPicPr>
                    <pic:cNvPr id="0" name="github_actions_pipeline.png"/>
                    <pic:cNvPicPr/>
                  </pic:nvPicPr>
                  <pic:blipFill>
                    <a:blip r:embed="rId11"/>
                    <a:stretch>
                      <a:fillRect/>
                    </a:stretch>
                  </pic:blipFill>
                  <pic:spPr>
                    <a:xfrm>
                      <a:off x="0" y="0"/>
                      <a:ext cx="5669280" cy="2801422"/>
                    </a:xfrm>
                    <a:prstGeom prst="rect"/>
                  </pic:spPr>
                </pic:pic>
              </a:graphicData>
            </a:graphic>
          </wp:inline>
        </w:drawing>
      </w:r>
    </w:p>
    <w:p>
      <w:pPr>
        <w:spacing w:after="240"/>
      </w:pPr>
      <w:r>
        <w:rPr>
          <w:i/>
          <w:sz w:val="17"/>
        </w:rPr>
        <w:t>Figure 8.1: Live execution history of automated GitHub Actions pipelines with 52+ consecutive successful scheduled runs.</w:t>
      </w:r>
    </w:p>
    <w:p>
      <w:pPr>
        <w:pStyle w:val="Heading1"/>
        <w:keepNext/>
        <w:spacing w:before="360" w:after="120"/>
      </w:pPr>
      <w:r>
        <w:rPr>
          <w:color w:val="102C57"/>
          <w:sz w:val="32"/>
        </w:rPr>
        <w:t>9. Interactive Streamlit Dashboard Architecture &amp; User Experience</w:t>
      </w:r>
    </w:p>
    <w:p>
      <w:r>
        <w:t>The production web dashboard (app.py) is hosted live on Streamlit Community Cloud (https://pakistan-aqi-predictor.streamlit.app), featuring a dark glassmorphic UI structured into intuitive components:</w:t>
      </w:r>
    </w:p>
    <w:p>
      <w:r>
        <w:t>• System Sidebar (System Overview):</w:t>
        <w:br/>
        <w:t xml:space="preserve">  - Displays live weather telemetry for the selected city (Temperature, Humidity, Wind Speed, Surface Pressure).</w:t>
        <w:br/>
        <w:t xml:space="preserve">  - Displays MLOps system architecture specifications and provides a 1-click cache refresh action.</w:t>
        <w:br/>
        <w:br/>
        <w:t>• Header &amp; Synchronized City Selector:</w:t>
        <w:br/>
        <w:t xml:space="preserve">  - Provides instant horizontal switching between Karachi, Lahore, and Islamabad.</w:t>
        <w:br/>
        <w:t xml:space="preserve">  - Dynamic EPA Health Alert Banner: Evaluates the peak 3-day forecasted AQI against official US EPA break-points     (Good, Moderate, Unhealthy for Sensitive Groups, Unhealthy, Very Unhealthy, Hazardous) with actionable guidance for sensitive individuals.</w:t>
        <w:br/>
        <w:br/>
        <w:t>• 4-Metric KPI Ribbon:</w:t>
        <w:br/>
        <w:t xml:space="preserve">  - Current Observed AQI with status category badge.</w:t>
        <w:br/>
        <w:t xml:space="preserve">  - +24h Forecast (Day 1) with point delta.</w:t>
        <w:br/>
        <w:t xml:space="preserve">  - +48h Forecast (Day 2) with point delta.</w:t>
        <w:br/>
        <w:t xml:space="preserve">  - +72h Forecast (Day 3) with point delta.</w:t>
        <w:br/>
        <w:br/>
        <w:t>• Five Interactive Analytical Tabs:</w:t>
        <w:br/>
        <w:t xml:space="preserve">  - Tab 1: 📈 3-Day Forecast &amp; Continuous Trends: Interactive Plotly chart linking 7-day observed history to the 3-day future trajectory with EPA threshold reference lines.</w:t>
        <w:br/>
        <w:t xml:space="preserve">  - Tab 2: 🧠 Model Explainability (SHAP): Interactive local waterfall attributions showing exact point impacts (red/green bars) alongside the top 25 global predictive drivers.</w:t>
        <w:br/>
        <w:t xml:space="preserve">  - Tab 3: 🔬 Exploratory Data Analysis (EDA): 7-day individual pollutant breakdown, meteorological correlation heatmap, and 24h diurnal pattern.</w:t>
        <w:br/>
        <w:t xml:space="preserve">  - Tab 4: 📊 Model Performance &amp; Benchmarks: Full benchmark evaluation tables and per-city metrics.</w:t>
        <w:br/>
        <w:t xml:space="preserve">  - Tab 5: 📋 Live Feature Store Inspector: Searchable, filterable real-time table queried directly from Supabase PostgreSQL.</w:t>
      </w:r>
    </w:p>
    <w:p>
      <w:pPr>
        <w:pStyle w:val="Heading2"/>
        <w:keepNext/>
        <w:spacing w:before="260" w:after="80"/>
      </w:pPr>
      <w:r>
        <w:rPr>
          <w:color w:val="2874A6"/>
          <w:sz w:val="26"/>
        </w:rPr>
        <w:t>9.1 Live Production Dashboard Interface</w:t>
      </w:r>
    </w:p>
    <w:p>
      <w:r>
        <w:t>The figure below shows the live operational web interface running on Streamlit Community Cloud, featuring real-time Karachi atmospheric telemetry in the sidebar, EPA Health Alert Advisory, 4-card metric KPI ribbon, active champion model tag (aqi_forecast_xgboost v16), and interactive 3-day forecast trajectory:</w:t>
      </w:r>
    </w:p>
    <w:p>
      <w:r>
        <w:drawing>
          <wp:inline xmlns:a="http://schemas.openxmlformats.org/drawingml/2006/main" xmlns:pic="http://schemas.openxmlformats.org/drawingml/2006/picture">
            <wp:extent cx="5669280" cy="2773740"/>
            <wp:docPr id="3" name="Picture 3"/>
            <wp:cNvGraphicFramePr>
              <a:graphicFrameLocks noChangeAspect="1"/>
            </wp:cNvGraphicFramePr>
            <a:graphic>
              <a:graphicData uri="http://schemas.openxmlformats.org/drawingml/2006/picture">
                <pic:pic>
                  <pic:nvPicPr>
                    <pic:cNvPr id="0" name="streamlit_dashboard.png"/>
                    <pic:cNvPicPr/>
                  </pic:nvPicPr>
                  <pic:blipFill>
                    <a:blip r:embed="rId12"/>
                    <a:stretch>
                      <a:fillRect/>
                    </a:stretch>
                  </pic:blipFill>
                  <pic:spPr>
                    <a:xfrm>
                      <a:off x="0" y="0"/>
                      <a:ext cx="5669280" cy="2773740"/>
                    </a:xfrm>
                    <a:prstGeom prst="rect"/>
                  </pic:spPr>
                </pic:pic>
              </a:graphicData>
            </a:graphic>
          </wp:inline>
        </w:drawing>
      </w:r>
    </w:p>
    <w:p>
      <w:pPr>
        <w:spacing w:after="240"/>
      </w:pPr>
      <w:r>
        <w:rPr>
          <w:i/>
          <w:sz w:val="17"/>
        </w:rPr>
        <w:t>Figure 9.1: Live Streamlit production dashboard showing Karachi live telemetry, EPA health advisory banner, 4-card KPI ribbon, active champion model aqi_forecast_xgboost v16, and Tab 1 continuous 3-day forecasting trends.</w:t>
      </w:r>
    </w:p>
    <w:p>
      <w:pPr>
        <w:pStyle w:val="Heading1"/>
        <w:keepNext/>
        <w:spacing w:before="360" w:after="120"/>
      </w:pPr>
      <w:r>
        <w:rPr>
          <w:color w:val="102C57"/>
          <w:sz w:val="32"/>
        </w:rPr>
        <w:t>10. Real-World Production Verification &amp; Live Ground Truth Validation</w:t>
      </w:r>
    </w:p>
    <w:p>
      <w:r>
        <w:t>To verify real-world operational accuracy, live model predictions were compared against actual online observations harvested from Open-Meteo and ECMWF CAMS across all three target cities:</w:t>
      </w:r>
    </w:p>
    <w:tbl>
      <w:tblPr>
        <w:tblW w:type="auto" w:w="0"/>
        <w:jc w:val="center"/>
        <w:tblLook w:firstColumn="1" w:firstRow="1" w:lastColumn="0" w:lastRow="0" w:noHBand="0" w:noVBand="1" w:val="04A0"/>
        <w:tblBorders>
          <w:top w:val="single" w:sz="4" w:space="0" w:color="C5D1DE"/>
          <w:bottom w:val="single" w:sz="4" w:space="0" w:color="C5D1DE"/>
          <w:left w:val="none"/>
          <w:right w:val="none"/>
          <w:insideH w:val="single" w:sz="4" w:space="0" w:color="C5D1DE"/>
          <w:insideV w:val="none"/>
        </w:tblBorders>
      </w:tblPr>
      <w:tblGrid>
        <w:gridCol w:w="1872"/>
        <w:gridCol w:w="1872"/>
        <w:gridCol w:w="1872"/>
        <w:gridCol w:w="1872"/>
        <w:gridCol w:w="1872"/>
      </w:tblGrid>
      <w:tr>
        <w:tc>
          <w:tcPr>
            <w:tcW w:type="dxa" w:w="1872"/>
            <w:shd w:fill="102C57"/>
            <w:vAlign w:val="center"/>
          </w:tcPr>
          <w:p>
            <w:pPr>
              <w:spacing w:before="100" w:after="100"/>
            </w:pPr>
            <w:r>
              <w:rPr>
                <w:b/>
                <w:color w:val="FFFFFF"/>
                <w:sz w:val="18"/>
              </w:rPr>
              <w:t>Target City</w:t>
            </w:r>
          </w:p>
        </w:tc>
        <w:tc>
          <w:tcPr>
            <w:tcW w:type="dxa" w:w="1872"/>
            <w:shd w:fill="102C57"/>
            <w:vAlign w:val="center"/>
          </w:tcPr>
          <w:p>
            <w:pPr>
              <w:spacing w:before="100" w:after="100"/>
            </w:pPr>
            <w:r>
              <w:rPr>
                <w:b/>
                <w:color w:val="FFFFFF"/>
                <w:sz w:val="18"/>
              </w:rPr>
              <w:t>Current AQI (Model vs Live)</w:t>
            </w:r>
          </w:p>
        </w:tc>
        <w:tc>
          <w:tcPr>
            <w:tcW w:type="dxa" w:w="1872"/>
            <w:shd w:fill="102C57"/>
            <w:vAlign w:val="center"/>
          </w:tcPr>
          <w:p>
            <w:pPr>
              <w:spacing w:before="100" w:after="100"/>
            </w:pPr>
            <w:r>
              <w:rPr>
                <w:b/>
                <w:color w:val="FFFFFF"/>
                <w:sz w:val="18"/>
              </w:rPr>
              <w:t>+24h Forecast vs Live Actual</w:t>
            </w:r>
          </w:p>
        </w:tc>
        <w:tc>
          <w:tcPr>
            <w:tcW w:type="dxa" w:w="1872"/>
            <w:shd w:fill="102C57"/>
            <w:vAlign w:val="center"/>
          </w:tcPr>
          <w:p>
            <w:pPr>
              <w:spacing w:before="100" w:after="100"/>
            </w:pPr>
            <w:r>
              <w:rPr>
                <w:b/>
                <w:color w:val="FFFFFF"/>
                <w:sz w:val="18"/>
              </w:rPr>
              <w:t>+72h Forecast vs Live Actual</w:t>
            </w:r>
          </w:p>
        </w:tc>
        <w:tc>
          <w:tcPr>
            <w:tcW w:type="dxa" w:w="1872"/>
            <w:shd w:fill="102C57"/>
            <w:vAlign w:val="center"/>
          </w:tcPr>
          <w:p>
            <w:pPr>
              <w:spacing w:before="100" w:after="100"/>
            </w:pPr>
            <w:r>
              <w:rPr>
                <w:b/>
                <w:color w:val="FFFFFF"/>
                <w:sz w:val="18"/>
              </w:rPr>
              <w:t>EPA Category Alignment</w:t>
            </w:r>
          </w:p>
        </w:tc>
      </w:tr>
      <w:tr>
        <w:tc>
          <w:tcPr>
            <w:tcW w:type="dxa" w:w="1872"/>
            <w:shd w:fill="F9FBFD"/>
            <w:vAlign w:val="center"/>
          </w:tcPr>
          <w:p>
            <w:pPr>
              <w:spacing w:before="100" w:after="100"/>
            </w:pPr>
            <w:r>
              <w:rPr>
                <w:color w:val="212529"/>
                <w:sz w:val="18"/>
              </w:rPr>
              <w:t>Karachi</w:t>
            </w:r>
          </w:p>
        </w:tc>
        <w:tc>
          <w:tcPr>
            <w:tcW w:type="dxa" w:w="1872"/>
            <w:shd w:fill="F9FBFD"/>
            <w:vAlign w:val="center"/>
          </w:tcPr>
          <w:p>
            <w:pPr>
              <w:spacing w:before="100" w:after="100"/>
            </w:pPr>
            <w:r>
              <w:rPr>
                <w:color w:val="212529"/>
                <w:sz w:val="18"/>
              </w:rPr>
              <w:t>Model: 58.0 | Live: 57.0 (Diff: 1.0 pt 🎯)</w:t>
            </w:r>
          </w:p>
        </w:tc>
        <w:tc>
          <w:tcPr>
            <w:tcW w:type="dxa" w:w="1872"/>
            <w:shd w:fill="F9FBFD"/>
            <w:vAlign w:val="center"/>
          </w:tcPr>
          <w:p>
            <w:pPr>
              <w:spacing w:before="100" w:after="100"/>
            </w:pPr>
            <w:r>
              <w:rPr>
                <w:color w:val="212529"/>
                <w:sz w:val="18"/>
              </w:rPr>
              <w:t>Model: 66.5 | Live: 62.0 (Diff: 4.5 pts)</w:t>
            </w:r>
          </w:p>
        </w:tc>
        <w:tc>
          <w:tcPr>
            <w:tcW w:type="dxa" w:w="1872"/>
            <w:shd w:fill="F9FBFD"/>
            <w:vAlign w:val="center"/>
          </w:tcPr>
          <w:p>
            <w:pPr>
              <w:spacing w:before="100" w:after="100"/>
            </w:pPr>
            <w:r>
              <w:rPr>
                <w:color w:val="212529"/>
                <w:sz w:val="18"/>
              </w:rPr>
              <w:t>Model: 86.0 | Live: 63.0 (Diff: 23.0 pts)</w:t>
            </w:r>
          </w:p>
        </w:tc>
        <w:tc>
          <w:tcPr>
            <w:tcW w:type="dxa" w:w="1872"/>
            <w:shd w:fill="F9FBFD"/>
            <w:vAlign w:val="center"/>
          </w:tcPr>
          <w:p>
            <w:pPr>
              <w:spacing w:before="100" w:after="100"/>
            </w:pPr>
            <w:r>
              <w:rPr>
                <w:color w:val="212529"/>
                <w:sz w:val="18"/>
              </w:rPr>
              <w:t>✅ 100% Moderate Match</w:t>
            </w:r>
          </w:p>
        </w:tc>
      </w:tr>
      <w:tr>
        <w:tc>
          <w:tcPr>
            <w:tcW w:type="dxa" w:w="1872"/>
            <w:shd w:fill="FFFFFF"/>
            <w:vAlign w:val="center"/>
          </w:tcPr>
          <w:p>
            <w:pPr>
              <w:spacing w:before="100" w:after="100"/>
            </w:pPr>
            <w:r>
              <w:rPr>
                <w:color w:val="212529"/>
                <w:sz w:val="18"/>
              </w:rPr>
              <w:t>Lahore</w:t>
            </w:r>
          </w:p>
        </w:tc>
        <w:tc>
          <w:tcPr>
            <w:tcW w:type="dxa" w:w="1872"/>
            <w:shd w:fill="FFFFFF"/>
            <w:vAlign w:val="center"/>
          </w:tcPr>
          <w:p>
            <w:pPr>
              <w:spacing w:before="100" w:after="100"/>
            </w:pPr>
            <w:r>
              <w:rPr>
                <w:color w:val="212529"/>
                <w:sz w:val="18"/>
              </w:rPr>
              <w:t>Model: 156.0 | Live: 154.0 (Diff: 2.0 pts 🎯)</w:t>
            </w:r>
          </w:p>
        </w:tc>
        <w:tc>
          <w:tcPr>
            <w:tcW w:type="dxa" w:w="1872"/>
            <w:shd w:fill="FFFFFF"/>
            <w:vAlign w:val="center"/>
          </w:tcPr>
          <w:p>
            <w:pPr>
              <w:spacing w:before="100" w:after="100"/>
            </w:pPr>
            <w:r>
              <w:rPr>
                <w:color w:val="212529"/>
                <w:sz w:val="18"/>
              </w:rPr>
              <w:t>Model: 152.4 | Live: 152.0 (Diff: 0.4 pts 🎯)</w:t>
            </w:r>
          </w:p>
        </w:tc>
        <w:tc>
          <w:tcPr>
            <w:tcW w:type="dxa" w:w="1872"/>
            <w:shd w:fill="FFFFFF"/>
            <w:vAlign w:val="center"/>
          </w:tcPr>
          <w:p>
            <w:pPr>
              <w:spacing w:before="100" w:after="100"/>
            </w:pPr>
            <w:r>
              <w:rPr>
                <w:color w:val="212529"/>
                <w:sz w:val="18"/>
              </w:rPr>
              <w:t>Model: 160.6 | Live: 137.0 (Diff: 23.6 pts)</w:t>
            </w:r>
          </w:p>
        </w:tc>
        <w:tc>
          <w:tcPr>
            <w:tcW w:type="dxa" w:w="1872"/>
            <w:shd w:fill="FFFFFF"/>
            <w:vAlign w:val="center"/>
          </w:tcPr>
          <w:p>
            <w:pPr>
              <w:spacing w:before="100" w:after="100"/>
            </w:pPr>
            <w:r>
              <w:rPr>
                <w:color w:val="212529"/>
                <w:sz w:val="18"/>
              </w:rPr>
              <w:t>✅ 100% Unhealthy Match</w:t>
            </w:r>
          </w:p>
        </w:tc>
      </w:tr>
      <w:tr>
        <w:tc>
          <w:tcPr>
            <w:tcW w:type="dxa" w:w="1872"/>
            <w:shd w:fill="F9FBFD"/>
            <w:vAlign w:val="center"/>
          </w:tcPr>
          <w:p>
            <w:pPr>
              <w:spacing w:before="100" w:after="100"/>
            </w:pPr>
            <w:r>
              <w:rPr>
                <w:color w:val="212529"/>
                <w:sz w:val="18"/>
              </w:rPr>
              <w:t>Islamabad</w:t>
            </w:r>
          </w:p>
        </w:tc>
        <w:tc>
          <w:tcPr>
            <w:tcW w:type="dxa" w:w="1872"/>
            <w:shd w:fill="F9FBFD"/>
            <w:vAlign w:val="center"/>
          </w:tcPr>
          <w:p>
            <w:pPr>
              <w:spacing w:before="100" w:after="100"/>
            </w:pPr>
            <w:r>
              <w:rPr>
                <w:color w:val="212529"/>
                <w:sz w:val="18"/>
              </w:rPr>
              <w:t>Model: 97.0 | Live: 101.0 (Diff: 4.0 pts 🎯)</w:t>
            </w:r>
          </w:p>
        </w:tc>
        <w:tc>
          <w:tcPr>
            <w:tcW w:type="dxa" w:w="1872"/>
            <w:shd w:fill="F9FBFD"/>
            <w:vAlign w:val="center"/>
          </w:tcPr>
          <w:p>
            <w:pPr>
              <w:spacing w:before="100" w:after="100"/>
            </w:pPr>
            <w:r>
              <w:rPr>
                <w:color w:val="212529"/>
                <w:sz w:val="18"/>
              </w:rPr>
              <w:t>Model: 106.5 | Live: 89.0 (Diff: 17.5 pts)</w:t>
            </w:r>
          </w:p>
        </w:tc>
        <w:tc>
          <w:tcPr>
            <w:tcW w:type="dxa" w:w="1872"/>
            <w:shd w:fill="F9FBFD"/>
            <w:vAlign w:val="center"/>
          </w:tcPr>
          <w:p>
            <w:pPr>
              <w:spacing w:before="100" w:after="100"/>
            </w:pPr>
            <w:r>
              <w:rPr>
                <w:color w:val="212529"/>
                <w:sz w:val="18"/>
              </w:rPr>
              <w:t>Model: 113.9 | Live: 109.0 (Diff: 4.9 pts 🎯)</w:t>
            </w:r>
          </w:p>
        </w:tc>
        <w:tc>
          <w:tcPr>
            <w:tcW w:type="dxa" w:w="1872"/>
            <w:shd w:fill="F9FBFD"/>
            <w:vAlign w:val="center"/>
          </w:tcPr>
          <w:p>
            <w:pPr>
              <w:spacing w:before="100" w:after="100"/>
            </w:pPr>
            <w:r>
              <w:rPr>
                <w:color w:val="212529"/>
                <w:sz w:val="18"/>
              </w:rPr>
              <w:t>✅ 100% Sensitive Match</w:t>
            </w:r>
          </w:p>
        </w:tc>
      </w:tr>
    </w:tbl>
    <w:p>
      <w:pPr>
        <w:spacing w:after="240"/>
      </w:pPr>
    </w:p>
    <w:p>
      <w:pPr>
        <w:pStyle w:val="Heading1"/>
        <w:keepNext/>
        <w:spacing w:before="360" w:after="120"/>
      </w:pPr>
      <w:r>
        <w:rPr>
          <w:color w:val="102C57"/>
          <w:sz w:val="32"/>
        </w:rPr>
        <w:t>11. Conclusion, Deliverables &amp; Operational Summary</w:t>
      </w:r>
    </w:p>
    <w:p>
      <w:r>
        <w:t>This project successfully delivers an enterprise-grade, explainable, and fully automated Air Quality Index forecasting platform for Pakistan. By synthesizing physical atmospheric dynamics, multi-horizon gradient boosted tree ensembles, cloud-native database persistence, and automated CI/CD retraining workflows, the system establishes a new benchmark for operational meteorological AI in South Asia.</w:t>
      </w:r>
    </w:p>
    <w:p>
      <w:r>
        <w:t>• Core Project Deliverables:</w:t>
        <w:br/>
        <w:t xml:space="preserve">  1. Live Web Application: https://pakistan-aqi-predictor.streamlit.app</w:t>
        <w:br/>
        <w:t xml:space="preserve">  2. GitHub Repository: https://github.com/IbadTahir/10Pearls_AQI_Predictor</w:t>
        <w:br/>
        <w:t xml:space="preserve">  3. Streamlit Application: app.py (Full 5-tab glassmorphic dashboard)</w:t>
        <w:br/>
        <w:t xml:space="preserve">  4. Feature Engineering Engine: feature_engineering.py (84 domain physics features)</w:t>
        <w:br/>
        <w:t xml:space="preserve">  5. Cloud Integration &amp; Model Client: supabase_client.py (Universal database model persistence)</w:t>
        <w:br/>
        <w:t xml:space="preserve">  6. Multi-Horizon Training Engine: trainingpipeline.py (XGBoost multi-horizon pipeline with SHAP)</w:t>
        <w:br/>
        <w:t xml:space="preserve">  7. Automated CI/CD Workflows: feature_pipeline.yml (Hourly) and training_pipeline.yml (Daily)</w:t>
        <w:br/>
        <w:t xml:space="preserve">  8. Full Technical Documentation: Pakistan_AQI_3Day_Predictor_Comprehensive_Report.docx &amp; PROJECT_REPORT.md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C96A0"/>
        <w:sz w:val="17"/>
      </w:rPr>
      <w:t>Pakistan AQI 3-Day Forecast System • End-to-End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