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E8" w:rsidRPr="006C7F70" w:rsidRDefault="00EF0BE8" w:rsidP="0002675D">
      <w:pPr>
        <w:pStyle w:val="Ttulo"/>
        <w:pBdr>
          <w:bottom w:val="none" w:sz="0" w:space="0" w:color="auto"/>
        </w:pBdr>
        <w:rPr>
          <w:b w:val="0"/>
          <w:smallCaps w:val="0"/>
        </w:rPr>
      </w:pPr>
    </w:p>
    <w:p w:rsidR="001D38B2" w:rsidRPr="006C7F70" w:rsidRDefault="001D38B2" w:rsidP="0027465E">
      <w:pPr>
        <w:pStyle w:val="Ttulo1"/>
        <w:rPr>
          <w:b w:val="0"/>
        </w:rPr>
      </w:pPr>
    </w:p>
    <w:p w:rsidR="00981E99" w:rsidRPr="006C7F70" w:rsidRDefault="000E44B7" w:rsidP="0027465E">
      <w:pPr>
        <w:pStyle w:val="Ttulo1"/>
        <w:rPr>
          <w:b w:val="0"/>
        </w:rPr>
      </w:pPr>
      <w:r>
        <w:rPr>
          <w:b w:val="0"/>
          <w:noProof/>
          <w:lang w:eastAsia="es-ES"/>
        </w:rPr>
        <w:pict>
          <v:rect id="Rectangle 62" o:spid="_x0000_s1026" style="position:absolute;margin-left:0;margin-top:0;width:545.85pt;height:175.35pt;z-index:251683328;visibility:visible;mso-width-percent:917;mso-height-percent:1000;mso-top-percent:250;mso-position-horizontal:center;mso-position-horizontal-relative:page;mso-position-vertical-relative:page;mso-width-percent:917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<v:textbox style="mso-fit-shape-to-text:t" inset="0,0,0,0">
              <w:txbxContent>
                <w:tbl>
                  <w:tblPr>
                    <w:tblStyle w:val="Tablaconcuadrcula"/>
                    <w:tblOverlap w:val="never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/>
                  </w:tblPr>
                  <w:tblGrid>
                    <w:gridCol w:w="10934"/>
                  </w:tblGrid>
                  <w:tr w:rsidR="0085701F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85701F" w:rsidRDefault="0085701F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85701F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85701F" w:rsidRDefault="000E44B7" w:rsidP="00EA7AAF">
                        <w:pPr>
                          <w:pStyle w:val="Sinespaciado"/>
                          <w:ind w:left="1142" w:right="1145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id w:val="18160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r w:rsidR="0085701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Cursos SQL Server 2008 R2</w:t>
                            </w:r>
                          </w:sdtContent>
                        </w:sdt>
                      </w:p>
                    </w:tc>
                  </w:tr>
                  <w:tr w:rsidR="0085701F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85701F" w:rsidRDefault="0085701F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85701F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vAlign w:val="bottom"/>
                      </w:tcPr>
                      <w:p w:rsidR="0085701F" w:rsidRDefault="006C7F70" w:rsidP="001D38B2">
                        <w:pPr>
                          <w:pStyle w:val="Sinespaciado"/>
                          <w:suppressOverlap/>
                          <w:jc w:val="center"/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Transact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Subconsultas</w:t>
                        </w:r>
                        <w:proofErr w:type="spellEnd"/>
                      </w:p>
                    </w:tc>
                  </w:tr>
                </w:tbl>
                <w:p w:rsidR="0085701F" w:rsidRDefault="0085701F" w:rsidP="0002675D"/>
              </w:txbxContent>
            </v:textbox>
            <w10:wrap anchorx="page" anchory="page"/>
          </v:rect>
        </w:pict>
      </w:r>
      <w:r>
        <w:rPr>
          <w:b w:val="0"/>
          <w:noProof/>
          <w:lang w:eastAsia="es-ES"/>
        </w:rPr>
        <w:pict>
          <v:roundrect id="AutoShape 61" o:spid="_x0000_s1027" style="position:absolute;margin-left:0;margin-top:0;width:546pt;height:789.9pt;z-index:251682304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<w10:wrap anchorx="page" anchory="page"/>
          </v:roundrect>
        </w:pict>
      </w:r>
    </w:p>
    <w:p w:rsidR="00981E99" w:rsidRPr="006C7F70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 w:rsidRPr="006C7F70">
        <w:br w:type="page"/>
      </w:r>
    </w:p>
    <w:p w:rsidR="00981E99" w:rsidRPr="006C7F70" w:rsidRDefault="000E44B7" w:rsidP="00981E99">
      <w:pPr>
        <w:pStyle w:val="Ttulo"/>
        <w:rPr>
          <w:b w:val="0"/>
          <w:smallCaps w:val="0"/>
        </w:rPr>
      </w:pPr>
      <w:sdt>
        <w:sdtPr>
          <w:rPr>
            <w:b w:val="0"/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C30518" w:rsidRPr="006C7F70">
            <w:rPr>
              <w:b w:val="0"/>
              <w:smallCaps w:val="0"/>
            </w:rPr>
            <w:t>Cursos SQL Server 2008 R2</w:t>
          </w:r>
        </w:sdtContent>
      </w:sdt>
    </w:p>
    <w:p w:rsidR="00981E99" w:rsidRPr="006C7F70" w:rsidRDefault="00981E99" w:rsidP="0027465E">
      <w:pPr>
        <w:pStyle w:val="Ttulo1"/>
        <w:rPr>
          <w:b w:val="0"/>
        </w:rPr>
      </w:pPr>
    </w:p>
    <w:p w:rsidR="008E1D0E" w:rsidRPr="006C7F70" w:rsidRDefault="002974F8" w:rsidP="002F7863">
      <w:pPr>
        <w:pStyle w:val="Ttulo1"/>
        <w:rPr>
          <w:b w:val="0"/>
        </w:rPr>
      </w:pPr>
      <w:r w:rsidRPr="006C7F70">
        <w:rPr>
          <w:b w:val="0"/>
        </w:rPr>
        <w:t>Índice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 xml:space="preserve">SQL Server - </w:t>
      </w:r>
      <w:proofErr w:type="spellStart"/>
      <w:r w:rsidRPr="000716D6">
        <w:rPr>
          <w:rFonts w:eastAsiaTheme="majorEastAsia"/>
        </w:rPr>
        <w:t>Transact</w:t>
      </w:r>
      <w:proofErr w:type="spellEnd"/>
      <w:r w:rsidRPr="000716D6">
        <w:rPr>
          <w:rFonts w:eastAsiaTheme="majorEastAsia"/>
        </w:rPr>
        <w:t xml:space="preserve"> 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 xml:space="preserve">Tipos de datos y variables 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 xml:space="preserve">Índice 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>Tipos de datos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>Enteros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>Bit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>Decimales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>Aproximados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>Moneda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>Fecha / Hora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>Carácter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>Binarios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>Otros</w:t>
      </w:r>
    </w:p>
    <w:p w:rsidR="00000000" w:rsidRPr="000716D6" w:rsidRDefault="00272682" w:rsidP="000716D6">
      <w:pPr>
        <w:numPr>
          <w:ilvl w:val="0"/>
          <w:numId w:val="22"/>
        </w:numPr>
        <w:rPr>
          <w:rFonts w:eastAsiaTheme="majorEastAsia"/>
        </w:rPr>
      </w:pPr>
      <w:r w:rsidRPr="000716D6">
        <w:rPr>
          <w:rFonts w:eastAsiaTheme="majorEastAsia"/>
        </w:rPr>
        <w:t>Variables de usuario y de Sistema</w:t>
      </w:r>
    </w:p>
    <w:p w:rsidR="000716D6" w:rsidRDefault="000716D6">
      <w:pPr>
        <w:spacing w:after="200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:rsidR="000716D6" w:rsidRPr="000716D6" w:rsidRDefault="000716D6" w:rsidP="000716D6">
      <w:pPr>
        <w:pStyle w:val="Ttulo1"/>
      </w:pPr>
      <w:r w:rsidRPr="000716D6">
        <w:lastRenderedPageBreak/>
        <w:t>Tipos de datos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>Los tipos de datos determinan la validez de la información a introducir dentro de una columna de una tabla o de una variable de programación.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>Los distintos tipos se agrupan en familias: numéricas, carácter, fecha/hora, etc.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>Las versiones del producto hacen que dichos tipos vayan evolucionando y que el número de miembros de cada familia vaya ampliándose.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>Vamos a exponer los más habituales.</w:t>
      </w:r>
    </w:p>
    <w:p w:rsidR="000716D6" w:rsidRPr="000716D6" w:rsidRDefault="000716D6" w:rsidP="000716D6">
      <w:pPr>
        <w:pStyle w:val="Ttulo4"/>
      </w:pPr>
      <w:r w:rsidRPr="000716D6">
        <w:t>Numéricos enteros</w:t>
      </w:r>
    </w:p>
    <w:tbl>
      <w:tblPr>
        <w:tblStyle w:val="Listaclara-nfasis4"/>
        <w:tblW w:w="9054" w:type="dxa"/>
        <w:tblLook w:val="04A0"/>
      </w:tblPr>
      <w:tblGrid>
        <w:gridCol w:w="1342"/>
        <w:gridCol w:w="5215"/>
        <w:gridCol w:w="2497"/>
      </w:tblGrid>
      <w:tr w:rsidR="000716D6" w:rsidRPr="000716D6" w:rsidTr="004069C7">
        <w:trPr>
          <w:cnfStyle w:val="100000000000"/>
          <w:trHeight w:val="481"/>
        </w:trPr>
        <w:tc>
          <w:tcPr>
            <w:cnfStyle w:val="001000000000"/>
            <w:tcW w:w="1342" w:type="dxa"/>
            <w:hideMark/>
          </w:tcPr>
          <w:p w:rsidR="00000000" w:rsidRPr="000716D6" w:rsidRDefault="000716D6" w:rsidP="000716D6">
            <w:pPr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Tipo de datos </w:t>
            </w:r>
          </w:p>
        </w:tc>
        <w:tc>
          <w:tcPr>
            <w:tcW w:w="5215" w:type="dxa"/>
            <w:hideMark/>
          </w:tcPr>
          <w:p w:rsidR="00000000" w:rsidRPr="000716D6" w:rsidRDefault="000716D6" w:rsidP="000716D6">
            <w:pPr>
              <w:cnfStyle w:val="1000000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Intervalo </w:t>
            </w:r>
          </w:p>
        </w:tc>
        <w:tc>
          <w:tcPr>
            <w:tcW w:w="2497" w:type="dxa"/>
            <w:hideMark/>
          </w:tcPr>
          <w:p w:rsidR="00000000" w:rsidRPr="000716D6" w:rsidRDefault="000716D6" w:rsidP="000716D6">
            <w:pPr>
              <w:cnfStyle w:val="1000000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Almacenamiento </w:t>
            </w:r>
          </w:p>
        </w:tc>
      </w:tr>
      <w:tr w:rsidR="000716D6" w:rsidRPr="000716D6" w:rsidTr="004069C7">
        <w:trPr>
          <w:cnfStyle w:val="000000100000"/>
          <w:trHeight w:val="481"/>
        </w:trPr>
        <w:tc>
          <w:tcPr>
            <w:cnfStyle w:val="001000000000"/>
            <w:tcW w:w="1342" w:type="dxa"/>
            <w:hideMark/>
          </w:tcPr>
          <w:p w:rsidR="00000000" w:rsidRPr="000716D6" w:rsidRDefault="000716D6" w:rsidP="000716D6">
            <w:pPr>
              <w:rPr>
                <w:rFonts w:eastAsiaTheme="majorEastAsia"/>
              </w:rPr>
            </w:pPr>
            <w:proofErr w:type="spellStart"/>
            <w:r w:rsidRPr="000716D6">
              <w:rPr>
                <w:rFonts w:eastAsiaTheme="majorEastAsia"/>
              </w:rPr>
              <w:t>bigint</w:t>
            </w:r>
            <w:proofErr w:type="spellEnd"/>
            <w:r w:rsidRPr="000716D6">
              <w:rPr>
                <w:rFonts w:eastAsiaTheme="majorEastAsia"/>
              </w:rPr>
              <w:t xml:space="preserve"> </w:t>
            </w:r>
          </w:p>
        </w:tc>
        <w:tc>
          <w:tcPr>
            <w:tcW w:w="5215" w:type="dxa"/>
            <w:hideMark/>
          </w:tcPr>
          <w:p w:rsidR="00000000" w:rsidRPr="000716D6" w:rsidRDefault="000716D6" w:rsidP="000716D6">
            <w:pPr>
              <w:cnfStyle w:val="000000100000"/>
              <w:rPr>
                <w:rFonts w:eastAsiaTheme="majorEastAsia"/>
                <w:b/>
                <w:bCs/>
              </w:rPr>
            </w:pPr>
            <w:r w:rsidRPr="000716D6">
              <w:rPr>
                <w:rFonts w:eastAsiaTheme="majorEastAsia"/>
                <w:b/>
                <w:bCs/>
              </w:rPr>
              <w:t xml:space="preserve">De -2^63 (-9.223.372.036.854.775.808) a 2^63-1 (9.223.372.036.854.775.807) </w:t>
            </w:r>
          </w:p>
        </w:tc>
        <w:tc>
          <w:tcPr>
            <w:tcW w:w="2497" w:type="dxa"/>
            <w:hideMark/>
          </w:tcPr>
          <w:p w:rsidR="00000000" w:rsidRPr="000716D6" w:rsidRDefault="000716D6" w:rsidP="000716D6">
            <w:pPr>
              <w:cnfStyle w:val="000000100000"/>
              <w:rPr>
                <w:rFonts w:eastAsiaTheme="majorEastAsia"/>
                <w:b/>
                <w:bCs/>
              </w:rPr>
            </w:pPr>
            <w:r w:rsidRPr="000716D6">
              <w:rPr>
                <w:rFonts w:eastAsiaTheme="majorEastAsia"/>
                <w:b/>
                <w:bCs/>
              </w:rPr>
              <w:t xml:space="preserve">8 bytes </w:t>
            </w:r>
          </w:p>
        </w:tc>
      </w:tr>
      <w:tr w:rsidR="000716D6" w:rsidRPr="000716D6" w:rsidTr="004069C7">
        <w:trPr>
          <w:trHeight w:val="481"/>
        </w:trPr>
        <w:tc>
          <w:tcPr>
            <w:cnfStyle w:val="001000000000"/>
            <w:tcW w:w="1342" w:type="dxa"/>
            <w:hideMark/>
          </w:tcPr>
          <w:p w:rsidR="00000000" w:rsidRPr="000716D6" w:rsidRDefault="000716D6" w:rsidP="000716D6">
            <w:pPr>
              <w:rPr>
                <w:rFonts w:eastAsiaTheme="majorEastAsia"/>
              </w:rPr>
            </w:pPr>
            <w:proofErr w:type="spellStart"/>
            <w:r w:rsidRPr="000716D6">
              <w:rPr>
                <w:rFonts w:eastAsiaTheme="majorEastAsia"/>
              </w:rPr>
              <w:t>int</w:t>
            </w:r>
            <w:proofErr w:type="spellEnd"/>
            <w:r w:rsidRPr="000716D6">
              <w:rPr>
                <w:rFonts w:eastAsiaTheme="majorEastAsia"/>
              </w:rPr>
              <w:t xml:space="preserve"> </w:t>
            </w:r>
          </w:p>
        </w:tc>
        <w:tc>
          <w:tcPr>
            <w:tcW w:w="5215" w:type="dxa"/>
            <w:hideMark/>
          </w:tcPr>
          <w:p w:rsidR="00000000" w:rsidRPr="000716D6" w:rsidRDefault="000716D6" w:rsidP="000716D6">
            <w:pPr>
              <w:cnfStyle w:val="000000000000"/>
              <w:rPr>
                <w:rFonts w:eastAsiaTheme="majorEastAsia"/>
                <w:b/>
                <w:bCs/>
              </w:rPr>
            </w:pPr>
            <w:r w:rsidRPr="000716D6">
              <w:rPr>
                <w:rFonts w:eastAsiaTheme="majorEastAsia"/>
                <w:b/>
                <w:bCs/>
              </w:rPr>
              <w:t xml:space="preserve">De -2^31 (-2.147.483.648) a 2^31-1 (2.147.483.647) </w:t>
            </w:r>
          </w:p>
        </w:tc>
        <w:tc>
          <w:tcPr>
            <w:tcW w:w="2497" w:type="dxa"/>
            <w:hideMark/>
          </w:tcPr>
          <w:p w:rsidR="00000000" w:rsidRPr="000716D6" w:rsidRDefault="000716D6" w:rsidP="000716D6">
            <w:pPr>
              <w:cnfStyle w:val="000000000000"/>
              <w:rPr>
                <w:rFonts w:eastAsiaTheme="majorEastAsia"/>
                <w:b/>
                <w:bCs/>
              </w:rPr>
            </w:pPr>
            <w:r w:rsidRPr="000716D6">
              <w:rPr>
                <w:rFonts w:eastAsiaTheme="majorEastAsia"/>
                <w:b/>
                <w:bCs/>
              </w:rPr>
              <w:t xml:space="preserve">4 bytes </w:t>
            </w:r>
          </w:p>
        </w:tc>
      </w:tr>
      <w:tr w:rsidR="000716D6" w:rsidRPr="000716D6" w:rsidTr="004069C7">
        <w:trPr>
          <w:cnfStyle w:val="000000100000"/>
          <w:trHeight w:val="481"/>
        </w:trPr>
        <w:tc>
          <w:tcPr>
            <w:cnfStyle w:val="001000000000"/>
            <w:tcW w:w="1342" w:type="dxa"/>
            <w:hideMark/>
          </w:tcPr>
          <w:p w:rsidR="00000000" w:rsidRPr="000716D6" w:rsidRDefault="000716D6" w:rsidP="000716D6">
            <w:pPr>
              <w:rPr>
                <w:rFonts w:eastAsiaTheme="majorEastAsia"/>
              </w:rPr>
            </w:pPr>
            <w:proofErr w:type="spellStart"/>
            <w:r w:rsidRPr="000716D6">
              <w:rPr>
                <w:rFonts w:eastAsiaTheme="majorEastAsia"/>
              </w:rPr>
              <w:t>smallint</w:t>
            </w:r>
            <w:proofErr w:type="spellEnd"/>
            <w:r w:rsidRPr="000716D6">
              <w:rPr>
                <w:rFonts w:eastAsiaTheme="majorEastAsia"/>
              </w:rPr>
              <w:t xml:space="preserve"> </w:t>
            </w:r>
          </w:p>
        </w:tc>
        <w:tc>
          <w:tcPr>
            <w:tcW w:w="5215" w:type="dxa"/>
            <w:hideMark/>
          </w:tcPr>
          <w:p w:rsidR="00000000" w:rsidRPr="000716D6" w:rsidRDefault="000716D6" w:rsidP="000716D6">
            <w:pPr>
              <w:cnfStyle w:val="000000100000"/>
              <w:rPr>
                <w:rFonts w:eastAsiaTheme="majorEastAsia"/>
                <w:b/>
                <w:bCs/>
              </w:rPr>
            </w:pPr>
            <w:r w:rsidRPr="000716D6">
              <w:rPr>
                <w:rFonts w:eastAsiaTheme="majorEastAsia"/>
                <w:b/>
                <w:bCs/>
              </w:rPr>
              <w:t xml:space="preserve">De -2^15 (-32.768) a 2^15-1 (32.767) </w:t>
            </w:r>
          </w:p>
        </w:tc>
        <w:tc>
          <w:tcPr>
            <w:tcW w:w="2497" w:type="dxa"/>
            <w:hideMark/>
          </w:tcPr>
          <w:p w:rsidR="00000000" w:rsidRPr="000716D6" w:rsidRDefault="000716D6" w:rsidP="000716D6">
            <w:pPr>
              <w:cnfStyle w:val="000000100000"/>
              <w:rPr>
                <w:rFonts w:eastAsiaTheme="majorEastAsia"/>
                <w:b/>
                <w:bCs/>
              </w:rPr>
            </w:pPr>
            <w:r w:rsidRPr="000716D6">
              <w:rPr>
                <w:rFonts w:eastAsiaTheme="majorEastAsia"/>
                <w:b/>
                <w:bCs/>
              </w:rPr>
              <w:t xml:space="preserve">2 bytes </w:t>
            </w:r>
          </w:p>
        </w:tc>
      </w:tr>
      <w:tr w:rsidR="000716D6" w:rsidRPr="000716D6" w:rsidTr="004069C7">
        <w:trPr>
          <w:trHeight w:val="481"/>
        </w:trPr>
        <w:tc>
          <w:tcPr>
            <w:cnfStyle w:val="001000000000"/>
            <w:tcW w:w="1342" w:type="dxa"/>
            <w:hideMark/>
          </w:tcPr>
          <w:p w:rsidR="00000000" w:rsidRPr="000716D6" w:rsidRDefault="000716D6" w:rsidP="000716D6">
            <w:pPr>
              <w:rPr>
                <w:rFonts w:eastAsiaTheme="majorEastAsia"/>
              </w:rPr>
            </w:pPr>
            <w:proofErr w:type="spellStart"/>
            <w:r w:rsidRPr="000716D6">
              <w:rPr>
                <w:rFonts w:eastAsiaTheme="majorEastAsia"/>
              </w:rPr>
              <w:t>tinyint</w:t>
            </w:r>
            <w:proofErr w:type="spellEnd"/>
            <w:r w:rsidRPr="000716D6">
              <w:rPr>
                <w:rFonts w:eastAsiaTheme="majorEastAsia"/>
              </w:rPr>
              <w:t xml:space="preserve"> </w:t>
            </w:r>
          </w:p>
        </w:tc>
        <w:tc>
          <w:tcPr>
            <w:tcW w:w="5215" w:type="dxa"/>
            <w:hideMark/>
          </w:tcPr>
          <w:p w:rsidR="00000000" w:rsidRPr="000716D6" w:rsidRDefault="000716D6" w:rsidP="000716D6">
            <w:pPr>
              <w:cnfStyle w:val="000000000000"/>
              <w:rPr>
                <w:rFonts w:eastAsiaTheme="majorEastAsia"/>
                <w:b/>
                <w:bCs/>
              </w:rPr>
            </w:pPr>
            <w:r w:rsidRPr="000716D6">
              <w:rPr>
                <w:rFonts w:eastAsiaTheme="majorEastAsia"/>
                <w:b/>
                <w:bCs/>
              </w:rPr>
              <w:t xml:space="preserve">De 0 a 255 </w:t>
            </w:r>
          </w:p>
        </w:tc>
        <w:tc>
          <w:tcPr>
            <w:tcW w:w="2497" w:type="dxa"/>
            <w:hideMark/>
          </w:tcPr>
          <w:p w:rsidR="00000000" w:rsidRPr="000716D6" w:rsidRDefault="000716D6" w:rsidP="000716D6">
            <w:pPr>
              <w:cnfStyle w:val="000000000000"/>
              <w:rPr>
                <w:rFonts w:eastAsiaTheme="majorEastAsia"/>
                <w:b/>
                <w:bCs/>
              </w:rPr>
            </w:pPr>
            <w:r w:rsidRPr="000716D6">
              <w:rPr>
                <w:rFonts w:eastAsiaTheme="majorEastAsia"/>
                <w:b/>
                <w:bCs/>
              </w:rPr>
              <w:t xml:space="preserve">1 byte </w:t>
            </w:r>
          </w:p>
        </w:tc>
      </w:tr>
    </w:tbl>
    <w:p w:rsidR="000716D6" w:rsidRDefault="000716D6" w:rsidP="000716D6">
      <w:pPr>
        <w:rPr>
          <w:rFonts w:eastAsiaTheme="majorEastAsia"/>
          <w:b/>
          <w:bCs/>
        </w:rPr>
      </w:pPr>
    </w:p>
    <w:p w:rsidR="000716D6" w:rsidRPr="000716D6" w:rsidRDefault="000716D6" w:rsidP="000716D6">
      <w:pPr>
        <w:pStyle w:val="Ttulo4"/>
      </w:pPr>
      <w:r w:rsidRPr="000716D6">
        <w:t>Bit</w:t>
      </w:r>
    </w:p>
    <w:p w:rsidR="00000000" w:rsidRPr="000716D6" w:rsidRDefault="00272682" w:rsidP="000716D6">
      <w:pPr>
        <w:numPr>
          <w:ilvl w:val="0"/>
          <w:numId w:val="25"/>
        </w:numPr>
        <w:rPr>
          <w:rFonts w:eastAsiaTheme="majorEastAsia"/>
        </w:rPr>
      </w:pPr>
      <w:r w:rsidRPr="000716D6">
        <w:rPr>
          <w:rFonts w:eastAsiaTheme="majorEastAsia"/>
        </w:rPr>
        <w:t>Tipo de datos entero que puede aceptar los valores 1, 0 o NULL.</w:t>
      </w:r>
    </w:p>
    <w:p w:rsidR="00000000" w:rsidRPr="000716D6" w:rsidRDefault="00272682" w:rsidP="000716D6">
      <w:pPr>
        <w:numPr>
          <w:ilvl w:val="0"/>
          <w:numId w:val="25"/>
        </w:numPr>
        <w:rPr>
          <w:rFonts w:eastAsiaTheme="majorEastAsia"/>
        </w:rPr>
      </w:pPr>
      <w:r w:rsidRPr="000716D6">
        <w:rPr>
          <w:rFonts w:eastAsiaTheme="majorEastAsia"/>
        </w:rPr>
        <w:t xml:space="preserve">SQL Server optimiza el almacenamiento de las columnas de tipo </w:t>
      </w:r>
      <w:r w:rsidRPr="000716D6">
        <w:rPr>
          <w:rFonts w:eastAsiaTheme="majorEastAsia"/>
          <w:b/>
          <w:bCs/>
        </w:rPr>
        <w:t>bit</w:t>
      </w:r>
      <w:r w:rsidRPr="000716D6">
        <w:rPr>
          <w:rFonts w:eastAsiaTheme="majorEastAsia"/>
        </w:rPr>
        <w:t xml:space="preserve">. Si una tabla contiene 8 columnas o menos de tipo </w:t>
      </w:r>
      <w:r w:rsidRPr="000716D6">
        <w:rPr>
          <w:rFonts w:eastAsiaTheme="majorEastAsia"/>
          <w:b/>
          <w:bCs/>
        </w:rPr>
        <w:t>bit</w:t>
      </w:r>
      <w:r w:rsidRPr="000716D6">
        <w:rPr>
          <w:rFonts w:eastAsiaTheme="majorEastAsia"/>
        </w:rPr>
        <w:t xml:space="preserve">, éstas se almacenan como 1 byte. Si hay entre 9 y 16 columnas de tipo </w:t>
      </w:r>
      <w:r w:rsidRPr="000716D6">
        <w:rPr>
          <w:rFonts w:eastAsiaTheme="majorEastAsia"/>
          <w:b/>
          <w:bCs/>
        </w:rPr>
        <w:t>bit</w:t>
      </w:r>
      <w:r w:rsidRPr="000716D6">
        <w:rPr>
          <w:rFonts w:eastAsiaTheme="majorEastAsia"/>
        </w:rPr>
        <w:t>, se almacenan como 2 bytes, y así sucesivamente.</w:t>
      </w:r>
    </w:p>
    <w:p w:rsidR="00000000" w:rsidRPr="000716D6" w:rsidRDefault="00272682" w:rsidP="000716D6">
      <w:pPr>
        <w:numPr>
          <w:ilvl w:val="0"/>
          <w:numId w:val="25"/>
        </w:numPr>
        <w:rPr>
          <w:rFonts w:eastAsiaTheme="majorEastAsia"/>
        </w:rPr>
      </w:pPr>
      <w:r w:rsidRPr="000716D6">
        <w:rPr>
          <w:rFonts w:eastAsiaTheme="majorEastAsia"/>
        </w:rPr>
        <w:t xml:space="preserve">Los valores de cadena TRUE y FALSE se pueden convertir en valores de tipo </w:t>
      </w:r>
      <w:r w:rsidRPr="000716D6">
        <w:rPr>
          <w:rFonts w:eastAsiaTheme="majorEastAsia"/>
          <w:b/>
          <w:bCs/>
        </w:rPr>
        <w:t>bit</w:t>
      </w:r>
      <w:r w:rsidRPr="000716D6">
        <w:rPr>
          <w:rFonts w:eastAsiaTheme="majorEastAsia"/>
        </w:rPr>
        <w:t>: TRUE se convierte en 1 y FALSE en 0.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  <w:b/>
          <w:bCs/>
        </w:rPr>
        <w:t>Bit.sql</w:t>
      </w:r>
    </w:p>
    <w:p w:rsidR="000716D6" w:rsidRPr="000716D6" w:rsidRDefault="000716D6" w:rsidP="000716D6">
      <w:pPr>
        <w:pStyle w:val="Ttulo4"/>
      </w:pPr>
      <w:proofErr w:type="spellStart"/>
      <w:r w:rsidRPr="000716D6">
        <w:t>Numeric</w:t>
      </w:r>
      <w:proofErr w:type="spellEnd"/>
      <w:r w:rsidRPr="000716D6">
        <w:t xml:space="preserve"> y decimal </w:t>
      </w:r>
    </w:p>
    <w:p w:rsidR="00000000" w:rsidRPr="000716D6" w:rsidRDefault="00272682" w:rsidP="000716D6">
      <w:pPr>
        <w:numPr>
          <w:ilvl w:val="0"/>
          <w:numId w:val="27"/>
        </w:numPr>
        <w:rPr>
          <w:rFonts w:eastAsiaTheme="majorEastAsia"/>
        </w:rPr>
      </w:pPr>
      <w:r w:rsidRPr="000716D6">
        <w:rPr>
          <w:rFonts w:eastAsiaTheme="majorEastAsia"/>
        </w:rPr>
        <w:t xml:space="preserve">Tipos de datos numéricos que tienen precisión y escala fijas. </w:t>
      </w:r>
    </w:p>
    <w:p w:rsidR="00000000" w:rsidRPr="000716D6" w:rsidRDefault="00272682" w:rsidP="000716D6">
      <w:pPr>
        <w:numPr>
          <w:ilvl w:val="0"/>
          <w:numId w:val="27"/>
        </w:numPr>
        <w:rPr>
          <w:rFonts w:eastAsiaTheme="majorEastAsia"/>
        </w:rPr>
      </w:pPr>
      <w:r w:rsidRPr="000716D6">
        <w:rPr>
          <w:rFonts w:eastAsiaTheme="majorEastAsia"/>
          <w:b/>
          <w:bCs/>
        </w:rPr>
        <w:t>decimal</w:t>
      </w:r>
      <w:r w:rsidRPr="000716D6">
        <w:rPr>
          <w:rFonts w:eastAsiaTheme="majorEastAsia"/>
        </w:rPr>
        <w:t xml:space="preserve">[ </w:t>
      </w:r>
      <w:r w:rsidRPr="000716D6">
        <w:rPr>
          <w:rFonts w:eastAsiaTheme="majorEastAsia"/>
          <w:b/>
          <w:bCs/>
        </w:rPr>
        <w:t>(</w:t>
      </w:r>
      <w:r w:rsidRPr="000716D6">
        <w:rPr>
          <w:rFonts w:eastAsiaTheme="majorEastAsia"/>
          <w:i/>
          <w:iCs/>
        </w:rPr>
        <w:t>p</w:t>
      </w:r>
      <w:r w:rsidRPr="000716D6">
        <w:rPr>
          <w:rFonts w:eastAsiaTheme="majorEastAsia"/>
        </w:rPr>
        <w:t xml:space="preserve">[ </w:t>
      </w:r>
      <w:r w:rsidRPr="000716D6">
        <w:rPr>
          <w:rFonts w:eastAsiaTheme="majorEastAsia"/>
          <w:b/>
          <w:bCs/>
        </w:rPr>
        <w:t>,</w:t>
      </w:r>
      <w:r w:rsidRPr="000716D6">
        <w:rPr>
          <w:rFonts w:eastAsiaTheme="majorEastAsia"/>
        </w:rPr>
        <w:t xml:space="preserve"> </w:t>
      </w:r>
      <w:r w:rsidRPr="000716D6">
        <w:rPr>
          <w:rFonts w:eastAsiaTheme="majorEastAsia"/>
          <w:i/>
          <w:iCs/>
        </w:rPr>
        <w:t>s</w:t>
      </w:r>
      <w:r w:rsidRPr="000716D6">
        <w:rPr>
          <w:rFonts w:eastAsiaTheme="majorEastAsia"/>
        </w:rPr>
        <w:t xml:space="preserve">] </w:t>
      </w:r>
      <w:r w:rsidRPr="000716D6">
        <w:rPr>
          <w:rFonts w:eastAsiaTheme="majorEastAsia"/>
          <w:b/>
          <w:bCs/>
        </w:rPr>
        <w:t>)</w:t>
      </w:r>
      <w:r w:rsidRPr="000716D6">
        <w:rPr>
          <w:rFonts w:eastAsiaTheme="majorEastAsia"/>
        </w:rPr>
        <w:t xml:space="preserve">] y </w:t>
      </w:r>
      <w:proofErr w:type="spellStart"/>
      <w:r w:rsidRPr="000716D6">
        <w:rPr>
          <w:rFonts w:eastAsiaTheme="majorEastAsia"/>
          <w:b/>
          <w:bCs/>
        </w:rPr>
        <w:t>numeric</w:t>
      </w:r>
      <w:proofErr w:type="spellEnd"/>
      <w:r w:rsidRPr="000716D6">
        <w:rPr>
          <w:rFonts w:eastAsiaTheme="majorEastAsia"/>
        </w:rPr>
        <w:t xml:space="preserve">[ </w:t>
      </w:r>
      <w:r w:rsidRPr="000716D6">
        <w:rPr>
          <w:rFonts w:eastAsiaTheme="majorEastAsia"/>
          <w:b/>
          <w:bCs/>
        </w:rPr>
        <w:t>(</w:t>
      </w:r>
      <w:r w:rsidRPr="000716D6">
        <w:rPr>
          <w:rFonts w:eastAsiaTheme="majorEastAsia"/>
          <w:i/>
          <w:iCs/>
        </w:rPr>
        <w:t>p</w:t>
      </w:r>
      <w:r w:rsidRPr="000716D6">
        <w:rPr>
          <w:rFonts w:eastAsiaTheme="majorEastAsia"/>
        </w:rPr>
        <w:t xml:space="preserve">[ </w:t>
      </w:r>
      <w:r w:rsidRPr="000716D6">
        <w:rPr>
          <w:rFonts w:eastAsiaTheme="majorEastAsia"/>
          <w:b/>
          <w:bCs/>
        </w:rPr>
        <w:t>,</w:t>
      </w:r>
      <w:r w:rsidRPr="000716D6">
        <w:rPr>
          <w:rFonts w:eastAsiaTheme="majorEastAsia"/>
        </w:rPr>
        <w:t xml:space="preserve"> </w:t>
      </w:r>
      <w:r w:rsidRPr="000716D6">
        <w:rPr>
          <w:rFonts w:eastAsiaTheme="majorEastAsia"/>
          <w:i/>
          <w:iCs/>
        </w:rPr>
        <w:t>s</w:t>
      </w:r>
      <w:r w:rsidRPr="000716D6">
        <w:rPr>
          <w:rFonts w:eastAsiaTheme="majorEastAsia"/>
        </w:rPr>
        <w:t xml:space="preserve">] </w:t>
      </w:r>
      <w:r w:rsidRPr="000716D6">
        <w:rPr>
          <w:rFonts w:eastAsiaTheme="majorEastAsia"/>
          <w:b/>
          <w:bCs/>
        </w:rPr>
        <w:t>)</w:t>
      </w:r>
      <w:r w:rsidRPr="000716D6">
        <w:rPr>
          <w:rFonts w:eastAsiaTheme="majorEastAsia"/>
        </w:rPr>
        <w:t xml:space="preserve">] Números de precisión y escala fijas. Cuando se utiliza la precisión máxima, los valores válidos se sitúan entre </w:t>
      </w:r>
      <w:r w:rsidRPr="000716D6">
        <w:rPr>
          <w:rFonts w:eastAsiaTheme="majorEastAsia"/>
        </w:rPr>
        <w:t xml:space="preserve">-10^38 +1 y 10^38 - 1. Los sinónimos de ISO para </w:t>
      </w:r>
      <w:r w:rsidRPr="000716D6">
        <w:rPr>
          <w:rFonts w:eastAsiaTheme="majorEastAsia"/>
          <w:b/>
          <w:bCs/>
        </w:rPr>
        <w:t>decimal</w:t>
      </w:r>
      <w:r w:rsidRPr="000716D6">
        <w:rPr>
          <w:rFonts w:eastAsiaTheme="majorEastAsia"/>
        </w:rPr>
        <w:t xml:space="preserve"> son de tipo </w:t>
      </w:r>
      <w:proofErr w:type="spellStart"/>
      <w:r w:rsidRPr="000716D6">
        <w:rPr>
          <w:rFonts w:eastAsiaTheme="majorEastAsia"/>
          <w:b/>
          <w:bCs/>
        </w:rPr>
        <w:t>dec</w:t>
      </w:r>
      <w:proofErr w:type="spellEnd"/>
      <w:r w:rsidRPr="000716D6">
        <w:rPr>
          <w:rFonts w:eastAsiaTheme="majorEastAsia"/>
        </w:rPr>
        <w:t xml:space="preserve"> y </w:t>
      </w:r>
      <w:proofErr w:type="spellStart"/>
      <w:proofErr w:type="gramStart"/>
      <w:r w:rsidRPr="000716D6">
        <w:rPr>
          <w:rFonts w:eastAsiaTheme="majorEastAsia"/>
          <w:b/>
          <w:bCs/>
        </w:rPr>
        <w:t>dec</w:t>
      </w:r>
      <w:proofErr w:type="spellEnd"/>
      <w:r w:rsidRPr="000716D6">
        <w:rPr>
          <w:rFonts w:eastAsiaTheme="majorEastAsia"/>
          <w:b/>
          <w:bCs/>
        </w:rPr>
        <w:t>(</w:t>
      </w:r>
      <w:proofErr w:type="gramEnd"/>
      <w:r w:rsidRPr="000716D6">
        <w:rPr>
          <w:rFonts w:eastAsiaTheme="majorEastAsia"/>
          <w:i/>
          <w:iCs/>
        </w:rPr>
        <w:t>p</w:t>
      </w:r>
      <w:r w:rsidRPr="000716D6">
        <w:rPr>
          <w:rFonts w:eastAsiaTheme="majorEastAsia"/>
        </w:rPr>
        <w:t xml:space="preserve">, </w:t>
      </w:r>
      <w:r w:rsidRPr="000716D6">
        <w:rPr>
          <w:rFonts w:eastAsiaTheme="majorEastAsia"/>
          <w:i/>
          <w:iCs/>
        </w:rPr>
        <w:t>s</w:t>
      </w:r>
      <w:r w:rsidRPr="000716D6">
        <w:rPr>
          <w:rFonts w:eastAsiaTheme="majorEastAsia"/>
          <w:b/>
          <w:bCs/>
        </w:rPr>
        <w:t>)</w:t>
      </w:r>
      <w:r w:rsidRPr="000716D6">
        <w:rPr>
          <w:rFonts w:eastAsiaTheme="majorEastAsia"/>
        </w:rPr>
        <w:t xml:space="preserve">. </w:t>
      </w:r>
      <w:proofErr w:type="spellStart"/>
      <w:r w:rsidRPr="000716D6">
        <w:rPr>
          <w:rFonts w:eastAsiaTheme="majorEastAsia"/>
          <w:b/>
          <w:bCs/>
        </w:rPr>
        <w:t>numeric</w:t>
      </w:r>
      <w:proofErr w:type="spellEnd"/>
      <w:r w:rsidRPr="000716D6">
        <w:rPr>
          <w:rFonts w:eastAsiaTheme="majorEastAsia"/>
        </w:rPr>
        <w:t xml:space="preserve"> es funcionalmente equivalente a </w:t>
      </w:r>
      <w:r w:rsidRPr="000716D6">
        <w:rPr>
          <w:rFonts w:eastAsiaTheme="majorEastAsia"/>
          <w:b/>
          <w:bCs/>
        </w:rPr>
        <w:t>decimal</w:t>
      </w:r>
      <w:r w:rsidRPr="000716D6">
        <w:rPr>
          <w:rFonts w:eastAsiaTheme="majorEastAsia"/>
        </w:rPr>
        <w:t>.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  <w:i/>
          <w:iCs/>
        </w:rPr>
        <w:t>p (precisión)</w:t>
      </w:r>
      <w:r w:rsidRPr="000716D6">
        <w:rPr>
          <w:rFonts w:eastAsiaTheme="majorEastAsia"/>
        </w:rPr>
        <w:t xml:space="preserve"> El número total máximo de dígitos decimales que se puede almacenar, tanto a la izquierda como a la derecha del separador decimal. La precisión debe ser un valor comprendido entre 1 y la precisión máxima de 38. La precisión predeterminada es 18.</w:t>
      </w:r>
    </w:p>
    <w:p w:rsidR="000716D6" w:rsidRPr="000716D6" w:rsidRDefault="000716D6" w:rsidP="000716D6">
      <w:pPr>
        <w:rPr>
          <w:rFonts w:eastAsiaTheme="majorEastAsia"/>
        </w:rPr>
      </w:pPr>
      <w:proofErr w:type="gramStart"/>
      <w:r w:rsidRPr="000716D6">
        <w:rPr>
          <w:rFonts w:eastAsiaTheme="majorEastAsia"/>
          <w:i/>
          <w:iCs/>
        </w:rPr>
        <w:t>s</w:t>
      </w:r>
      <w:proofErr w:type="gramEnd"/>
      <w:r w:rsidRPr="000716D6">
        <w:rPr>
          <w:rFonts w:eastAsiaTheme="majorEastAsia"/>
          <w:i/>
          <w:iCs/>
        </w:rPr>
        <w:t xml:space="preserve"> (escala) </w:t>
      </w:r>
      <w:r w:rsidRPr="000716D6">
        <w:rPr>
          <w:rFonts w:eastAsiaTheme="majorEastAsia"/>
        </w:rPr>
        <w:t xml:space="preserve">El número máximo de dígitos decimales que se puede almacenar a la derecha del separador decimal. La escala debe ser un valor comprendido entre 0 y </w:t>
      </w:r>
      <w:r w:rsidRPr="000716D6">
        <w:rPr>
          <w:rFonts w:eastAsiaTheme="majorEastAsia"/>
          <w:i/>
          <w:iCs/>
        </w:rPr>
        <w:t>p</w:t>
      </w:r>
      <w:r w:rsidRPr="000716D6">
        <w:rPr>
          <w:rFonts w:eastAsiaTheme="majorEastAsia"/>
        </w:rPr>
        <w:t xml:space="preserve">. Sólo es posible </w:t>
      </w:r>
      <w:r w:rsidRPr="000716D6">
        <w:rPr>
          <w:rFonts w:eastAsiaTheme="majorEastAsia"/>
        </w:rPr>
        <w:lastRenderedPageBreak/>
        <w:t xml:space="preserve">especificar la escala si se ha especificado la precisión. La escala predeterminada es 0; por lo tanto, 0 &lt;= </w:t>
      </w:r>
      <w:r w:rsidRPr="000716D6">
        <w:rPr>
          <w:rFonts w:eastAsiaTheme="majorEastAsia"/>
          <w:i/>
          <w:iCs/>
        </w:rPr>
        <w:t>s</w:t>
      </w:r>
      <w:r w:rsidRPr="000716D6">
        <w:rPr>
          <w:rFonts w:eastAsiaTheme="majorEastAsia"/>
        </w:rPr>
        <w:t xml:space="preserve"> &lt;= </w:t>
      </w:r>
      <w:r w:rsidRPr="000716D6">
        <w:rPr>
          <w:rFonts w:eastAsiaTheme="majorEastAsia"/>
          <w:i/>
          <w:iCs/>
        </w:rPr>
        <w:t>p</w:t>
      </w:r>
      <w:r w:rsidRPr="000716D6">
        <w:rPr>
          <w:rFonts w:eastAsiaTheme="majorEastAsia"/>
        </w:rPr>
        <w:t>. Los tamaños de almacenamiento máximo varían, según la precisión.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  <w:b/>
          <w:bCs/>
        </w:rPr>
        <w:t xml:space="preserve">Decimal.sql </w:t>
      </w:r>
    </w:p>
    <w:p w:rsidR="000716D6" w:rsidRPr="000716D6" w:rsidRDefault="000716D6" w:rsidP="000716D6">
      <w:pPr>
        <w:pStyle w:val="Ttulo4"/>
      </w:pPr>
      <w:r w:rsidRPr="000716D6">
        <w:t>Numéricos aproximados</w:t>
      </w:r>
    </w:p>
    <w:p w:rsid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>Tipos de datos numéricos y aproximados que se utilizan con datos numéricos de coma flotante. Los datos de coma flotante son aproximados; por tanto, no todos los valores del intervalo del tipo de datos se pueden representar con exactitud.  No es habitual utilizarlos.</w:t>
      </w:r>
    </w:p>
    <w:tbl>
      <w:tblPr>
        <w:tblStyle w:val="Listaclara-nfasis4"/>
        <w:tblW w:w="8503" w:type="dxa"/>
        <w:tblLook w:val="04A0"/>
      </w:tblPr>
      <w:tblGrid>
        <w:gridCol w:w="2002"/>
        <w:gridCol w:w="3667"/>
        <w:gridCol w:w="2834"/>
      </w:tblGrid>
      <w:tr w:rsidR="000716D6" w:rsidRPr="000716D6" w:rsidTr="004069C7">
        <w:trPr>
          <w:cnfStyle w:val="100000000000"/>
          <w:trHeight w:val="517"/>
        </w:trPr>
        <w:tc>
          <w:tcPr>
            <w:cnfStyle w:val="001000000000"/>
            <w:tcW w:w="2002" w:type="dxa"/>
            <w:hideMark/>
          </w:tcPr>
          <w:p w:rsidR="00000000" w:rsidRPr="000716D6" w:rsidRDefault="000716D6" w:rsidP="000716D6">
            <w:pPr>
              <w:spacing w:line="276" w:lineRule="auto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Tipo de datos </w:t>
            </w:r>
          </w:p>
        </w:tc>
        <w:tc>
          <w:tcPr>
            <w:tcW w:w="3667" w:type="dxa"/>
            <w:hideMark/>
          </w:tcPr>
          <w:p w:rsidR="00000000" w:rsidRPr="000716D6" w:rsidRDefault="000716D6" w:rsidP="000716D6">
            <w:pPr>
              <w:spacing w:line="276" w:lineRule="auto"/>
              <w:cnfStyle w:val="1000000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Intervalo </w:t>
            </w:r>
          </w:p>
        </w:tc>
        <w:tc>
          <w:tcPr>
            <w:tcW w:w="2834" w:type="dxa"/>
            <w:hideMark/>
          </w:tcPr>
          <w:p w:rsidR="00000000" w:rsidRPr="000716D6" w:rsidRDefault="000716D6" w:rsidP="000716D6">
            <w:pPr>
              <w:spacing w:line="276" w:lineRule="auto"/>
              <w:cnfStyle w:val="1000000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Almacenamiento </w:t>
            </w:r>
          </w:p>
        </w:tc>
      </w:tr>
      <w:tr w:rsidR="000716D6" w:rsidRPr="000716D6" w:rsidTr="004069C7">
        <w:trPr>
          <w:cnfStyle w:val="000000100000"/>
          <w:trHeight w:val="517"/>
        </w:trPr>
        <w:tc>
          <w:tcPr>
            <w:cnfStyle w:val="001000000000"/>
            <w:tcW w:w="2002" w:type="dxa"/>
            <w:hideMark/>
          </w:tcPr>
          <w:p w:rsidR="00000000" w:rsidRPr="000716D6" w:rsidRDefault="000716D6" w:rsidP="000716D6">
            <w:pPr>
              <w:spacing w:line="276" w:lineRule="auto"/>
              <w:rPr>
                <w:rFonts w:eastAsiaTheme="majorEastAsia"/>
              </w:rPr>
            </w:pPr>
            <w:proofErr w:type="spellStart"/>
            <w:r w:rsidRPr="000716D6">
              <w:rPr>
                <w:rFonts w:eastAsiaTheme="majorEastAsia"/>
              </w:rPr>
              <w:t>float</w:t>
            </w:r>
            <w:proofErr w:type="spellEnd"/>
            <w:r w:rsidRPr="000716D6">
              <w:rPr>
                <w:rFonts w:eastAsiaTheme="majorEastAsia"/>
              </w:rPr>
              <w:t xml:space="preserve"> </w:t>
            </w:r>
          </w:p>
        </w:tc>
        <w:tc>
          <w:tcPr>
            <w:tcW w:w="3667" w:type="dxa"/>
            <w:hideMark/>
          </w:tcPr>
          <w:p w:rsidR="00000000" w:rsidRPr="000716D6" w:rsidRDefault="000716D6" w:rsidP="000716D6">
            <w:pPr>
              <w:spacing w:line="276" w:lineRule="auto"/>
              <w:cnfStyle w:val="000000100000"/>
              <w:rPr>
                <w:rFonts w:eastAsiaTheme="majorEastAsia"/>
              </w:rPr>
            </w:pPr>
            <w:r w:rsidRPr="000716D6">
              <w:rPr>
                <w:rFonts w:eastAsiaTheme="majorEastAsia"/>
                <w:lang w:val="pt-BR"/>
              </w:rPr>
              <w:t xml:space="preserve">De - 1,79E+308 a -2,23E-308, </w:t>
            </w:r>
            <w:proofErr w:type="gramStart"/>
            <w:r w:rsidRPr="000716D6">
              <w:rPr>
                <w:rFonts w:eastAsiaTheme="majorEastAsia"/>
                <w:lang w:val="pt-BR"/>
              </w:rPr>
              <w:t>0</w:t>
            </w:r>
            <w:proofErr w:type="gramEnd"/>
            <w:r w:rsidRPr="000716D6">
              <w:rPr>
                <w:rFonts w:eastAsiaTheme="majorEastAsia"/>
                <w:lang w:val="pt-BR"/>
              </w:rPr>
              <w:t xml:space="preserve"> y de 2,23E-308 a 1,79E+308</w:t>
            </w:r>
          </w:p>
        </w:tc>
        <w:tc>
          <w:tcPr>
            <w:tcW w:w="2834" w:type="dxa"/>
            <w:hideMark/>
          </w:tcPr>
          <w:p w:rsidR="00000000" w:rsidRPr="000716D6" w:rsidRDefault="000716D6" w:rsidP="000716D6">
            <w:pPr>
              <w:spacing w:line="276" w:lineRule="auto"/>
              <w:cnfStyle w:val="0000001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Depende del valor de </w:t>
            </w:r>
            <w:r w:rsidRPr="000716D6">
              <w:rPr>
                <w:rFonts w:eastAsiaTheme="majorEastAsia"/>
                <w:i/>
                <w:iCs/>
              </w:rPr>
              <w:t>n</w:t>
            </w:r>
            <w:r w:rsidRPr="000716D6">
              <w:rPr>
                <w:rFonts w:eastAsiaTheme="majorEastAsia"/>
              </w:rPr>
              <w:t>.</w:t>
            </w:r>
          </w:p>
        </w:tc>
      </w:tr>
      <w:tr w:rsidR="000716D6" w:rsidRPr="000716D6" w:rsidTr="004069C7">
        <w:trPr>
          <w:trHeight w:val="517"/>
        </w:trPr>
        <w:tc>
          <w:tcPr>
            <w:cnfStyle w:val="001000000000"/>
            <w:tcW w:w="2002" w:type="dxa"/>
            <w:hideMark/>
          </w:tcPr>
          <w:p w:rsidR="00000000" w:rsidRPr="000716D6" w:rsidRDefault="000716D6" w:rsidP="000716D6">
            <w:pPr>
              <w:spacing w:line="276" w:lineRule="auto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real </w:t>
            </w:r>
          </w:p>
        </w:tc>
        <w:tc>
          <w:tcPr>
            <w:tcW w:w="3667" w:type="dxa"/>
            <w:hideMark/>
          </w:tcPr>
          <w:p w:rsidR="00000000" w:rsidRPr="000716D6" w:rsidRDefault="000716D6" w:rsidP="000716D6">
            <w:pPr>
              <w:spacing w:line="276" w:lineRule="auto"/>
              <w:cnfStyle w:val="000000000000"/>
              <w:rPr>
                <w:rFonts w:eastAsiaTheme="majorEastAsia"/>
              </w:rPr>
            </w:pPr>
            <w:r w:rsidRPr="000716D6">
              <w:rPr>
                <w:rFonts w:eastAsiaTheme="majorEastAsia"/>
                <w:lang w:val="pt-BR"/>
              </w:rPr>
              <w:t xml:space="preserve">De - 3,40E + 38 a -1,18E - </w:t>
            </w:r>
            <w:proofErr w:type="gramStart"/>
            <w:r w:rsidRPr="000716D6">
              <w:rPr>
                <w:rFonts w:eastAsiaTheme="majorEastAsia"/>
                <w:lang w:val="pt-BR"/>
              </w:rPr>
              <w:t>38, 0</w:t>
            </w:r>
            <w:proofErr w:type="gramEnd"/>
            <w:r w:rsidRPr="000716D6">
              <w:rPr>
                <w:rFonts w:eastAsiaTheme="majorEastAsia"/>
                <w:lang w:val="pt-BR"/>
              </w:rPr>
              <w:t xml:space="preserve"> y de 1,18E - 38 a 3,40E + 38</w:t>
            </w:r>
          </w:p>
        </w:tc>
        <w:tc>
          <w:tcPr>
            <w:tcW w:w="2834" w:type="dxa"/>
            <w:hideMark/>
          </w:tcPr>
          <w:p w:rsidR="00000000" w:rsidRPr="000716D6" w:rsidRDefault="000716D6" w:rsidP="000716D6">
            <w:pPr>
              <w:spacing w:line="276" w:lineRule="auto"/>
              <w:cnfStyle w:val="0000000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>4 Bytes</w:t>
            </w:r>
          </w:p>
        </w:tc>
      </w:tr>
    </w:tbl>
    <w:p w:rsidR="004069C7" w:rsidRDefault="004069C7" w:rsidP="004069C7">
      <w:pPr>
        <w:rPr>
          <w:rFonts w:eastAsiaTheme="majorEastAsia"/>
          <w:b/>
          <w:bCs/>
        </w:rPr>
      </w:pPr>
    </w:p>
    <w:p w:rsidR="004069C7" w:rsidRPr="004069C7" w:rsidRDefault="004069C7" w:rsidP="004069C7">
      <w:pPr>
        <w:rPr>
          <w:rFonts w:eastAsiaTheme="majorEastAsia"/>
        </w:rPr>
      </w:pPr>
      <w:proofErr w:type="spellStart"/>
      <w:proofErr w:type="gramStart"/>
      <w:r w:rsidRPr="004069C7">
        <w:rPr>
          <w:rFonts w:eastAsiaTheme="majorEastAsia"/>
          <w:b/>
          <w:bCs/>
        </w:rPr>
        <w:t>float</w:t>
      </w:r>
      <w:proofErr w:type="spellEnd"/>
      <w:proofErr w:type="gramEnd"/>
      <w:r w:rsidRPr="004069C7">
        <w:rPr>
          <w:rFonts w:eastAsiaTheme="majorEastAsia"/>
        </w:rPr>
        <w:t xml:space="preserve"> [ </w:t>
      </w:r>
      <w:r w:rsidRPr="004069C7">
        <w:rPr>
          <w:rFonts w:eastAsiaTheme="majorEastAsia"/>
          <w:b/>
          <w:bCs/>
        </w:rPr>
        <w:t>(</w:t>
      </w:r>
      <w:r w:rsidRPr="004069C7">
        <w:rPr>
          <w:rFonts w:eastAsiaTheme="majorEastAsia"/>
        </w:rPr>
        <w:t xml:space="preserve"> </w:t>
      </w:r>
      <w:r w:rsidRPr="004069C7">
        <w:rPr>
          <w:rFonts w:eastAsiaTheme="majorEastAsia"/>
          <w:i/>
          <w:iCs/>
        </w:rPr>
        <w:t>n</w:t>
      </w:r>
      <w:r w:rsidRPr="004069C7">
        <w:rPr>
          <w:rFonts w:eastAsiaTheme="majorEastAsia"/>
        </w:rPr>
        <w:t xml:space="preserve"> </w:t>
      </w:r>
      <w:r w:rsidRPr="004069C7">
        <w:rPr>
          <w:rFonts w:eastAsiaTheme="majorEastAsia"/>
          <w:b/>
          <w:bCs/>
        </w:rPr>
        <w:t>)</w:t>
      </w:r>
      <w:r w:rsidRPr="004069C7">
        <w:rPr>
          <w:rFonts w:eastAsiaTheme="majorEastAsia"/>
        </w:rPr>
        <w:t xml:space="preserve"> ] </w:t>
      </w:r>
    </w:p>
    <w:p w:rsidR="004069C7" w:rsidRPr="004069C7" w:rsidRDefault="004069C7" w:rsidP="004069C7">
      <w:pPr>
        <w:rPr>
          <w:rFonts w:eastAsiaTheme="majorEastAsia"/>
        </w:rPr>
      </w:pPr>
      <w:r w:rsidRPr="004069C7">
        <w:rPr>
          <w:rFonts w:eastAsiaTheme="majorEastAsia"/>
        </w:rPr>
        <w:t xml:space="preserve">Donde </w:t>
      </w:r>
      <w:r w:rsidRPr="004069C7">
        <w:rPr>
          <w:rFonts w:eastAsiaTheme="majorEastAsia"/>
          <w:i/>
          <w:iCs/>
        </w:rPr>
        <w:t>n</w:t>
      </w:r>
      <w:r w:rsidRPr="004069C7">
        <w:rPr>
          <w:rFonts w:eastAsiaTheme="majorEastAsia"/>
        </w:rPr>
        <w:t xml:space="preserve"> es el número de bits que se utilizan para almacenar la mantisa del número </w:t>
      </w:r>
      <w:proofErr w:type="spellStart"/>
      <w:r w:rsidRPr="004069C7">
        <w:rPr>
          <w:rFonts w:eastAsiaTheme="majorEastAsia"/>
          <w:b/>
          <w:bCs/>
        </w:rPr>
        <w:t>float</w:t>
      </w:r>
      <w:proofErr w:type="spellEnd"/>
      <w:r w:rsidRPr="004069C7">
        <w:rPr>
          <w:rFonts w:eastAsiaTheme="majorEastAsia"/>
        </w:rPr>
        <w:t xml:space="preserve"> en notación científica y, por tanto, dicta su precisión y el tamaño de almacenamiento. Si se especifica </w:t>
      </w:r>
      <w:r w:rsidRPr="004069C7">
        <w:rPr>
          <w:rFonts w:eastAsiaTheme="majorEastAsia"/>
          <w:i/>
          <w:iCs/>
        </w:rPr>
        <w:t>n</w:t>
      </w:r>
      <w:r w:rsidRPr="004069C7">
        <w:rPr>
          <w:rFonts w:eastAsiaTheme="majorEastAsia"/>
        </w:rPr>
        <w:t xml:space="preserve">, debe ser un valor entre </w:t>
      </w:r>
      <w:r w:rsidRPr="004069C7">
        <w:rPr>
          <w:rFonts w:eastAsiaTheme="majorEastAsia"/>
          <w:b/>
          <w:bCs/>
        </w:rPr>
        <w:t>1</w:t>
      </w:r>
      <w:r w:rsidRPr="004069C7">
        <w:rPr>
          <w:rFonts w:eastAsiaTheme="majorEastAsia"/>
        </w:rPr>
        <w:t xml:space="preserve"> y </w:t>
      </w:r>
      <w:r w:rsidRPr="004069C7">
        <w:rPr>
          <w:rFonts w:eastAsiaTheme="majorEastAsia"/>
          <w:b/>
          <w:bCs/>
        </w:rPr>
        <w:t>53</w:t>
      </w:r>
      <w:r w:rsidRPr="004069C7">
        <w:rPr>
          <w:rFonts w:eastAsiaTheme="majorEastAsia"/>
        </w:rPr>
        <w:t xml:space="preserve">. El valor predeterminado de </w:t>
      </w:r>
      <w:r w:rsidRPr="004069C7">
        <w:rPr>
          <w:rFonts w:eastAsiaTheme="majorEastAsia"/>
          <w:i/>
          <w:iCs/>
        </w:rPr>
        <w:t>n</w:t>
      </w:r>
      <w:r w:rsidRPr="004069C7">
        <w:rPr>
          <w:rFonts w:eastAsiaTheme="majorEastAsia"/>
        </w:rPr>
        <w:t xml:space="preserve"> es </w:t>
      </w:r>
      <w:r w:rsidRPr="004069C7">
        <w:rPr>
          <w:rFonts w:eastAsiaTheme="majorEastAsia"/>
          <w:b/>
          <w:bCs/>
        </w:rPr>
        <w:t>53</w:t>
      </w:r>
      <w:r w:rsidRPr="004069C7">
        <w:rPr>
          <w:rFonts w:eastAsiaTheme="majorEastAsia"/>
        </w:rPr>
        <w:t>.</w:t>
      </w:r>
    </w:p>
    <w:tbl>
      <w:tblPr>
        <w:tblStyle w:val="Listaclara-nfasis4"/>
        <w:tblW w:w="8474" w:type="dxa"/>
        <w:tblLook w:val="04A0"/>
      </w:tblPr>
      <w:tblGrid>
        <w:gridCol w:w="1603"/>
        <w:gridCol w:w="2801"/>
        <w:gridCol w:w="4070"/>
      </w:tblGrid>
      <w:tr w:rsidR="000716D6" w:rsidRPr="000716D6" w:rsidTr="004069C7">
        <w:trPr>
          <w:cnfStyle w:val="100000000000"/>
          <w:trHeight w:val="465"/>
        </w:trPr>
        <w:tc>
          <w:tcPr>
            <w:cnfStyle w:val="001000000000"/>
            <w:tcW w:w="1603" w:type="dxa"/>
            <w:hideMark/>
          </w:tcPr>
          <w:p w:rsidR="00000000" w:rsidRPr="000716D6" w:rsidRDefault="000716D6" w:rsidP="000716D6">
            <w:pPr>
              <w:spacing w:line="276" w:lineRule="auto"/>
              <w:rPr>
                <w:rFonts w:eastAsiaTheme="majorEastAsia"/>
              </w:rPr>
            </w:pPr>
            <w:r w:rsidRPr="000716D6">
              <w:rPr>
                <w:rFonts w:eastAsiaTheme="majorEastAsia"/>
                <w:i/>
                <w:iCs/>
              </w:rPr>
              <w:t>n</w:t>
            </w:r>
            <w:r w:rsidRPr="000716D6">
              <w:rPr>
                <w:rFonts w:eastAsiaTheme="majorEastAsia"/>
              </w:rPr>
              <w:t xml:space="preserve"> </w:t>
            </w:r>
            <w:proofErr w:type="spellStart"/>
            <w:r w:rsidRPr="000716D6">
              <w:rPr>
                <w:rFonts w:eastAsiaTheme="majorEastAsia"/>
              </w:rPr>
              <w:t>value</w:t>
            </w:r>
            <w:proofErr w:type="spellEnd"/>
            <w:r w:rsidRPr="000716D6">
              <w:rPr>
                <w:rFonts w:eastAsiaTheme="majorEastAsia"/>
              </w:rPr>
              <w:t xml:space="preserve"> </w:t>
            </w:r>
          </w:p>
        </w:tc>
        <w:tc>
          <w:tcPr>
            <w:tcW w:w="2801" w:type="dxa"/>
            <w:hideMark/>
          </w:tcPr>
          <w:p w:rsidR="00000000" w:rsidRPr="000716D6" w:rsidRDefault="000716D6" w:rsidP="000716D6">
            <w:pPr>
              <w:spacing w:line="276" w:lineRule="auto"/>
              <w:cnfStyle w:val="1000000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Precisión </w:t>
            </w:r>
          </w:p>
        </w:tc>
        <w:tc>
          <w:tcPr>
            <w:tcW w:w="4070" w:type="dxa"/>
            <w:hideMark/>
          </w:tcPr>
          <w:p w:rsidR="00000000" w:rsidRPr="000716D6" w:rsidRDefault="000716D6" w:rsidP="000716D6">
            <w:pPr>
              <w:spacing w:line="276" w:lineRule="auto"/>
              <w:cnfStyle w:val="1000000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Tamaño de almacenamiento </w:t>
            </w:r>
          </w:p>
        </w:tc>
      </w:tr>
      <w:tr w:rsidR="000716D6" w:rsidRPr="000716D6" w:rsidTr="004069C7">
        <w:trPr>
          <w:cnfStyle w:val="000000100000"/>
          <w:trHeight w:val="465"/>
        </w:trPr>
        <w:tc>
          <w:tcPr>
            <w:cnfStyle w:val="001000000000"/>
            <w:tcW w:w="1603" w:type="dxa"/>
            <w:hideMark/>
          </w:tcPr>
          <w:p w:rsidR="00000000" w:rsidRPr="000716D6" w:rsidRDefault="000716D6" w:rsidP="000716D6">
            <w:pPr>
              <w:spacing w:line="276" w:lineRule="auto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1-24 </w:t>
            </w:r>
          </w:p>
        </w:tc>
        <w:tc>
          <w:tcPr>
            <w:tcW w:w="2801" w:type="dxa"/>
            <w:hideMark/>
          </w:tcPr>
          <w:p w:rsidR="00000000" w:rsidRPr="000716D6" w:rsidRDefault="000716D6" w:rsidP="000716D6">
            <w:pPr>
              <w:spacing w:line="276" w:lineRule="auto"/>
              <w:cnfStyle w:val="0000001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>7 dígitos</w:t>
            </w:r>
          </w:p>
        </w:tc>
        <w:tc>
          <w:tcPr>
            <w:tcW w:w="4070" w:type="dxa"/>
            <w:hideMark/>
          </w:tcPr>
          <w:p w:rsidR="00000000" w:rsidRPr="000716D6" w:rsidRDefault="000716D6" w:rsidP="000716D6">
            <w:pPr>
              <w:spacing w:line="276" w:lineRule="auto"/>
              <w:cnfStyle w:val="0000001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>4 bytes</w:t>
            </w:r>
          </w:p>
        </w:tc>
      </w:tr>
      <w:tr w:rsidR="000716D6" w:rsidRPr="000716D6" w:rsidTr="004069C7">
        <w:trPr>
          <w:trHeight w:val="465"/>
        </w:trPr>
        <w:tc>
          <w:tcPr>
            <w:cnfStyle w:val="001000000000"/>
            <w:tcW w:w="1603" w:type="dxa"/>
            <w:hideMark/>
          </w:tcPr>
          <w:p w:rsidR="00000000" w:rsidRPr="000716D6" w:rsidRDefault="000716D6" w:rsidP="000716D6">
            <w:pPr>
              <w:spacing w:line="276" w:lineRule="auto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 xml:space="preserve">25-53 </w:t>
            </w:r>
          </w:p>
        </w:tc>
        <w:tc>
          <w:tcPr>
            <w:tcW w:w="2801" w:type="dxa"/>
            <w:hideMark/>
          </w:tcPr>
          <w:p w:rsidR="00000000" w:rsidRPr="000716D6" w:rsidRDefault="000716D6" w:rsidP="000716D6">
            <w:pPr>
              <w:spacing w:line="276" w:lineRule="auto"/>
              <w:cnfStyle w:val="0000000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>15 dígitos</w:t>
            </w:r>
          </w:p>
        </w:tc>
        <w:tc>
          <w:tcPr>
            <w:tcW w:w="4070" w:type="dxa"/>
            <w:hideMark/>
          </w:tcPr>
          <w:p w:rsidR="00000000" w:rsidRPr="000716D6" w:rsidRDefault="000716D6" w:rsidP="000716D6">
            <w:pPr>
              <w:spacing w:line="276" w:lineRule="auto"/>
              <w:cnfStyle w:val="000000000000"/>
              <w:rPr>
                <w:rFonts w:eastAsiaTheme="majorEastAsia"/>
              </w:rPr>
            </w:pPr>
            <w:r w:rsidRPr="000716D6">
              <w:rPr>
                <w:rFonts w:eastAsiaTheme="majorEastAsia"/>
              </w:rPr>
              <w:t>8 bytes</w:t>
            </w:r>
          </w:p>
        </w:tc>
      </w:tr>
    </w:tbl>
    <w:p w:rsidR="000716D6" w:rsidRDefault="000716D6" w:rsidP="000716D6">
      <w:pPr>
        <w:rPr>
          <w:rFonts w:eastAsiaTheme="majorEastAsia"/>
        </w:rPr>
      </w:pPr>
    </w:p>
    <w:p w:rsidR="00523549" w:rsidRPr="00523549" w:rsidRDefault="00523549" w:rsidP="00523549">
      <w:pPr>
        <w:rPr>
          <w:rFonts w:eastAsiaTheme="majorEastAsia"/>
        </w:rPr>
      </w:pPr>
      <w:r w:rsidRPr="00523549">
        <w:rPr>
          <w:rFonts w:eastAsiaTheme="majorEastAsia"/>
          <w:lang w:val="pt-BR"/>
        </w:rPr>
        <w:t xml:space="preserve">SQL Server trata </w:t>
      </w:r>
      <w:r w:rsidRPr="00523549">
        <w:rPr>
          <w:rFonts w:eastAsiaTheme="majorEastAsia"/>
          <w:i/>
          <w:iCs/>
          <w:lang w:val="pt-BR"/>
        </w:rPr>
        <w:t>n</w:t>
      </w:r>
      <w:r w:rsidRPr="00523549">
        <w:rPr>
          <w:rFonts w:eastAsiaTheme="majorEastAsia"/>
          <w:lang w:val="pt-BR"/>
        </w:rPr>
        <w:t xml:space="preserve"> como uno de dos valores </w:t>
      </w:r>
      <w:proofErr w:type="spellStart"/>
      <w:proofErr w:type="gramStart"/>
      <w:r w:rsidRPr="00523549">
        <w:rPr>
          <w:rFonts w:eastAsiaTheme="majorEastAsia"/>
          <w:lang w:val="pt-BR"/>
        </w:rPr>
        <w:t>posibles</w:t>
      </w:r>
      <w:proofErr w:type="spellEnd"/>
      <w:r w:rsidRPr="00523549">
        <w:rPr>
          <w:rFonts w:eastAsiaTheme="majorEastAsia"/>
          <w:lang w:val="pt-BR"/>
        </w:rPr>
        <w:t>.</w:t>
      </w:r>
      <w:proofErr w:type="gramEnd"/>
      <w:r w:rsidRPr="00523549">
        <w:rPr>
          <w:rFonts w:eastAsiaTheme="majorEastAsia"/>
          <w:lang w:val="pt-BR"/>
        </w:rPr>
        <w:t xml:space="preserve">Si </w:t>
      </w:r>
      <w:r w:rsidRPr="00523549">
        <w:rPr>
          <w:rFonts w:eastAsiaTheme="majorEastAsia"/>
          <w:b/>
          <w:bCs/>
          <w:lang w:val="pt-BR"/>
        </w:rPr>
        <w:t>1</w:t>
      </w:r>
      <w:r w:rsidRPr="00523549">
        <w:rPr>
          <w:rFonts w:eastAsiaTheme="majorEastAsia"/>
          <w:lang w:val="pt-BR"/>
        </w:rPr>
        <w:t>&lt;=n&lt;=</w:t>
      </w:r>
      <w:r w:rsidRPr="00523549">
        <w:rPr>
          <w:rFonts w:eastAsiaTheme="majorEastAsia"/>
          <w:b/>
          <w:bCs/>
          <w:lang w:val="pt-BR"/>
        </w:rPr>
        <w:t>24</w:t>
      </w:r>
      <w:r w:rsidRPr="00523549">
        <w:rPr>
          <w:rFonts w:eastAsiaTheme="majorEastAsia"/>
          <w:lang w:val="pt-BR"/>
        </w:rPr>
        <w:t xml:space="preserve">, </w:t>
      </w:r>
      <w:r w:rsidRPr="00523549">
        <w:rPr>
          <w:rFonts w:eastAsiaTheme="majorEastAsia"/>
          <w:i/>
          <w:iCs/>
          <w:lang w:val="pt-BR"/>
        </w:rPr>
        <w:t>n</w:t>
      </w:r>
      <w:r w:rsidRPr="00523549">
        <w:rPr>
          <w:rFonts w:eastAsiaTheme="majorEastAsia"/>
          <w:lang w:val="pt-BR"/>
        </w:rPr>
        <w:t xml:space="preserve"> se trata como </w:t>
      </w:r>
      <w:r w:rsidRPr="00523549">
        <w:rPr>
          <w:rFonts w:eastAsiaTheme="majorEastAsia"/>
          <w:b/>
          <w:bCs/>
          <w:lang w:val="pt-BR"/>
        </w:rPr>
        <w:t>24</w:t>
      </w:r>
      <w:r w:rsidRPr="00523549">
        <w:rPr>
          <w:rFonts w:eastAsiaTheme="majorEastAsia"/>
          <w:lang w:val="pt-BR"/>
        </w:rPr>
        <w:t xml:space="preserve">. Si </w:t>
      </w:r>
      <w:r w:rsidRPr="00523549">
        <w:rPr>
          <w:rFonts w:eastAsiaTheme="majorEastAsia"/>
          <w:b/>
          <w:bCs/>
          <w:lang w:val="pt-BR"/>
        </w:rPr>
        <w:t>25</w:t>
      </w:r>
      <w:r w:rsidRPr="00523549">
        <w:rPr>
          <w:rFonts w:eastAsiaTheme="majorEastAsia"/>
          <w:lang w:val="pt-BR"/>
        </w:rPr>
        <w:t>&lt;=n&lt;=</w:t>
      </w:r>
      <w:r w:rsidRPr="00523549">
        <w:rPr>
          <w:rFonts w:eastAsiaTheme="majorEastAsia"/>
          <w:b/>
          <w:bCs/>
          <w:lang w:val="pt-BR"/>
        </w:rPr>
        <w:t>53</w:t>
      </w:r>
      <w:r w:rsidRPr="00523549">
        <w:rPr>
          <w:rFonts w:eastAsiaTheme="majorEastAsia"/>
          <w:lang w:val="pt-BR"/>
        </w:rPr>
        <w:t xml:space="preserve">, </w:t>
      </w:r>
      <w:r w:rsidRPr="00523549">
        <w:rPr>
          <w:rFonts w:eastAsiaTheme="majorEastAsia"/>
          <w:i/>
          <w:iCs/>
          <w:lang w:val="pt-BR"/>
        </w:rPr>
        <w:t>n</w:t>
      </w:r>
      <w:r w:rsidRPr="00523549">
        <w:rPr>
          <w:rFonts w:eastAsiaTheme="majorEastAsia"/>
          <w:lang w:val="pt-BR"/>
        </w:rPr>
        <w:t xml:space="preserve"> se trata como </w:t>
      </w:r>
      <w:r w:rsidRPr="00523549">
        <w:rPr>
          <w:rFonts w:eastAsiaTheme="majorEastAsia"/>
          <w:b/>
          <w:bCs/>
          <w:lang w:val="pt-BR"/>
        </w:rPr>
        <w:t>53</w:t>
      </w:r>
      <w:r w:rsidRPr="00523549">
        <w:rPr>
          <w:rFonts w:eastAsiaTheme="majorEastAsia"/>
          <w:lang w:val="pt-BR"/>
        </w:rPr>
        <w:t>.</w:t>
      </w:r>
    </w:p>
    <w:p w:rsidR="00523549" w:rsidRPr="00523549" w:rsidRDefault="00523549" w:rsidP="00523549">
      <w:pPr>
        <w:rPr>
          <w:rFonts w:eastAsiaTheme="majorEastAsia"/>
        </w:rPr>
      </w:pPr>
      <w:r w:rsidRPr="00523549">
        <w:rPr>
          <w:rFonts w:eastAsiaTheme="majorEastAsia"/>
          <w:b/>
          <w:bCs/>
          <w:i/>
          <w:iCs/>
        </w:rPr>
        <w:t>Float_Real.sql</w:t>
      </w:r>
    </w:p>
    <w:p w:rsidR="00523549" w:rsidRPr="000716D6" w:rsidRDefault="00523549" w:rsidP="000716D6">
      <w:pPr>
        <w:rPr>
          <w:rFonts w:eastAsiaTheme="majorEastAsia"/>
        </w:rPr>
      </w:pPr>
    </w:p>
    <w:p w:rsidR="000716D6" w:rsidRPr="000716D6" w:rsidRDefault="000716D6" w:rsidP="000716D6">
      <w:pPr>
        <w:pStyle w:val="Ttulo4"/>
      </w:pPr>
      <w:r w:rsidRPr="000716D6">
        <w:t>Moneda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 xml:space="preserve">Los tipos de datos </w:t>
      </w:r>
      <w:proofErr w:type="spellStart"/>
      <w:r w:rsidRPr="000716D6">
        <w:rPr>
          <w:rFonts w:eastAsiaTheme="majorEastAsia"/>
          <w:b/>
          <w:bCs/>
        </w:rPr>
        <w:t>money</w:t>
      </w:r>
      <w:proofErr w:type="spellEnd"/>
      <w:r w:rsidRPr="000716D6">
        <w:rPr>
          <w:rFonts w:eastAsiaTheme="majorEastAsia"/>
        </w:rPr>
        <w:t xml:space="preserve"> y </w:t>
      </w:r>
      <w:proofErr w:type="spellStart"/>
      <w:r w:rsidRPr="000716D6">
        <w:rPr>
          <w:rFonts w:eastAsiaTheme="majorEastAsia"/>
          <w:b/>
          <w:bCs/>
        </w:rPr>
        <w:t>smallmoney</w:t>
      </w:r>
      <w:proofErr w:type="spellEnd"/>
      <w:r w:rsidRPr="000716D6">
        <w:rPr>
          <w:rFonts w:eastAsiaTheme="majorEastAsia"/>
        </w:rPr>
        <w:t xml:space="preserve"> tienen una precisión de una diezmilésima de las unidades monetarias que representan. 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  <w:b/>
          <w:bCs/>
          <w:i/>
          <w:iCs/>
        </w:rPr>
        <w:t xml:space="preserve">Money.sql </w:t>
      </w:r>
    </w:p>
    <w:p w:rsidR="00523549" w:rsidRDefault="000716D6" w:rsidP="000716D6">
      <w:pPr>
        <w:pStyle w:val="Ttulo4"/>
      </w:pPr>
      <w:r w:rsidRPr="000716D6">
        <w:t> </w:t>
      </w:r>
    </w:p>
    <w:p w:rsidR="00523549" w:rsidRDefault="00523549" w:rsidP="000716D6">
      <w:pPr>
        <w:pStyle w:val="Ttulo4"/>
      </w:pPr>
    </w:p>
    <w:p w:rsidR="00523549" w:rsidRDefault="00523549" w:rsidP="000716D6">
      <w:pPr>
        <w:pStyle w:val="Ttulo4"/>
      </w:pPr>
    </w:p>
    <w:p w:rsidR="000716D6" w:rsidRDefault="000716D6" w:rsidP="000716D6">
      <w:pPr>
        <w:pStyle w:val="Ttulo4"/>
      </w:pPr>
      <w:r w:rsidRPr="000716D6">
        <w:lastRenderedPageBreak/>
        <w:t>Fecha y hora</w:t>
      </w:r>
    </w:p>
    <w:tbl>
      <w:tblPr>
        <w:tblStyle w:val="Listaclara-nfasis4"/>
        <w:tblpPr w:leftFromText="141" w:rightFromText="141" w:vertAnchor="text" w:horzAnchor="margin" w:tblpXSpec="center" w:tblpY="336"/>
        <w:tblW w:w="9000" w:type="dxa"/>
        <w:tblLook w:val="04A0"/>
      </w:tblPr>
      <w:tblGrid>
        <w:gridCol w:w="1645"/>
        <w:gridCol w:w="2174"/>
        <w:gridCol w:w="2397"/>
        <w:gridCol w:w="1576"/>
        <w:gridCol w:w="1208"/>
      </w:tblGrid>
      <w:tr w:rsidR="00523549" w:rsidRPr="00523549" w:rsidTr="00523549">
        <w:trPr>
          <w:cnfStyle w:val="100000000000"/>
          <w:trHeight w:val="358"/>
        </w:trPr>
        <w:tc>
          <w:tcPr>
            <w:cnfStyle w:val="001000000000"/>
            <w:tcW w:w="1552" w:type="dxa"/>
            <w:hideMark/>
          </w:tcPr>
          <w:p w:rsidR="00523549" w:rsidRPr="00523549" w:rsidRDefault="00523549" w:rsidP="000464EF">
            <w:pPr>
              <w:spacing w:after="0" w:line="276" w:lineRule="auto"/>
            </w:pPr>
            <w:r w:rsidRPr="00523549">
              <w:t xml:space="preserve">Tipo de datos </w:t>
            </w:r>
          </w:p>
        </w:tc>
        <w:tc>
          <w:tcPr>
            <w:tcW w:w="2104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100000000000"/>
            </w:pPr>
            <w:r w:rsidRPr="00523549">
              <w:t xml:space="preserve">Formato </w:t>
            </w:r>
          </w:p>
        </w:tc>
        <w:tc>
          <w:tcPr>
            <w:tcW w:w="254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100000000000"/>
            </w:pPr>
            <w:r w:rsidRPr="00523549">
              <w:t xml:space="preserve">Intervalo </w:t>
            </w:r>
          </w:p>
        </w:tc>
        <w:tc>
          <w:tcPr>
            <w:tcW w:w="148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100000000000"/>
            </w:pPr>
            <w:r w:rsidRPr="00523549">
              <w:t xml:space="preserve">Precisión </w:t>
            </w:r>
          </w:p>
        </w:tc>
        <w:tc>
          <w:tcPr>
            <w:tcW w:w="1310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100000000000"/>
            </w:pPr>
            <w:r w:rsidRPr="00523549">
              <w:t xml:space="preserve">(bytes) </w:t>
            </w:r>
          </w:p>
        </w:tc>
      </w:tr>
      <w:tr w:rsidR="00523549" w:rsidRPr="00523549" w:rsidTr="00523549">
        <w:trPr>
          <w:cnfStyle w:val="000000100000"/>
          <w:trHeight w:val="493"/>
        </w:trPr>
        <w:tc>
          <w:tcPr>
            <w:cnfStyle w:val="001000000000"/>
            <w:tcW w:w="1552" w:type="dxa"/>
            <w:hideMark/>
          </w:tcPr>
          <w:p w:rsidR="00523549" w:rsidRPr="00523549" w:rsidRDefault="00523549" w:rsidP="000464EF">
            <w:pPr>
              <w:spacing w:after="0" w:line="276" w:lineRule="auto"/>
            </w:pPr>
            <w:r w:rsidRPr="00523549">
              <w:t xml:space="preserve">time </w:t>
            </w:r>
          </w:p>
        </w:tc>
        <w:tc>
          <w:tcPr>
            <w:tcW w:w="2104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proofErr w:type="spellStart"/>
            <w:r w:rsidRPr="00523549">
              <w:t>hh:mm:ss</w:t>
            </w:r>
            <w:proofErr w:type="spellEnd"/>
            <w:r w:rsidRPr="00523549">
              <w:t>[.</w:t>
            </w:r>
            <w:proofErr w:type="spellStart"/>
            <w:r w:rsidRPr="00523549">
              <w:t>nnnnnnn</w:t>
            </w:r>
            <w:proofErr w:type="spellEnd"/>
            <w:r w:rsidRPr="00523549">
              <w:t>]</w:t>
            </w:r>
          </w:p>
        </w:tc>
        <w:tc>
          <w:tcPr>
            <w:tcW w:w="254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r w:rsidRPr="00523549">
              <w:t>De 00:00:00.0000000 a 23:59:59.9999999</w:t>
            </w:r>
          </w:p>
        </w:tc>
        <w:tc>
          <w:tcPr>
            <w:tcW w:w="148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r w:rsidRPr="00523549">
              <w:t>100 nanosegundos</w:t>
            </w:r>
          </w:p>
        </w:tc>
        <w:tc>
          <w:tcPr>
            <w:tcW w:w="1310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r w:rsidRPr="00523549">
              <w:t xml:space="preserve">De 3 a 5 </w:t>
            </w:r>
          </w:p>
        </w:tc>
      </w:tr>
      <w:tr w:rsidR="00523549" w:rsidRPr="00523549" w:rsidTr="00523549">
        <w:trPr>
          <w:trHeight w:val="402"/>
        </w:trPr>
        <w:tc>
          <w:tcPr>
            <w:cnfStyle w:val="001000000000"/>
            <w:tcW w:w="1552" w:type="dxa"/>
            <w:hideMark/>
          </w:tcPr>
          <w:p w:rsidR="00523549" w:rsidRPr="00523549" w:rsidRDefault="00523549" w:rsidP="000464EF">
            <w:pPr>
              <w:spacing w:after="0" w:line="276" w:lineRule="auto"/>
            </w:pPr>
            <w:r w:rsidRPr="00523549">
              <w:t xml:space="preserve">date </w:t>
            </w:r>
          </w:p>
        </w:tc>
        <w:tc>
          <w:tcPr>
            <w:tcW w:w="2104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</w:pPr>
            <w:r w:rsidRPr="00523549">
              <w:t>AAAA-MM-DD</w:t>
            </w:r>
          </w:p>
        </w:tc>
        <w:tc>
          <w:tcPr>
            <w:tcW w:w="254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</w:pPr>
            <w:r w:rsidRPr="00523549">
              <w:t>De 0001-01-01 a 9999-12-31</w:t>
            </w:r>
          </w:p>
        </w:tc>
        <w:tc>
          <w:tcPr>
            <w:tcW w:w="148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</w:pPr>
            <w:r w:rsidRPr="00523549">
              <w:t>1 día</w:t>
            </w:r>
          </w:p>
        </w:tc>
        <w:tc>
          <w:tcPr>
            <w:tcW w:w="1310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</w:pPr>
            <w:r w:rsidRPr="00523549">
              <w:t>3</w:t>
            </w:r>
          </w:p>
        </w:tc>
      </w:tr>
      <w:tr w:rsidR="00523549" w:rsidRPr="00523549" w:rsidTr="00523549">
        <w:trPr>
          <w:cnfStyle w:val="000000100000"/>
          <w:trHeight w:val="395"/>
        </w:trPr>
        <w:tc>
          <w:tcPr>
            <w:cnfStyle w:val="001000000000"/>
            <w:tcW w:w="1552" w:type="dxa"/>
            <w:hideMark/>
          </w:tcPr>
          <w:p w:rsidR="00523549" w:rsidRPr="00523549" w:rsidRDefault="00523549" w:rsidP="000464EF">
            <w:pPr>
              <w:spacing w:after="0" w:line="276" w:lineRule="auto"/>
            </w:pPr>
            <w:proofErr w:type="spellStart"/>
            <w:r w:rsidRPr="00523549">
              <w:t>smalldatetime</w:t>
            </w:r>
            <w:proofErr w:type="spellEnd"/>
            <w:r w:rsidRPr="00523549">
              <w:t xml:space="preserve"> </w:t>
            </w:r>
          </w:p>
        </w:tc>
        <w:tc>
          <w:tcPr>
            <w:tcW w:w="2104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r w:rsidRPr="00523549">
              <w:t xml:space="preserve">AAAA-MM-DD </w:t>
            </w:r>
            <w:proofErr w:type="spellStart"/>
            <w:r w:rsidRPr="00523549">
              <w:t>hh:mm:ss</w:t>
            </w:r>
            <w:proofErr w:type="spellEnd"/>
            <w:r w:rsidRPr="00523549">
              <w:t xml:space="preserve"> </w:t>
            </w:r>
          </w:p>
        </w:tc>
        <w:tc>
          <w:tcPr>
            <w:tcW w:w="254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r w:rsidRPr="00523549">
              <w:t>De 1900-01-01 a 2079-06-06</w:t>
            </w:r>
          </w:p>
        </w:tc>
        <w:tc>
          <w:tcPr>
            <w:tcW w:w="148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r w:rsidRPr="00523549">
              <w:t>1 minuto</w:t>
            </w:r>
          </w:p>
        </w:tc>
        <w:tc>
          <w:tcPr>
            <w:tcW w:w="1310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r w:rsidRPr="00523549">
              <w:t>4</w:t>
            </w:r>
          </w:p>
        </w:tc>
      </w:tr>
      <w:tr w:rsidR="00523549" w:rsidRPr="00523549" w:rsidTr="00523549">
        <w:trPr>
          <w:trHeight w:val="691"/>
        </w:trPr>
        <w:tc>
          <w:tcPr>
            <w:cnfStyle w:val="001000000000"/>
            <w:tcW w:w="1552" w:type="dxa"/>
            <w:hideMark/>
          </w:tcPr>
          <w:p w:rsidR="00523549" w:rsidRPr="00523549" w:rsidRDefault="00523549" w:rsidP="000464EF">
            <w:pPr>
              <w:spacing w:after="0" w:line="276" w:lineRule="auto"/>
            </w:pPr>
            <w:proofErr w:type="spellStart"/>
            <w:r w:rsidRPr="00523549">
              <w:t>datetime</w:t>
            </w:r>
            <w:proofErr w:type="spellEnd"/>
            <w:r w:rsidRPr="00523549">
              <w:t xml:space="preserve"> </w:t>
            </w:r>
          </w:p>
        </w:tc>
        <w:tc>
          <w:tcPr>
            <w:tcW w:w="2104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  <w:rPr>
                <w:lang w:val="en-US"/>
              </w:rPr>
            </w:pPr>
            <w:r w:rsidRPr="00523549">
              <w:rPr>
                <w:lang w:val="en-US"/>
              </w:rPr>
              <w:t xml:space="preserve">AAAA-MM-DD </w:t>
            </w:r>
            <w:proofErr w:type="spellStart"/>
            <w:r w:rsidRPr="00523549">
              <w:rPr>
                <w:lang w:val="en-US"/>
              </w:rPr>
              <w:t>hh:mm:ss</w:t>
            </w:r>
            <w:proofErr w:type="spellEnd"/>
            <w:r w:rsidRPr="00523549">
              <w:rPr>
                <w:lang w:val="en-US"/>
              </w:rPr>
              <w:t>[.</w:t>
            </w:r>
            <w:proofErr w:type="spellStart"/>
            <w:r w:rsidRPr="00523549">
              <w:rPr>
                <w:lang w:val="en-US"/>
              </w:rPr>
              <w:t>nnn</w:t>
            </w:r>
            <w:proofErr w:type="spellEnd"/>
            <w:r w:rsidRPr="00523549">
              <w:rPr>
                <w:lang w:val="en-US"/>
              </w:rPr>
              <w:t>]</w:t>
            </w:r>
          </w:p>
        </w:tc>
        <w:tc>
          <w:tcPr>
            <w:tcW w:w="254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</w:pPr>
            <w:r w:rsidRPr="00523549">
              <w:t>De 1753-01-01 a 9999-12-31</w:t>
            </w:r>
          </w:p>
        </w:tc>
        <w:tc>
          <w:tcPr>
            <w:tcW w:w="148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</w:pPr>
            <w:r w:rsidRPr="00523549">
              <w:t>0,00333 segundos</w:t>
            </w:r>
          </w:p>
        </w:tc>
        <w:tc>
          <w:tcPr>
            <w:tcW w:w="1310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</w:pPr>
            <w:r w:rsidRPr="00523549">
              <w:t>8</w:t>
            </w:r>
          </w:p>
        </w:tc>
      </w:tr>
      <w:tr w:rsidR="00523549" w:rsidRPr="00523549" w:rsidTr="00523549">
        <w:trPr>
          <w:cnfStyle w:val="000000100000"/>
          <w:trHeight w:val="790"/>
        </w:trPr>
        <w:tc>
          <w:tcPr>
            <w:cnfStyle w:val="001000000000"/>
            <w:tcW w:w="1552" w:type="dxa"/>
            <w:hideMark/>
          </w:tcPr>
          <w:p w:rsidR="00523549" w:rsidRPr="00523549" w:rsidRDefault="00523549" w:rsidP="000464EF">
            <w:pPr>
              <w:spacing w:after="0" w:line="276" w:lineRule="auto"/>
            </w:pPr>
            <w:r w:rsidRPr="00523549">
              <w:t xml:space="preserve">datetime2 </w:t>
            </w:r>
          </w:p>
        </w:tc>
        <w:tc>
          <w:tcPr>
            <w:tcW w:w="2104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r w:rsidRPr="00523549">
              <w:t xml:space="preserve">AAAA-MM-DD </w:t>
            </w:r>
            <w:proofErr w:type="spellStart"/>
            <w:r w:rsidRPr="00523549">
              <w:t>hh:mm:ss</w:t>
            </w:r>
            <w:proofErr w:type="spellEnd"/>
            <w:r w:rsidRPr="00523549">
              <w:t>[.</w:t>
            </w:r>
            <w:proofErr w:type="spellStart"/>
            <w:r w:rsidRPr="00523549">
              <w:t>nnnnnnn</w:t>
            </w:r>
            <w:proofErr w:type="spellEnd"/>
            <w:r w:rsidRPr="00523549">
              <w:t xml:space="preserve">] </w:t>
            </w:r>
          </w:p>
        </w:tc>
        <w:tc>
          <w:tcPr>
            <w:tcW w:w="254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r w:rsidRPr="00523549">
              <w:rPr>
                <w:lang w:val="pt-BR"/>
              </w:rPr>
              <w:t xml:space="preserve">De 0001-01-01 </w:t>
            </w:r>
            <w:proofErr w:type="gramStart"/>
            <w:r w:rsidRPr="00523549">
              <w:rPr>
                <w:lang w:val="pt-BR"/>
              </w:rPr>
              <w:t>00:00</w:t>
            </w:r>
            <w:proofErr w:type="gramEnd"/>
            <w:r w:rsidRPr="00523549">
              <w:rPr>
                <w:lang w:val="pt-BR"/>
              </w:rPr>
              <w:t>:00.0000000 a 9999-12-31 23:59:59.9999999</w:t>
            </w:r>
          </w:p>
        </w:tc>
        <w:tc>
          <w:tcPr>
            <w:tcW w:w="148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r w:rsidRPr="00523549">
              <w:t>100 nanosegundos</w:t>
            </w:r>
          </w:p>
        </w:tc>
        <w:tc>
          <w:tcPr>
            <w:tcW w:w="1310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100000"/>
            </w:pPr>
            <w:r w:rsidRPr="00523549">
              <w:t>De 6 a 8</w:t>
            </w:r>
          </w:p>
        </w:tc>
      </w:tr>
      <w:tr w:rsidR="00523549" w:rsidRPr="00523549" w:rsidTr="00523549">
        <w:trPr>
          <w:trHeight w:val="1086"/>
        </w:trPr>
        <w:tc>
          <w:tcPr>
            <w:cnfStyle w:val="001000000000"/>
            <w:tcW w:w="1552" w:type="dxa"/>
            <w:hideMark/>
          </w:tcPr>
          <w:p w:rsidR="00523549" w:rsidRPr="00523549" w:rsidRDefault="00523549" w:rsidP="000464EF">
            <w:pPr>
              <w:spacing w:after="0" w:line="276" w:lineRule="auto"/>
            </w:pPr>
            <w:proofErr w:type="spellStart"/>
            <w:r w:rsidRPr="00523549">
              <w:t>datetimeoffset</w:t>
            </w:r>
            <w:proofErr w:type="spellEnd"/>
            <w:r w:rsidRPr="00523549">
              <w:t xml:space="preserve"> </w:t>
            </w:r>
          </w:p>
        </w:tc>
        <w:tc>
          <w:tcPr>
            <w:tcW w:w="2104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</w:pPr>
            <w:r w:rsidRPr="00523549">
              <w:t xml:space="preserve">AAAA-MM-DD </w:t>
            </w:r>
            <w:proofErr w:type="spellStart"/>
            <w:r w:rsidRPr="00523549">
              <w:t>hh:mm:ss</w:t>
            </w:r>
            <w:proofErr w:type="spellEnd"/>
            <w:r w:rsidRPr="00523549">
              <w:t>[.</w:t>
            </w:r>
            <w:proofErr w:type="spellStart"/>
            <w:r w:rsidRPr="00523549">
              <w:t>nnnnnnn</w:t>
            </w:r>
            <w:proofErr w:type="spellEnd"/>
            <w:r w:rsidRPr="00523549">
              <w:t>] [+|-]</w:t>
            </w:r>
            <w:proofErr w:type="spellStart"/>
            <w:r w:rsidRPr="00523549">
              <w:t>hh:mm</w:t>
            </w:r>
            <w:proofErr w:type="spellEnd"/>
          </w:p>
        </w:tc>
        <w:tc>
          <w:tcPr>
            <w:tcW w:w="254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</w:pPr>
            <w:r w:rsidRPr="00523549">
              <w:t>De 0001-01-01 00:00:00.0000000 a 9999-12-31 23:59:59.9999999 (en UTC)</w:t>
            </w:r>
          </w:p>
        </w:tc>
        <w:tc>
          <w:tcPr>
            <w:tcW w:w="1487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</w:pPr>
            <w:r w:rsidRPr="00523549">
              <w:t>100 nanosegundos</w:t>
            </w:r>
          </w:p>
        </w:tc>
        <w:tc>
          <w:tcPr>
            <w:tcW w:w="1310" w:type="dxa"/>
            <w:hideMark/>
          </w:tcPr>
          <w:p w:rsidR="00523549" w:rsidRPr="00523549" w:rsidRDefault="00523549" w:rsidP="000464EF">
            <w:pPr>
              <w:spacing w:after="0" w:line="276" w:lineRule="auto"/>
              <w:cnfStyle w:val="000000000000"/>
            </w:pPr>
            <w:r w:rsidRPr="00523549">
              <w:t>De 8 a 10</w:t>
            </w:r>
          </w:p>
        </w:tc>
      </w:tr>
    </w:tbl>
    <w:p w:rsidR="00523549" w:rsidRPr="00523549" w:rsidRDefault="00523549" w:rsidP="00523549"/>
    <w:p w:rsidR="000716D6" w:rsidRPr="000716D6" w:rsidRDefault="000716D6" w:rsidP="000716D6">
      <w:pPr>
        <w:pStyle w:val="Ttulo4"/>
      </w:pPr>
      <w:r w:rsidRPr="000716D6">
        <w:t>Cadenas de caracteres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 xml:space="preserve">Son tipos de datos de caracteres que tienen longitud fija o variable. </w:t>
      </w:r>
    </w:p>
    <w:p w:rsidR="00000000" w:rsidRPr="000716D6" w:rsidRDefault="00272682" w:rsidP="000716D6">
      <w:pPr>
        <w:numPr>
          <w:ilvl w:val="0"/>
          <w:numId w:val="33"/>
        </w:numPr>
        <w:rPr>
          <w:rFonts w:eastAsiaTheme="majorEastAsia"/>
        </w:rPr>
      </w:pPr>
      <w:proofErr w:type="spellStart"/>
      <w:r w:rsidRPr="000716D6">
        <w:rPr>
          <w:rFonts w:eastAsiaTheme="majorEastAsia"/>
          <w:b/>
          <w:bCs/>
        </w:rPr>
        <w:t>char</w:t>
      </w:r>
      <w:proofErr w:type="spellEnd"/>
      <w:r w:rsidRPr="000716D6">
        <w:rPr>
          <w:rFonts w:eastAsiaTheme="majorEastAsia"/>
        </w:rPr>
        <w:t xml:space="preserve"> </w:t>
      </w:r>
      <w:proofErr w:type="gramStart"/>
      <w:r w:rsidRPr="000716D6">
        <w:rPr>
          <w:rFonts w:eastAsiaTheme="majorEastAsia"/>
        </w:rPr>
        <w:t>[ (</w:t>
      </w:r>
      <w:proofErr w:type="gramEnd"/>
      <w:r w:rsidRPr="000716D6">
        <w:rPr>
          <w:rFonts w:eastAsiaTheme="majorEastAsia"/>
        </w:rPr>
        <w:t xml:space="preserve">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) ] Datos de caracteres no Unicode de longitud fija, con una longitud de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bytes.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debe ser un valor en</w:t>
      </w:r>
      <w:r w:rsidRPr="000716D6">
        <w:rPr>
          <w:rFonts w:eastAsiaTheme="majorEastAsia"/>
        </w:rPr>
        <w:t xml:space="preserve">tre 1 y 8.000. El tamaño de almacenamiento es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bytes. </w:t>
      </w:r>
    </w:p>
    <w:p w:rsidR="00000000" w:rsidRPr="000716D6" w:rsidRDefault="00272682" w:rsidP="000716D6">
      <w:pPr>
        <w:numPr>
          <w:ilvl w:val="0"/>
          <w:numId w:val="33"/>
        </w:numPr>
        <w:rPr>
          <w:rFonts w:eastAsiaTheme="majorEastAsia"/>
        </w:rPr>
      </w:pPr>
      <w:proofErr w:type="spellStart"/>
      <w:r w:rsidRPr="000716D6">
        <w:rPr>
          <w:rFonts w:eastAsiaTheme="majorEastAsia"/>
          <w:b/>
          <w:bCs/>
        </w:rPr>
        <w:t>varchar</w:t>
      </w:r>
      <w:proofErr w:type="spellEnd"/>
      <w:r w:rsidRPr="000716D6">
        <w:rPr>
          <w:rFonts w:eastAsiaTheme="majorEastAsia"/>
        </w:rPr>
        <w:t xml:space="preserve"> </w:t>
      </w:r>
      <w:proofErr w:type="gramStart"/>
      <w:r w:rsidRPr="000716D6">
        <w:rPr>
          <w:rFonts w:eastAsiaTheme="majorEastAsia"/>
        </w:rPr>
        <w:t>[ (</w:t>
      </w:r>
      <w:proofErr w:type="gramEnd"/>
      <w:r w:rsidRPr="000716D6">
        <w:rPr>
          <w:rFonts w:eastAsiaTheme="majorEastAsia"/>
        </w:rPr>
        <w:t xml:space="preserve">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| </w:t>
      </w:r>
      <w:proofErr w:type="spellStart"/>
      <w:r w:rsidRPr="000716D6">
        <w:rPr>
          <w:rFonts w:eastAsiaTheme="majorEastAsia"/>
          <w:b/>
          <w:bCs/>
        </w:rPr>
        <w:t>max</w:t>
      </w:r>
      <w:proofErr w:type="spellEnd"/>
      <w:r w:rsidRPr="000716D6">
        <w:rPr>
          <w:rFonts w:eastAsiaTheme="majorEastAsia"/>
        </w:rPr>
        <w:t xml:space="preserve"> ) ] Datos de caracteres no Unicode de longitud variable.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puede ser un valor entre 1 y 8.000. </w:t>
      </w:r>
      <w:proofErr w:type="spellStart"/>
      <w:r w:rsidRPr="000716D6">
        <w:rPr>
          <w:rFonts w:eastAsiaTheme="majorEastAsia"/>
          <w:b/>
          <w:bCs/>
        </w:rPr>
        <w:t>max</w:t>
      </w:r>
      <w:proofErr w:type="spellEnd"/>
      <w:r w:rsidRPr="000716D6">
        <w:rPr>
          <w:rFonts w:eastAsiaTheme="majorEastAsia"/>
        </w:rPr>
        <w:t xml:space="preserve"> indica que el tamaño de </w:t>
      </w:r>
      <w:r w:rsidRPr="000716D6">
        <w:rPr>
          <w:rFonts w:eastAsiaTheme="majorEastAsia"/>
        </w:rPr>
        <w:t xml:space="preserve">almacenamiento máximo es de 2^31-1 bytes. En el caso de que no entre en la página, se almacena el puntero (24 bytes). El tamaño de almacenamiento es la longitud real de los datos especificados + 2 bytes. </w:t>
      </w:r>
    </w:p>
    <w:p w:rsidR="00000000" w:rsidRPr="000716D6" w:rsidRDefault="00272682" w:rsidP="000716D6">
      <w:pPr>
        <w:numPr>
          <w:ilvl w:val="0"/>
          <w:numId w:val="33"/>
        </w:numPr>
        <w:rPr>
          <w:rFonts w:eastAsiaTheme="majorEastAsia"/>
        </w:rPr>
      </w:pPr>
      <w:proofErr w:type="spellStart"/>
      <w:r w:rsidRPr="000716D6">
        <w:rPr>
          <w:rFonts w:eastAsiaTheme="majorEastAsia"/>
          <w:b/>
          <w:bCs/>
        </w:rPr>
        <w:t>Text</w:t>
      </w:r>
      <w:proofErr w:type="spellEnd"/>
      <w:r w:rsidRPr="000716D6">
        <w:rPr>
          <w:rFonts w:eastAsiaTheme="majorEastAsia"/>
        </w:rPr>
        <w:t xml:space="preserve">  Textos de gran tamaño.  Se quitará en versio</w:t>
      </w:r>
      <w:r w:rsidRPr="000716D6">
        <w:rPr>
          <w:rFonts w:eastAsiaTheme="majorEastAsia"/>
        </w:rPr>
        <w:t>nes futuras.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 xml:space="preserve">Recomendaciones sobre los tipos </w:t>
      </w:r>
      <w:proofErr w:type="spellStart"/>
      <w:r w:rsidRPr="000716D6">
        <w:rPr>
          <w:rFonts w:eastAsiaTheme="majorEastAsia"/>
          <w:b/>
          <w:bCs/>
        </w:rPr>
        <w:t>char</w:t>
      </w:r>
      <w:proofErr w:type="spellEnd"/>
      <w:r w:rsidRPr="000716D6">
        <w:rPr>
          <w:rFonts w:eastAsiaTheme="majorEastAsia"/>
        </w:rPr>
        <w:t xml:space="preserve"> o </w:t>
      </w:r>
      <w:proofErr w:type="spellStart"/>
      <w:r w:rsidRPr="000716D6">
        <w:rPr>
          <w:rFonts w:eastAsiaTheme="majorEastAsia"/>
          <w:b/>
          <w:bCs/>
        </w:rPr>
        <w:t>varchar</w:t>
      </w:r>
      <w:proofErr w:type="spellEnd"/>
      <w:r w:rsidRPr="000716D6">
        <w:rPr>
          <w:rFonts w:eastAsiaTheme="majorEastAsia"/>
        </w:rPr>
        <w:t xml:space="preserve"> </w:t>
      </w:r>
    </w:p>
    <w:p w:rsidR="00000000" w:rsidRPr="000716D6" w:rsidRDefault="00272682" w:rsidP="000716D6">
      <w:pPr>
        <w:numPr>
          <w:ilvl w:val="0"/>
          <w:numId w:val="34"/>
        </w:numPr>
        <w:rPr>
          <w:rFonts w:eastAsiaTheme="majorEastAsia"/>
        </w:rPr>
      </w:pPr>
      <w:r w:rsidRPr="000716D6">
        <w:rPr>
          <w:rFonts w:eastAsiaTheme="majorEastAsia"/>
        </w:rPr>
        <w:t xml:space="preserve">Utilicemos </w:t>
      </w:r>
      <w:proofErr w:type="spellStart"/>
      <w:r w:rsidRPr="000716D6">
        <w:rPr>
          <w:rFonts w:eastAsiaTheme="majorEastAsia"/>
          <w:b/>
          <w:bCs/>
        </w:rPr>
        <w:t>char</w:t>
      </w:r>
      <w:proofErr w:type="spellEnd"/>
      <w:r w:rsidRPr="000716D6">
        <w:rPr>
          <w:rFonts w:eastAsiaTheme="majorEastAsia"/>
        </w:rPr>
        <w:t xml:space="preserve"> cuando los tamaños de las entradas de datos de columna tengan poca variabilidad.</w:t>
      </w:r>
    </w:p>
    <w:p w:rsidR="00000000" w:rsidRPr="000716D6" w:rsidRDefault="00272682" w:rsidP="000716D6">
      <w:pPr>
        <w:numPr>
          <w:ilvl w:val="0"/>
          <w:numId w:val="34"/>
        </w:numPr>
        <w:rPr>
          <w:rFonts w:eastAsiaTheme="majorEastAsia"/>
        </w:rPr>
      </w:pPr>
      <w:r w:rsidRPr="000716D6">
        <w:rPr>
          <w:rFonts w:eastAsiaTheme="majorEastAsia"/>
        </w:rPr>
        <w:t xml:space="preserve">Utilicemos </w:t>
      </w:r>
      <w:proofErr w:type="spellStart"/>
      <w:r w:rsidRPr="000716D6">
        <w:rPr>
          <w:rFonts w:eastAsiaTheme="majorEastAsia"/>
          <w:b/>
          <w:bCs/>
        </w:rPr>
        <w:t>varchar</w:t>
      </w:r>
      <w:proofErr w:type="spellEnd"/>
      <w:r w:rsidRPr="000716D6">
        <w:rPr>
          <w:rFonts w:eastAsiaTheme="majorEastAsia"/>
        </w:rPr>
        <w:t xml:space="preserve"> cuando los tamaños de las entradas de datos de columna varíe</w:t>
      </w:r>
      <w:r w:rsidRPr="000716D6">
        <w:rPr>
          <w:rFonts w:eastAsiaTheme="majorEastAsia"/>
        </w:rPr>
        <w:t>n de forma considerable.</w:t>
      </w:r>
    </w:p>
    <w:p w:rsidR="00000000" w:rsidRPr="000716D6" w:rsidRDefault="00272682" w:rsidP="000716D6">
      <w:pPr>
        <w:numPr>
          <w:ilvl w:val="0"/>
          <w:numId w:val="34"/>
        </w:numPr>
        <w:rPr>
          <w:rFonts w:eastAsiaTheme="majorEastAsia"/>
        </w:rPr>
      </w:pPr>
      <w:r w:rsidRPr="000716D6">
        <w:rPr>
          <w:rFonts w:eastAsiaTheme="majorEastAsia"/>
        </w:rPr>
        <w:t xml:space="preserve">Utilicemos </w:t>
      </w:r>
      <w:proofErr w:type="spellStart"/>
      <w:proofErr w:type="gramStart"/>
      <w:r w:rsidRPr="000716D6">
        <w:rPr>
          <w:rFonts w:eastAsiaTheme="majorEastAsia"/>
          <w:b/>
          <w:bCs/>
        </w:rPr>
        <w:t>varchar</w:t>
      </w:r>
      <w:proofErr w:type="spellEnd"/>
      <w:r w:rsidRPr="000716D6">
        <w:rPr>
          <w:rFonts w:eastAsiaTheme="majorEastAsia"/>
          <w:b/>
          <w:bCs/>
        </w:rPr>
        <w:t>(</w:t>
      </w:r>
      <w:proofErr w:type="spellStart"/>
      <w:proofErr w:type="gramEnd"/>
      <w:r w:rsidRPr="000716D6">
        <w:rPr>
          <w:rFonts w:eastAsiaTheme="majorEastAsia"/>
          <w:b/>
          <w:bCs/>
        </w:rPr>
        <w:t>max</w:t>
      </w:r>
      <w:proofErr w:type="spellEnd"/>
      <w:r w:rsidRPr="000716D6">
        <w:rPr>
          <w:rFonts w:eastAsiaTheme="majorEastAsia"/>
          <w:b/>
          <w:bCs/>
        </w:rPr>
        <w:t>)</w:t>
      </w:r>
      <w:r w:rsidRPr="000716D6">
        <w:rPr>
          <w:rFonts w:eastAsiaTheme="majorEastAsia"/>
        </w:rPr>
        <w:t xml:space="preserve"> cuando los tamaños de las entradas de datos de columna varíen de forma considerable y pudieran superarse los 8.000 bytes.</w:t>
      </w:r>
    </w:p>
    <w:p w:rsidR="00523549" w:rsidRDefault="00523549" w:rsidP="000716D6">
      <w:pPr>
        <w:pStyle w:val="Ttulo4"/>
      </w:pPr>
    </w:p>
    <w:p w:rsidR="000716D6" w:rsidRPr="000716D6" w:rsidRDefault="000716D6" w:rsidP="000716D6">
      <w:pPr>
        <w:pStyle w:val="Ttulo4"/>
      </w:pPr>
      <w:r w:rsidRPr="000716D6">
        <w:lastRenderedPageBreak/>
        <w:t>Cadenas binarias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 xml:space="preserve">Tipos de datos binarios de longitud fija o variable. 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>Se almacenan fotos, vídeos, documentos .</w:t>
      </w:r>
      <w:proofErr w:type="spellStart"/>
      <w:r w:rsidRPr="000716D6">
        <w:rPr>
          <w:rFonts w:eastAsiaTheme="majorEastAsia"/>
        </w:rPr>
        <w:t>docx</w:t>
      </w:r>
      <w:proofErr w:type="spellEnd"/>
      <w:r w:rsidRPr="000716D6">
        <w:rPr>
          <w:rFonts w:eastAsiaTheme="majorEastAsia"/>
        </w:rPr>
        <w:t>, etc.</w:t>
      </w:r>
    </w:p>
    <w:p w:rsidR="00000000" w:rsidRPr="000716D6" w:rsidRDefault="00272682" w:rsidP="000716D6">
      <w:pPr>
        <w:numPr>
          <w:ilvl w:val="0"/>
          <w:numId w:val="35"/>
        </w:numPr>
        <w:rPr>
          <w:rFonts w:eastAsiaTheme="majorEastAsia"/>
        </w:rPr>
      </w:pPr>
      <w:proofErr w:type="spellStart"/>
      <w:r w:rsidRPr="000716D6">
        <w:rPr>
          <w:rFonts w:eastAsiaTheme="majorEastAsia"/>
          <w:b/>
          <w:bCs/>
        </w:rPr>
        <w:t>binary</w:t>
      </w:r>
      <w:proofErr w:type="spellEnd"/>
      <w:r w:rsidRPr="000716D6">
        <w:rPr>
          <w:rFonts w:eastAsiaTheme="majorEastAsia"/>
        </w:rPr>
        <w:t xml:space="preserve"> </w:t>
      </w:r>
      <w:proofErr w:type="gramStart"/>
      <w:r w:rsidRPr="000716D6">
        <w:rPr>
          <w:rFonts w:eastAsiaTheme="majorEastAsia"/>
        </w:rPr>
        <w:t>[ (</w:t>
      </w:r>
      <w:proofErr w:type="gramEnd"/>
      <w:r w:rsidRPr="000716D6">
        <w:rPr>
          <w:rFonts w:eastAsiaTheme="majorEastAsia"/>
        </w:rPr>
        <w:t xml:space="preserve">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) ] Datos binarios de longitud fija con una longitud de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bytes, donde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es un valor que oscila entre 1 y 8.000. El tamaño de almacenamie</w:t>
      </w:r>
      <w:r w:rsidRPr="000716D6">
        <w:rPr>
          <w:rFonts w:eastAsiaTheme="majorEastAsia"/>
        </w:rPr>
        <w:t xml:space="preserve">nto es de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bytes.</w:t>
      </w:r>
    </w:p>
    <w:p w:rsidR="00000000" w:rsidRPr="000716D6" w:rsidRDefault="00272682" w:rsidP="000716D6">
      <w:pPr>
        <w:numPr>
          <w:ilvl w:val="0"/>
          <w:numId w:val="35"/>
        </w:numPr>
        <w:rPr>
          <w:rFonts w:eastAsiaTheme="majorEastAsia"/>
        </w:rPr>
      </w:pPr>
      <w:proofErr w:type="spellStart"/>
      <w:r w:rsidRPr="000716D6">
        <w:rPr>
          <w:rFonts w:eastAsiaTheme="majorEastAsia"/>
          <w:b/>
          <w:bCs/>
        </w:rPr>
        <w:t>varbinary</w:t>
      </w:r>
      <w:proofErr w:type="spellEnd"/>
      <w:r w:rsidRPr="000716D6">
        <w:rPr>
          <w:rFonts w:eastAsiaTheme="majorEastAsia"/>
        </w:rPr>
        <w:t xml:space="preserve"> </w:t>
      </w:r>
      <w:proofErr w:type="gramStart"/>
      <w:r w:rsidRPr="000716D6">
        <w:rPr>
          <w:rFonts w:eastAsiaTheme="majorEastAsia"/>
        </w:rPr>
        <w:t>[ (</w:t>
      </w:r>
      <w:proofErr w:type="gramEnd"/>
      <w:r w:rsidRPr="000716D6">
        <w:rPr>
          <w:rFonts w:eastAsiaTheme="majorEastAsia"/>
        </w:rPr>
        <w:t xml:space="preserve">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| </w:t>
      </w:r>
      <w:proofErr w:type="spellStart"/>
      <w:r w:rsidRPr="000716D6">
        <w:rPr>
          <w:rFonts w:eastAsiaTheme="majorEastAsia"/>
          <w:b/>
          <w:bCs/>
        </w:rPr>
        <w:t>max</w:t>
      </w:r>
      <w:proofErr w:type="spellEnd"/>
      <w:r w:rsidRPr="000716D6">
        <w:rPr>
          <w:rFonts w:eastAsiaTheme="majorEastAsia"/>
        </w:rPr>
        <w:t xml:space="preserve">) ] Datos binarios de longitud variable. </w:t>
      </w:r>
      <w:r w:rsidRPr="000716D6">
        <w:rPr>
          <w:rFonts w:eastAsiaTheme="majorEastAsia"/>
          <w:i/>
          <w:iCs/>
        </w:rPr>
        <w:t>n</w:t>
      </w:r>
      <w:r w:rsidRPr="000716D6">
        <w:rPr>
          <w:rFonts w:eastAsiaTheme="majorEastAsia"/>
        </w:rPr>
        <w:t xml:space="preserve"> puede ser un valor que oscila entre 1 y 8.000. </w:t>
      </w:r>
      <w:proofErr w:type="spellStart"/>
      <w:r w:rsidRPr="000716D6">
        <w:rPr>
          <w:rFonts w:eastAsiaTheme="majorEastAsia"/>
          <w:b/>
          <w:bCs/>
        </w:rPr>
        <w:t>max</w:t>
      </w:r>
      <w:proofErr w:type="spellEnd"/>
      <w:r w:rsidRPr="000716D6">
        <w:rPr>
          <w:rFonts w:eastAsiaTheme="majorEastAsia"/>
        </w:rPr>
        <w:t xml:space="preserve"> indica que el tamaño máximo de almacenamiento es de 2^31-1 bytes. El tamaño de almacenamiento es la longitud real de los </w:t>
      </w:r>
      <w:r w:rsidRPr="000716D6">
        <w:rPr>
          <w:rFonts w:eastAsiaTheme="majorEastAsia"/>
        </w:rPr>
        <w:t xml:space="preserve">datos especificados + 2 bytes. </w:t>
      </w:r>
    </w:p>
    <w:p w:rsidR="00000000" w:rsidRPr="000716D6" w:rsidRDefault="00272682" w:rsidP="000716D6">
      <w:pPr>
        <w:numPr>
          <w:ilvl w:val="0"/>
          <w:numId w:val="35"/>
        </w:numPr>
        <w:rPr>
          <w:rFonts w:eastAsiaTheme="majorEastAsia"/>
        </w:rPr>
      </w:pPr>
      <w:proofErr w:type="spellStart"/>
      <w:r w:rsidRPr="000716D6">
        <w:rPr>
          <w:rFonts w:eastAsiaTheme="majorEastAsia"/>
          <w:b/>
          <w:bCs/>
        </w:rPr>
        <w:t>image</w:t>
      </w:r>
      <w:proofErr w:type="spellEnd"/>
      <w:r w:rsidRPr="000716D6">
        <w:rPr>
          <w:rFonts w:eastAsiaTheme="majorEastAsia"/>
        </w:rPr>
        <w:t xml:space="preserve"> Se quitará en versiones futuras.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  <w:b/>
          <w:bCs/>
          <w:i/>
          <w:iCs/>
        </w:rPr>
        <w:t xml:space="preserve">Binary.sql </w:t>
      </w:r>
    </w:p>
    <w:p w:rsidR="000716D6" w:rsidRPr="000716D6" w:rsidRDefault="000716D6" w:rsidP="000716D6">
      <w:pPr>
        <w:pStyle w:val="Ttulo1"/>
      </w:pPr>
      <w:r w:rsidRPr="000716D6">
        <w:t>Otros tipos de datos</w:t>
      </w:r>
    </w:p>
    <w:p w:rsidR="00000000" w:rsidRPr="000716D6" w:rsidRDefault="00272682" w:rsidP="000716D6">
      <w:pPr>
        <w:numPr>
          <w:ilvl w:val="0"/>
          <w:numId w:val="37"/>
        </w:numPr>
        <w:rPr>
          <w:rFonts w:eastAsiaTheme="majorEastAsia"/>
        </w:rPr>
      </w:pPr>
      <w:r w:rsidRPr="000716D6">
        <w:rPr>
          <w:rFonts w:eastAsiaTheme="majorEastAsia"/>
        </w:rPr>
        <w:t xml:space="preserve">cursor </w:t>
      </w:r>
    </w:p>
    <w:p w:rsidR="00000000" w:rsidRPr="000716D6" w:rsidRDefault="00272682" w:rsidP="000716D6">
      <w:pPr>
        <w:numPr>
          <w:ilvl w:val="0"/>
          <w:numId w:val="37"/>
        </w:numPr>
        <w:rPr>
          <w:rFonts w:eastAsiaTheme="majorEastAsia"/>
        </w:rPr>
      </w:pPr>
      <w:proofErr w:type="spellStart"/>
      <w:r w:rsidRPr="000716D6">
        <w:rPr>
          <w:rFonts w:eastAsiaTheme="majorEastAsia"/>
        </w:rPr>
        <w:t>timestamp</w:t>
      </w:r>
      <w:proofErr w:type="spellEnd"/>
      <w:r w:rsidRPr="000716D6">
        <w:rPr>
          <w:rFonts w:eastAsiaTheme="majorEastAsia"/>
        </w:rPr>
        <w:t xml:space="preserve"> </w:t>
      </w:r>
    </w:p>
    <w:p w:rsidR="00000000" w:rsidRPr="000716D6" w:rsidRDefault="00272682" w:rsidP="000716D6">
      <w:pPr>
        <w:numPr>
          <w:ilvl w:val="0"/>
          <w:numId w:val="37"/>
        </w:numPr>
        <w:rPr>
          <w:rFonts w:eastAsiaTheme="majorEastAsia"/>
        </w:rPr>
      </w:pPr>
      <w:proofErr w:type="spellStart"/>
      <w:r w:rsidRPr="000716D6">
        <w:rPr>
          <w:rFonts w:eastAsiaTheme="majorEastAsia"/>
        </w:rPr>
        <w:t>hierarchyid</w:t>
      </w:r>
      <w:proofErr w:type="spellEnd"/>
      <w:r w:rsidRPr="000716D6">
        <w:rPr>
          <w:rFonts w:eastAsiaTheme="majorEastAsia"/>
        </w:rPr>
        <w:t xml:space="preserve"> </w:t>
      </w:r>
    </w:p>
    <w:p w:rsidR="00000000" w:rsidRPr="000716D6" w:rsidRDefault="00272682" w:rsidP="000716D6">
      <w:pPr>
        <w:numPr>
          <w:ilvl w:val="0"/>
          <w:numId w:val="37"/>
        </w:numPr>
        <w:rPr>
          <w:rFonts w:eastAsiaTheme="majorEastAsia"/>
        </w:rPr>
      </w:pPr>
      <w:proofErr w:type="spellStart"/>
      <w:r w:rsidRPr="000716D6">
        <w:rPr>
          <w:rFonts w:eastAsiaTheme="majorEastAsia"/>
        </w:rPr>
        <w:t>uniqueidentifier</w:t>
      </w:r>
      <w:proofErr w:type="spellEnd"/>
      <w:r w:rsidRPr="000716D6">
        <w:rPr>
          <w:rFonts w:eastAsiaTheme="majorEastAsia"/>
        </w:rPr>
        <w:t xml:space="preserve"> </w:t>
      </w:r>
    </w:p>
    <w:p w:rsidR="00000000" w:rsidRPr="000716D6" w:rsidRDefault="00272682" w:rsidP="000716D6">
      <w:pPr>
        <w:numPr>
          <w:ilvl w:val="0"/>
          <w:numId w:val="37"/>
        </w:numPr>
        <w:rPr>
          <w:rFonts w:eastAsiaTheme="majorEastAsia"/>
        </w:rPr>
      </w:pPr>
      <w:proofErr w:type="spellStart"/>
      <w:r w:rsidRPr="000716D6">
        <w:rPr>
          <w:rFonts w:eastAsiaTheme="majorEastAsia"/>
        </w:rPr>
        <w:t>sql_variant</w:t>
      </w:r>
      <w:proofErr w:type="spellEnd"/>
      <w:r w:rsidRPr="000716D6">
        <w:rPr>
          <w:rFonts w:eastAsiaTheme="majorEastAsia"/>
        </w:rPr>
        <w:t xml:space="preserve"> </w:t>
      </w:r>
    </w:p>
    <w:p w:rsidR="00000000" w:rsidRPr="000716D6" w:rsidRDefault="00272682" w:rsidP="000716D6">
      <w:pPr>
        <w:numPr>
          <w:ilvl w:val="0"/>
          <w:numId w:val="37"/>
        </w:numPr>
        <w:rPr>
          <w:rFonts w:eastAsiaTheme="majorEastAsia"/>
        </w:rPr>
      </w:pPr>
      <w:proofErr w:type="spellStart"/>
      <w:r w:rsidRPr="000716D6">
        <w:rPr>
          <w:rFonts w:eastAsiaTheme="majorEastAsia"/>
        </w:rPr>
        <w:t>xml</w:t>
      </w:r>
      <w:proofErr w:type="spellEnd"/>
      <w:r w:rsidRPr="000716D6">
        <w:rPr>
          <w:rFonts w:eastAsiaTheme="majorEastAsia"/>
        </w:rPr>
        <w:t xml:space="preserve"> </w:t>
      </w:r>
    </w:p>
    <w:p w:rsidR="00000000" w:rsidRPr="000716D6" w:rsidRDefault="00272682" w:rsidP="000716D6">
      <w:pPr>
        <w:numPr>
          <w:ilvl w:val="0"/>
          <w:numId w:val="37"/>
        </w:numPr>
        <w:rPr>
          <w:rFonts w:eastAsiaTheme="majorEastAsia"/>
        </w:rPr>
      </w:pPr>
      <w:proofErr w:type="spellStart"/>
      <w:r w:rsidRPr="000716D6">
        <w:rPr>
          <w:rFonts w:eastAsiaTheme="majorEastAsia"/>
        </w:rPr>
        <w:t>table</w:t>
      </w:r>
      <w:proofErr w:type="spellEnd"/>
      <w:r w:rsidRPr="000716D6">
        <w:rPr>
          <w:rFonts w:eastAsiaTheme="majorEastAsia"/>
        </w:rPr>
        <w:t xml:space="preserve"> </w:t>
      </w:r>
    </w:p>
    <w:p w:rsidR="000716D6" w:rsidRDefault="000716D6">
      <w:pPr>
        <w:spacing w:after="200"/>
        <w:rPr>
          <w:rFonts w:asciiTheme="majorHAnsi" w:eastAsiaTheme="majorEastAsia" w:hAnsiTheme="majorHAnsi" w:cstheme="majorBidi"/>
          <w:b/>
          <w:bCs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000000" w:rsidRPr="000716D6" w:rsidRDefault="00272682" w:rsidP="000716D6">
      <w:pPr>
        <w:pStyle w:val="Ttulo1"/>
      </w:pPr>
      <w:r w:rsidRPr="000716D6">
        <w:lastRenderedPageBreak/>
        <w:t xml:space="preserve">Variables 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>Existen dos tipos de variables:</w:t>
      </w:r>
    </w:p>
    <w:p w:rsidR="00000000" w:rsidRPr="000716D6" w:rsidRDefault="00272682" w:rsidP="000716D6">
      <w:pPr>
        <w:numPr>
          <w:ilvl w:val="0"/>
          <w:numId w:val="38"/>
        </w:numPr>
        <w:rPr>
          <w:rFonts w:eastAsiaTheme="majorEastAsia"/>
        </w:rPr>
      </w:pPr>
      <w:r w:rsidRPr="000716D6">
        <w:rPr>
          <w:rFonts w:eastAsiaTheme="majorEastAsia"/>
          <w:b/>
          <w:bCs/>
        </w:rPr>
        <w:t>Variables de usuario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>Se declaran con la sentencia DECLARE y se nombran precedidas con el símbolo @</w:t>
      </w:r>
    </w:p>
    <w:p w:rsidR="00000000" w:rsidRPr="000716D6" w:rsidRDefault="00272682" w:rsidP="000716D6">
      <w:pPr>
        <w:numPr>
          <w:ilvl w:val="0"/>
          <w:numId w:val="39"/>
        </w:numPr>
        <w:rPr>
          <w:rFonts w:eastAsiaTheme="majorEastAsia"/>
        </w:rPr>
      </w:pPr>
      <w:r w:rsidRPr="000716D6">
        <w:rPr>
          <w:rFonts w:eastAsiaTheme="majorEastAsia"/>
          <w:b/>
          <w:bCs/>
        </w:rPr>
        <w:t>Variables de sistema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>Sus nombres comienzan con @@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 xml:space="preserve">En </w:t>
      </w:r>
      <w:proofErr w:type="spellStart"/>
      <w:r w:rsidRPr="000716D6">
        <w:rPr>
          <w:rFonts w:eastAsiaTheme="majorEastAsia"/>
        </w:rPr>
        <w:t>Transact</w:t>
      </w:r>
      <w:proofErr w:type="spellEnd"/>
      <w:r w:rsidRPr="000716D6">
        <w:rPr>
          <w:rFonts w:eastAsiaTheme="majorEastAsia"/>
        </w:rPr>
        <w:t xml:space="preserve"> son admitidas las declaraciones implícitas aunque no son recomendables.</w:t>
      </w:r>
    </w:p>
    <w:p w:rsidR="000716D6" w:rsidRPr="000716D6" w:rsidRDefault="000716D6" w:rsidP="000716D6">
      <w:pPr>
        <w:rPr>
          <w:rFonts w:eastAsiaTheme="majorEastAsia"/>
        </w:rPr>
      </w:pPr>
      <w:r w:rsidRPr="000716D6">
        <w:rPr>
          <w:rFonts w:eastAsiaTheme="majorEastAsia"/>
        </w:rPr>
        <w:t xml:space="preserve">Existe un gran nivel de compatibilidad entre los tipos de datos de las columnas y los de las variables. </w:t>
      </w:r>
    </w:p>
    <w:p w:rsidR="000716D6" w:rsidRPr="006C7F70" w:rsidRDefault="000716D6" w:rsidP="000716D6">
      <w:pPr>
        <w:rPr>
          <w:rFonts w:eastAsiaTheme="majorEastAsia"/>
        </w:rPr>
      </w:pPr>
    </w:p>
    <w:p w:rsidR="002F7863" w:rsidRPr="006C7F70" w:rsidRDefault="002F7863" w:rsidP="002F7863">
      <w:pPr>
        <w:rPr>
          <w:rFonts w:eastAsiaTheme="majorEastAsia"/>
          <w:bCs/>
        </w:rPr>
      </w:pPr>
    </w:p>
    <w:p w:rsidR="00051E42" w:rsidRPr="006C7F70" w:rsidRDefault="00051E42" w:rsidP="004B6753"/>
    <w:p w:rsidR="00C74B6F" w:rsidRPr="006C7F70" w:rsidRDefault="00383F4B" w:rsidP="00C74B6F">
      <w:pPr>
        <w:pStyle w:val="Ttulo1"/>
        <w:rPr>
          <w:b w:val="0"/>
        </w:rPr>
      </w:pPr>
      <w:r w:rsidRPr="006C7F70">
        <w:rPr>
          <w:b w:val="0"/>
        </w:rPr>
        <w:t>M</w:t>
      </w:r>
      <w:r w:rsidR="00C74B6F" w:rsidRPr="006C7F70">
        <w:rPr>
          <w:b w:val="0"/>
        </w:rPr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08"/>
        <w:gridCol w:w="3998"/>
      </w:tblGrid>
      <w:tr w:rsidR="00C74B6F" w:rsidRPr="006C7F70" w:rsidTr="009C7C33">
        <w:trPr>
          <w:trHeight w:val="271"/>
        </w:trPr>
        <w:tc>
          <w:tcPr>
            <w:tcW w:w="2875" w:type="pct"/>
          </w:tcPr>
          <w:p w:rsidR="00C74B6F" w:rsidRPr="006C7F70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6C7F70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  20001 Donostia</w:t>
            </w:r>
          </w:p>
          <w:p w:rsidR="00C74B6F" w:rsidRPr="000716D6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6C7F70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0716D6">
              <w:rPr>
                <w:rFonts w:ascii="Calibri" w:eastAsia="Times New Roman" w:hAnsi="Calibri" w:cs="Calibri"/>
                <w:color w:val="auto"/>
                <w:lang w:eastAsia="es-ES"/>
              </w:rPr>
              <w:t>Telf.: 943 275819</w:t>
            </w:r>
          </w:p>
          <w:p w:rsidR="00C74B6F" w:rsidRPr="000716D6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0716D6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email: </w:t>
            </w:r>
            <w:hyperlink r:id="rId11" w:history="1">
              <w:r w:rsidRPr="000716D6">
                <w:rPr>
                  <w:rFonts w:ascii="Calibri" w:eastAsia="Times New Roman" w:hAnsi="Calibri" w:cs="Calibri"/>
                  <w:color w:val="auto"/>
                  <w:spacing w:val="40"/>
                  <w:lang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0716D6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eastAsia="es-ES"/>
              </w:rPr>
            </w:pPr>
          </w:p>
        </w:tc>
      </w:tr>
    </w:tbl>
    <w:p w:rsidR="00C74B6F" w:rsidRPr="000716D6" w:rsidRDefault="00C74B6F" w:rsidP="004B6753"/>
    <w:p w:rsidR="004B6753" w:rsidRPr="000716D6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eastAsia="es-ES"/>
        </w:rPr>
        <w:sectPr w:rsidR="004B6753" w:rsidRPr="000716D6" w:rsidSect="00ED3F6F">
          <w:footerReference w:type="even" r:id="rId12"/>
          <w:footerReference w:type="default" r:id="rId13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6C7F70" w:rsidRDefault="000403EF" w:rsidP="004B6753">
      <w:pPr>
        <w:spacing w:after="150" w:line="240" w:lineRule="auto"/>
      </w:pPr>
      <w:r w:rsidRPr="006C7F70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6C7F70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682" w:rsidRDefault="00272682">
      <w:pPr>
        <w:spacing w:after="0" w:line="240" w:lineRule="auto"/>
      </w:pPr>
      <w:r>
        <w:separator/>
      </w:r>
    </w:p>
  </w:endnote>
  <w:endnote w:type="continuationSeparator" w:id="0">
    <w:p w:rsidR="00272682" w:rsidRDefault="0027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01F" w:rsidRDefault="000E44B7">
    <w:pPr>
      <w:pStyle w:val="Piedepgina"/>
    </w:pPr>
    <w:r>
      <w:rPr>
        <w:noProof/>
        <w:lang w:eastAsia="es-ES"/>
      </w:rPr>
      <w:pict>
        <v:rect id="Rectangle 23" o:spid="_x0000_s4102" style="position:absolute;margin-left:0;margin-top:0;width:41.85pt;height:721.45pt;z-index:251673600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<v:textbox style="layout-flow:vertical;mso-layout-flow-alt:bottom-to-top" inset=",,8.64pt,10.8pt">
            <w:txbxContent>
              <w:p w:rsidR="0085701F" w:rsidRDefault="0085701F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lang w:eastAsia="es-ES"/>
      </w:rPr>
      <w:pict>
        <v:roundrect id="AutoShape 24" o:spid="_x0000_s4101" style="position:absolute;margin-left:0;margin-top:0;width:545.75pt;height:790.15pt;z-index:25167462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<w10:wrap anchorx="page" anchory="page"/>
        </v:roundrect>
      </w:pict>
    </w:r>
    <w:r>
      <w:rPr>
        <w:noProof/>
        <w:lang w:eastAsia="es-ES"/>
      </w:rPr>
      <w:pict>
        <v:oval id="Oval 22" o:spid="_x0000_s4100" style="position:absolute;margin-left:0;margin-top:0;width:41pt;height:41pt;z-index:251672576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<v:textbox inset="0,0,0,0">
            <w:txbxContent>
              <w:p w:rsidR="0085701F" w:rsidRDefault="000E44B7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0E44B7">
                  <w:fldChar w:fldCharType="begin"/>
                </w:r>
                <w:r w:rsidR="0085701F">
                  <w:instrText xml:space="preserve"> PAGE  \* Arabic  \* MERGEFORMAT </w:instrText>
                </w:r>
                <w:r w:rsidRPr="000E44B7">
                  <w:fldChar w:fldCharType="separate"/>
                </w:r>
                <w:r w:rsidR="00523549" w:rsidRPr="00523549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01F" w:rsidRDefault="000E44B7">
    <w:pPr>
      <w:rPr>
        <w:sz w:val="20"/>
        <w:szCs w:val="20"/>
      </w:rPr>
    </w:pPr>
    <w:r w:rsidRPr="000E44B7">
      <w:rPr>
        <w:noProof/>
        <w:sz w:val="10"/>
        <w:szCs w:val="20"/>
        <w:lang w:eastAsia="es-ES"/>
      </w:rPr>
      <w:pict>
        <v:rect id="Rectangle 21" o:spid="_x0000_s4099" style="position:absolute;margin-left:23.05pt;margin-top:0;width:46.85pt;height:721.45pt;z-index:251670528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<v:textbox style="layout-flow:vertical;mso-layout-flow-alt:bottom-to-top" inset=",,8.64pt,10.8pt">
            <w:txbxContent>
              <w:p w:rsidR="0085701F" w:rsidRDefault="0085701F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  <w:lang w:eastAsia="es-ES"/>
      </w:rPr>
      <w:pict>
        <v:roundrect id="AutoShape 20" o:spid="_x0000_s4098" style="position:absolute;margin-left:0;margin-top:0;width:545.75pt;height:790.15pt;z-index:25166950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<w10:wrap anchorx="page" anchory="page"/>
        </v:roundrect>
      </w:pict>
    </w:r>
    <w:r>
      <w:rPr>
        <w:noProof/>
        <w:sz w:val="20"/>
        <w:szCs w:val="20"/>
        <w:lang w:eastAsia="es-ES"/>
      </w:rPr>
      <w:pict>
        <v:oval id="Oval 19" o:spid="_x0000_s4097" style="position:absolute;margin-left:-6.2pt;margin-top:0;width:41pt;height:41pt;z-index:251668480;visibility:visible;mso-position-horizontal:right;mso-position-horizontal-relative:lef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<v:textbox inset="0,0,0,0">
            <w:txbxContent>
              <w:p w:rsidR="0085701F" w:rsidRDefault="000E44B7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0E44B7">
                  <w:fldChar w:fldCharType="begin"/>
                </w:r>
                <w:r w:rsidR="0085701F">
                  <w:instrText xml:space="preserve"> PAGE  \* Arabic  \* MERGEFORMAT </w:instrText>
                </w:r>
                <w:r w:rsidRPr="000E44B7">
                  <w:fldChar w:fldCharType="separate"/>
                </w:r>
                <w:r w:rsidR="00523549" w:rsidRPr="00523549">
                  <w:rPr>
                    <w:noProof/>
                    <w:color w:val="FFFFFF" w:themeColor="background1"/>
                    <w:sz w:val="40"/>
                    <w:szCs w:val="40"/>
                  </w:rPr>
                  <w:t>3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85701F" w:rsidRDefault="0085701F">
    <w:pPr>
      <w:pStyle w:val="Piedepgina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682" w:rsidRDefault="00272682">
      <w:pPr>
        <w:spacing w:after="0" w:line="240" w:lineRule="auto"/>
      </w:pPr>
      <w:r>
        <w:separator/>
      </w:r>
    </w:p>
  </w:footnote>
  <w:footnote w:type="continuationSeparator" w:id="0">
    <w:p w:rsidR="00272682" w:rsidRDefault="00272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1EA23A0"/>
    <w:multiLevelType w:val="hybridMultilevel"/>
    <w:tmpl w:val="B55ABDEC"/>
    <w:lvl w:ilvl="0" w:tplc="9DECEE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7895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DCF0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3CC1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C27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2087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CC59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00E1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CCC5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3922161"/>
    <w:multiLevelType w:val="hybridMultilevel"/>
    <w:tmpl w:val="76D2C5AC"/>
    <w:lvl w:ilvl="0" w:tplc="EB105B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B27A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5E4A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727C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C23B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C446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76E8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2229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1CBF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59D7C80"/>
    <w:multiLevelType w:val="hybridMultilevel"/>
    <w:tmpl w:val="0E8208C2"/>
    <w:lvl w:ilvl="0" w:tplc="70026A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260D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564B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AC4B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9815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869F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D8D5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606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68C6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08E8511D"/>
    <w:multiLevelType w:val="hybridMultilevel"/>
    <w:tmpl w:val="F9CE0280"/>
    <w:lvl w:ilvl="0" w:tplc="3E1AFF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3013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F0F4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1A4D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78F6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54B7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AE4A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D092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5C89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0CE43085"/>
    <w:multiLevelType w:val="hybridMultilevel"/>
    <w:tmpl w:val="26887254"/>
    <w:lvl w:ilvl="0" w:tplc="9E3620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EA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ACE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CD5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8E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C6D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6E3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41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D8F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EE47B8B"/>
    <w:multiLevelType w:val="hybridMultilevel"/>
    <w:tmpl w:val="9EE41CD6"/>
    <w:lvl w:ilvl="0" w:tplc="94284C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9E60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DA3E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7019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DABE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3295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0864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6C26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465D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14E306EA"/>
    <w:multiLevelType w:val="hybridMultilevel"/>
    <w:tmpl w:val="FFA88814"/>
    <w:lvl w:ilvl="0" w:tplc="09FE99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B485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26E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0A96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BA24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60F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28C4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F664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F22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16404739"/>
    <w:multiLevelType w:val="hybridMultilevel"/>
    <w:tmpl w:val="517444DA"/>
    <w:lvl w:ilvl="0" w:tplc="EB4A0B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129C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C422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B858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7AF8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7EC5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F83D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B2C7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68C9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3C45FF2"/>
    <w:multiLevelType w:val="hybridMultilevel"/>
    <w:tmpl w:val="049E846C"/>
    <w:lvl w:ilvl="0" w:tplc="B82859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F234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BEDF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F06B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2CC8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3447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CEA2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3C5F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0E44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7214BC5"/>
    <w:multiLevelType w:val="hybridMultilevel"/>
    <w:tmpl w:val="290860E4"/>
    <w:lvl w:ilvl="0" w:tplc="9CBE90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5061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6EE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90EB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C89B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F201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A875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A2FE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84B8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78A0DD5"/>
    <w:multiLevelType w:val="hybridMultilevel"/>
    <w:tmpl w:val="AE9C3870"/>
    <w:lvl w:ilvl="0" w:tplc="6C7655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AA65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0C60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8891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DE26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44D9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5C62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A855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BEA3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5065967"/>
    <w:multiLevelType w:val="hybridMultilevel"/>
    <w:tmpl w:val="39B0A122"/>
    <w:lvl w:ilvl="0" w:tplc="0BB8E0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9053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3CF3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E8C5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BCF5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BAD0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6A32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E69B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04A5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50C3883"/>
    <w:multiLevelType w:val="hybridMultilevel"/>
    <w:tmpl w:val="7AE88D82"/>
    <w:lvl w:ilvl="0" w:tplc="1FEE67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BEA2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1A13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2D9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A50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342C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0048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AC8E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A6D4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AE343E8"/>
    <w:multiLevelType w:val="hybridMultilevel"/>
    <w:tmpl w:val="C0EA8BF2"/>
    <w:lvl w:ilvl="0" w:tplc="4EA439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F48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DC6A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C022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E618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E627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E848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58FC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D657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2F33387"/>
    <w:multiLevelType w:val="hybridMultilevel"/>
    <w:tmpl w:val="188290E2"/>
    <w:lvl w:ilvl="0" w:tplc="A9BE8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80DA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A282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72D6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583B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CA28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00E7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6A94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A8CD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7484F06"/>
    <w:multiLevelType w:val="hybridMultilevel"/>
    <w:tmpl w:val="D42420B6"/>
    <w:lvl w:ilvl="0" w:tplc="33A820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8CE7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2617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927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18F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36C6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1C24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723F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5070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A4B6394"/>
    <w:multiLevelType w:val="hybridMultilevel"/>
    <w:tmpl w:val="E0D27A02"/>
    <w:lvl w:ilvl="0" w:tplc="FFCCD9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7E1E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D467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4C17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7ECF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7A3D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7AE6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C667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2CA3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A782A9B"/>
    <w:multiLevelType w:val="hybridMultilevel"/>
    <w:tmpl w:val="59EC41E4"/>
    <w:lvl w:ilvl="0" w:tplc="22C8CE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1806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9873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12F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68EF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00C3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3620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6AF1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A2A5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AE56D8B"/>
    <w:multiLevelType w:val="hybridMultilevel"/>
    <w:tmpl w:val="7146F436"/>
    <w:lvl w:ilvl="0" w:tplc="62A83F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4444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DE84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BEE2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1EB4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18EF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D2C0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1CB5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A8C2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4B7C24D9"/>
    <w:multiLevelType w:val="hybridMultilevel"/>
    <w:tmpl w:val="950C9858"/>
    <w:lvl w:ilvl="0" w:tplc="E06622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02A9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9C96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42A4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A00C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8273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2A53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74C2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74DF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4CE00259"/>
    <w:multiLevelType w:val="hybridMultilevel"/>
    <w:tmpl w:val="78BA10A8"/>
    <w:lvl w:ilvl="0" w:tplc="61E4C7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884F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504D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36E2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F6C0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3AFE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BE3C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4AA7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821B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4DE34DF6"/>
    <w:multiLevelType w:val="hybridMultilevel"/>
    <w:tmpl w:val="470C1D4A"/>
    <w:lvl w:ilvl="0" w:tplc="17347C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F0D4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626D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C273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667A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1038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A031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EE83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E0D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4EF84F4F"/>
    <w:multiLevelType w:val="hybridMultilevel"/>
    <w:tmpl w:val="9FE0DF1C"/>
    <w:lvl w:ilvl="0" w:tplc="E66087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CA09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1045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3A85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4843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645E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620D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C413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2C4D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581D063F"/>
    <w:multiLevelType w:val="hybridMultilevel"/>
    <w:tmpl w:val="9C96BEB4"/>
    <w:lvl w:ilvl="0" w:tplc="9E8620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041F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800F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6081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0032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FA2C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4671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2CA9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A09B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5C5A33CF"/>
    <w:multiLevelType w:val="hybridMultilevel"/>
    <w:tmpl w:val="9336FB5A"/>
    <w:lvl w:ilvl="0" w:tplc="300EDC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FC50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540A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EAA2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507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5226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D25E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E2EF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7C4D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637249C4"/>
    <w:multiLevelType w:val="hybridMultilevel"/>
    <w:tmpl w:val="705CE620"/>
    <w:lvl w:ilvl="0" w:tplc="EC26EB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FA83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1610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C8E7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26A9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5884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8AAD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C86C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0823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652518BE"/>
    <w:multiLevelType w:val="hybridMultilevel"/>
    <w:tmpl w:val="C4929E96"/>
    <w:lvl w:ilvl="0" w:tplc="57E69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5838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003D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B65A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6C22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6A56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216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F62F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867A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6FEE3C3E"/>
    <w:multiLevelType w:val="hybridMultilevel"/>
    <w:tmpl w:val="CA50F42C"/>
    <w:lvl w:ilvl="0" w:tplc="CEB691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BCAB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AC8D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187F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A8E2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588A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48C9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D6B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7859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4A40E09"/>
    <w:multiLevelType w:val="hybridMultilevel"/>
    <w:tmpl w:val="450A23C8"/>
    <w:lvl w:ilvl="0" w:tplc="0A7C84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4052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0844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3A1A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94F7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0D9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9CC2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6A7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D2F6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76DE72E8"/>
    <w:multiLevelType w:val="hybridMultilevel"/>
    <w:tmpl w:val="D916C058"/>
    <w:lvl w:ilvl="0" w:tplc="7C46EA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9CC8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E065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5406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240A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8EF6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82CA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48B4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BA19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99815DA"/>
    <w:multiLevelType w:val="hybridMultilevel"/>
    <w:tmpl w:val="12F2493C"/>
    <w:lvl w:ilvl="0" w:tplc="D6681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2418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D409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6E60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70EE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F4BD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E4A9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B090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1CD3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D2C47A7"/>
    <w:multiLevelType w:val="hybridMultilevel"/>
    <w:tmpl w:val="49966F46"/>
    <w:lvl w:ilvl="0" w:tplc="38965C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5082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B62D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B667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0209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E22C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F4BF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969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0A2F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E4B5B7C"/>
    <w:multiLevelType w:val="hybridMultilevel"/>
    <w:tmpl w:val="F5BE1476"/>
    <w:lvl w:ilvl="0" w:tplc="5CC8C9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DE8C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902F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AF7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34CB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1C6A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34E1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7043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D4B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7ED345CF"/>
    <w:multiLevelType w:val="hybridMultilevel"/>
    <w:tmpl w:val="9F60C9C0"/>
    <w:lvl w:ilvl="0" w:tplc="825695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942D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2ED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54FA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D0F2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2CA3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E832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6C15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EE5C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11"/>
  </w:num>
  <w:num w:numId="10">
    <w:abstractNumId w:val="7"/>
  </w:num>
  <w:num w:numId="11">
    <w:abstractNumId w:val="21"/>
  </w:num>
  <w:num w:numId="12">
    <w:abstractNumId w:val="22"/>
  </w:num>
  <w:num w:numId="13">
    <w:abstractNumId w:val="35"/>
  </w:num>
  <w:num w:numId="14">
    <w:abstractNumId w:val="25"/>
  </w:num>
  <w:num w:numId="15">
    <w:abstractNumId w:val="6"/>
  </w:num>
  <w:num w:numId="16">
    <w:abstractNumId w:val="18"/>
  </w:num>
  <w:num w:numId="17">
    <w:abstractNumId w:val="23"/>
  </w:num>
  <w:num w:numId="18">
    <w:abstractNumId w:val="29"/>
  </w:num>
  <w:num w:numId="19">
    <w:abstractNumId w:val="31"/>
  </w:num>
  <w:num w:numId="20">
    <w:abstractNumId w:val="37"/>
  </w:num>
  <w:num w:numId="21">
    <w:abstractNumId w:val="14"/>
  </w:num>
  <w:num w:numId="22">
    <w:abstractNumId w:val="24"/>
  </w:num>
  <w:num w:numId="23">
    <w:abstractNumId w:val="28"/>
  </w:num>
  <w:num w:numId="24">
    <w:abstractNumId w:val="20"/>
  </w:num>
  <w:num w:numId="25">
    <w:abstractNumId w:val="32"/>
  </w:num>
  <w:num w:numId="26">
    <w:abstractNumId w:val="8"/>
  </w:num>
  <w:num w:numId="27">
    <w:abstractNumId w:val="12"/>
  </w:num>
  <w:num w:numId="28">
    <w:abstractNumId w:val="19"/>
  </w:num>
  <w:num w:numId="29">
    <w:abstractNumId w:val="15"/>
  </w:num>
  <w:num w:numId="30">
    <w:abstractNumId w:val="27"/>
  </w:num>
  <w:num w:numId="31">
    <w:abstractNumId w:val="33"/>
  </w:num>
  <w:num w:numId="32">
    <w:abstractNumId w:val="26"/>
  </w:num>
  <w:num w:numId="33">
    <w:abstractNumId w:val="34"/>
  </w:num>
  <w:num w:numId="34">
    <w:abstractNumId w:val="17"/>
  </w:num>
  <w:num w:numId="35">
    <w:abstractNumId w:val="38"/>
  </w:num>
  <w:num w:numId="36">
    <w:abstractNumId w:val="10"/>
  </w:num>
  <w:num w:numId="37">
    <w:abstractNumId w:val="16"/>
  </w:num>
  <w:num w:numId="38">
    <w:abstractNumId w:val="36"/>
  </w:num>
  <w:num w:numId="39">
    <w:abstractNumId w:val="3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2F7C"/>
    <w:rsid w:val="0006484B"/>
    <w:rsid w:val="00070784"/>
    <w:rsid w:val="000716D6"/>
    <w:rsid w:val="000755D6"/>
    <w:rsid w:val="00090075"/>
    <w:rsid w:val="000A3958"/>
    <w:rsid w:val="000C0C9B"/>
    <w:rsid w:val="000C11F7"/>
    <w:rsid w:val="000C381D"/>
    <w:rsid w:val="000C3DE7"/>
    <w:rsid w:val="000D11D3"/>
    <w:rsid w:val="000E44B7"/>
    <w:rsid w:val="000E5D9C"/>
    <w:rsid w:val="000F3D9D"/>
    <w:rsid w:val="00106296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2682"/>
    <w:rsid w:val="0027465E"/>
    <w:rsid w:val="00275795"/>
    <w:rsid w:val="00287AA1"/>
    <w:rsid w:val="002974F8"/>
    <w:rsid w:val="002B7D02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329B5"/>
    <w:rsid w:val="00347897"/>
    <w:rsid w:val="003512FF"/>
    <w:rsid w:val="003552B3"/>
    <w:rsid w:val="00362C46"/>
    <w:rsid w:val="00370CAF"/>
    <w:rsid w:val="00373B0B"/>
    <w:rsid w:val="003774C8"/>
    <w:rsid w:val="003817A3"/>
    <w:rsid w:val="00383F4B"/>
    <w:rsid w:val="003B4E0E"/>
    <w:rsid w:val="003C23CE"/>
    <w:rsid w:val="003D4179"/>
    <w:rsid w:val="003E1C38"/>
    <w:rsid w:val="003E7137"/>
    <w:rsid w:val="003F25BF"/>
    <w:rsid w:val="00401C17"/>
    <w:rsid w:val="004042EA"/>
    <w:rsid w:val="004056AE"/>
    <w:rsid w:val="004069C7"/>
    <w:rsid w:val="00410CC1"/>
    <w:rsid w:val="00412F16"/>
    <w:rsid w:val="00421752"/>
    <w:rsid w:val="0042485F"/>
    <w:rsid w:val="004456F0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1916"/>
    <w:rsid w:val="004F4A84"/>
    <w:rsid w:val="004F5D8A"/>
    <w:rsid w:val="00505A3B"/>
    <w:rsid w:val="005117D3"/>
    <w:rsid w:val="0051319A"/>
    <w:rsid w:val="00523549"/>
    <w:rsid w:val="00532B43"/>
    <w:rsid w:val="00541AEB"/>
    <w:rsid w:val="0054441B"/>
    <w:rsid w:val="00544FB0"/>
    <w:rsid w:val="00551D7A"/>
    <w:rsid w:val="00557976"/>
    <w:rsid w:val="005616FE"/>
    <w:rsid w:val="00564D66"/>
    <w:rsid w:val="00567DD5"/>
    <w:rsid w:val="00567F29"/>
    <w:rsid w:val="005702B3"/>
    <w:rsid w:val="0057240C"/>
    <w:rsid w:val="00573781"/>
    <w:rsid w:val="005757EA"/>
    <w:rsid w:val="00576C80"/>
    <w:rsid w:val="00582B21"/>
    <w:rsid w:val="00583D77"/>
    <w:rsid w:val="005B48AC"/>
    <w:rsid w:val="005C43F3"/>
    <w:rsid w:val="005C6B66"/>
    <w:rsid w:val="005D5545"/>
    <w:rsid w:val="005E6778"/>
    <w:rsid w:val="005F14D5"/>
    <w:rsid w:val="005F35F1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1FC2"/>
    <w:rsid w:val="00677470"/>
    <w:rsid w:val="00682C2F"/>
    <w:rsid w:val="0069353B"/>
    <w:rsid w:val="006A5DE4"/>
    <w:rsid w:val="006B201A"/>
    <w:rsid w:val="006C7F70"/>
    <w:rsid w:val="006C7FA1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41FC"/>
    <w:rsid w:val="00734BA1"/>
    <w:rsid w:val="00750E82"/>
    <w:rsid w:val="00752019"/>
    <w:rsid w:val="00753EBA"/>
    <w:rsid w:val="007561FC"/>
    <w:rsid w:val="00757B09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802877"/>
    <w:rsid w:val="0080640B"/>
    <w:rsid w:val="008122EF"/>
    <w:rsid w:val="008209C7"/>
    <w:rsid w:val="008230AF"/>
    <w:rsid w:val="00832688"/>
    <w:rsid w:val="00833A53"/>
    <w:rsid w:val="00840C16"/>
    <w:rsid w:val="008450B9"/>
    <w:rsid w:val="00855474"/>
    <w:rsid w:val="00855763"/>
    <w:rsid w:val="0085701F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4572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0656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38D"/>
    <w:rsid w:val="00BF393F"/>
    <w:rsid w:val="00BF410D"/>
    <w:rsid w:val="00BF7FA6"/>
    <w:rsid w:val="00C04A89"/>
    <w:rsid w:val="00C06DB5"/>
    <w:rsid w:val="00C10D09"/>
    <w:rsid w:val="00C1650C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670C6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352D9"/>
    <w:rsid w:val="00E37A3D"/>
    <w:rsid w:val="00E46002"/>
    <w:rsid w:val="00E7191D"/>
    <w:rsid w:val="00E72F07"/>
    <w:rsid w:val="00E75643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17394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table" w:styleId="Listaclara-nfasis4">
    <w:name w:val="Light List Accent 4"/>
    <w:basedOn w:val="Tablanormal"/>
    <w:uiPriority w:val="61"/>
    <w:rsid w:val="004069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2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2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5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5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2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530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55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1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5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5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4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7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1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07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4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1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4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0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89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7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1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7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5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7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7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0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5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0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4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9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8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98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0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5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469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416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827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0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72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2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0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050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3257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315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48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335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8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7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1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4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3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11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60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0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285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250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3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8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5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1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1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2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0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7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9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1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7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8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4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27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33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118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8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6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3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2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1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4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95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7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9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9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8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6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58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779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406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7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9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5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1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5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2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9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8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8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0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5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2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7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11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6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8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3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7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1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7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3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3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3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0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5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2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345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635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400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0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31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39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2743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4088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018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920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24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2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7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3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8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0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179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589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5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2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4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9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3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2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5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8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6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3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09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61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10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9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8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94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6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3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2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8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0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9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9629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81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92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102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2065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469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905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37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411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34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3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6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9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3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0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8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070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084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6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4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5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5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77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48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4963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4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59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2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2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6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80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3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11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1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5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1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1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7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06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7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8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3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032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004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69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0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5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18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6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996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83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5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101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48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72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7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6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178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7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8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7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4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88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266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770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293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86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4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4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3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3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9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1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0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5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8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33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4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2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1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5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5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845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0143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8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62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903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980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33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im@centroseim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F98C2B35-0124-41E8-91C8-8F33EF3A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18</TotalTime>
  <Pages>7</Pages>
  <Words>1003</Words>
  <Characters>5520</Characters>
  <Application>Microsoft Office Word</Application>
  <DocSecurity>0</DocSecurity>
  <Lines>46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4</cp:revision>
  <cp:lastPrinted>2011-03-09T11:48:00Z</cp:lastPrinted>
  <dcterms:created xsi:type="dcterms:W3CDTF">2012-03-04T20:44:00Z</dcterms:created>
  <dcterms:modified xsi:type="dcterms:W3CDTF">2012-03-04T21:02:00Z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