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ESG Stakeholder Interview and Requirements Guide</w:t>
      </w:r>
    </w:p>
    <w:p>
      <w:pPr>
        <w:spacing w:after="320"/>
      </w:pPr>
      <w:r>
        <w:rPr>
          <w:b/>
          <w:sz w:val="28"/>
        </w:rPr>
        <w:t>Financed emissions data and reporting 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2232"/>
            <w:shd w:fill="1F4E78"/>
            <w:tcMar>
              <w:top w:w="65" w:type="dxa"/>
              <w:start w:w="90" w:type="dxa"/>
              <w:bottom w:w="65" w:type="dxa"/>
              <w:end w:w="90" w:type="dxa"/>
            </w:tcMar>
            <w:vAlign w:val="center"/>
          </w:tcPr>
          <w:p>
            <w:r>
              <w:rPr>
                <w:b/>
                <w:color w:val="FFFFFF"/>
                <w:sz w:val="18"/>
              </w:rPr>
              <w:t>Document field</w:t>
            </w:r>
          </w:p>
        </w:tc>
        <w:tc>
          <w:tcPr>
            <w:tcW w:type="dxa" w:w="7704"/>
            <w:shd w:fill="1F4E78"/>
            <w:tcMar>
              <w:top w:w="65" w:type="dxa"/>
              <w:start w:w="90" w:type="dxa"/>
              <w:bottom w:w="65" w:type="dxa"/>
              <w:end w:w="90" w:type="dxa"/>
            </w:tcMar>
            <w:vAlign w:val="center"/>
          </w:tcPr>
          <w:p>
            <w:r>
              <w:rPr>
                <w:b/>
                <w:color w:val="FFFFFF"/>
                <w:sz w:val="18"/>
              </w:rPr>
              <w:t>Value</w:t>
            </w:r>
          </w:p>
        </w:tc>
      </w:tr>
      <w:tr>
        <w:tc>
          <w:tcPr>
            <w:tcW w:type="dxa" w:w="2232"/>
            <w:shd w:fill="FFFFFF"/>
            <w:tcMar>
              <w:top w:w="65" w:type="dxa"/>
              <w:start w:w="90" w:type="dxa"/>
              <w:bottom w:w="65" w:type="dxa"/>
              <w:end w:w="90" w:type="dxa"/>
            </w:tcMar>
            <w:vAlign w:val="center"/>
          </w:tcPr>
          <w:p>
            <w:pPr>
              <w:spacing w:after="0" w:line="240" w:lineRule="auto"/>
            </w:pPr>
            <w:r>
              <w:rPr>
                <w:sz w:val="18"/>
              </w:rPr>
              <w:t>Project</w:t>
            </w:r>
          </w:p>
        </w:tc>
        <w:tc>
          <w:tcPr>
            <w:tcW w:type="dxa" w:w="7704"/>
            <w:shd w:fill="FFFFFF"/>
            <w:tcMar>
              <w:top w:w="65" w:type="dxa"/>
              <w:start w:w="90" w:type="dxa"/>
              <w:bottom w:w="65" w:type="dxa"/>
              <w:end w:w="90" w:type="dxa"/>
            </w:tcMar>
            <w:vAlign w:val="center"/>
          </w:tcPr>
          <w:p>
            <w:pPr>
              <w:spacing w:after="0" w:line="240" w:lineRule="auto"/>
            </w:pPr>
            <w:r>
              <w:rPr>
                <w:sz w:val="18"/>
              </w:rPr>
              <w:t>Hanseatic Development Bank ESG financed emissions reporting</w:t>
            </w:r>
          </w:p>
        </w:tc>
      </w:tr>
      <w:tr>
        <w:tc>
          <w:tcPr>
            <w:tcW w:type="dxa" w:w="2232"/>
            <w:shd w:fill="EAF2F8"/>
            <w:tcMar>
              <w:top w:w="65" w:type="dxa"/>
              <w:start w:w="90" w:type="dxa"/>
              <w:bottom w:w="65" w:type="dxa"/>
              <w:end w:w="90" w:type="dxa"/>
            </w:tcMar>
            <w:vAlign w:val="center"/>
          </w:tcPr>
          <w:p>
            <w:pPr>
              <w:spacing w:after="0" w:line="240" w:lineRule="auto"/>
            </w:pPr>
            <w:r>
              <w:rPr>
                <w:sz w:val="18"/>
              </w:rPr>
              <w:t>Purpose</w:t>
            </w:r>
          </w:p>
        </w:tc>
        <w:tc>
          <w:tcPr>
            <w:tcW w:type="dxa" w:w="7704"/>
            <w:shd w:fill="EAF2F8"/>
            <w:tcMar>
              <w:top w:w="65" w:type="dxa"/>
              <w:start w:w="90" w:type="dxa"/>
              <w:bottom w:w="65" w:type="dxa"/>
              <w:end w:w="90" w:type="dxa"/>
            </w:tcMar>
            <w:vAlign w:val="center"/>
          </w:tcPr>
          <w:p>
            <w:pPr>
              <w:spacing w:after="0" w:line="240" w:lineRule="auto"/>
            </w:pPr>
            <w:r>
              <w:rPr>
                <w:sz w:val="18"/>
              </w:rPr>
              <w:t>Role-specific interview guide, proposed answers and draft requirements</w:t>
            </w:r>
          </w:p>
        </w:tc>
      </w:tr>
      <w:tr>
        <w:tc>
          <w:tcPr>
            <w:tcW w:type="dxa" w:w="2232"/>
            <w:shd w:fill="FFFFFF"/>
            <w:tcMar>
              <w:top w:w="65" w:type="dxa"/>
              <w:start w:w="90" w:type="dxa"/>
              <w:bottom w:w="65" w:type="dxa"/>
              <w:end w:w="90" w:type="dxa"/>
            </w:tcMar>
            <w:vAlign w:val="center"/>
          </w:tcPr>
          <w:p>
            <w:pPr>
              <w:spacing w:after="0" w:line="240" w:lineRule="auto"/>
            </w:pPr>
            <w:r>
              <w:rPr>
                <w:sz w:val="18"/>
              </w:rPr>
              <w:t>Stakeholders</w:t>
            </w:r>
          </w:p>
        </w:tc>
        <w:tc>
          <w:tcPr>
            <w:tcW w:type="dxa" w:w="7704"/>
            <w:shd w:fill="FFFFFF"/>
            <w:tcMar>
              <w:top w:w="65" w:type="dxa"/>
              <w:start w:w="90" w:type="dxa"/>
              <w:bottom w:w="65" w:type="dxa"/>
              <w:end w:w="90" w:type="dxa"/>
            </w:tcMar>
            <w:vAlign w:val="center"/>
          </w:tcPr>
          <w:p>
            <w:pPr>
              <w:spacing w:after="0" w:line="240" w:lineRule="auto"/>
            </w:pPr>
            <w:r>
              <w:rPr>
                <w:sz w:val="18"/>
              </w:rPr>
              <w:t>Seven principal stakeholder groups plus supporting data owners</w:t>
            </w:r>
          </w:p>
        </w:tc>
      </w:tr>
      <w:tr>
        <w:tc>
          <w:tcPr>
            <w:tcW w:type="dxa" w:w="2232"/>
            <w:shd w:fill="EAF2F8"/>
            <w:tcMar>
              <w:top w:w="65" w:type="dxa"/>
              <w:start w:w="90" w:type="dxa"/>
              <w:bottom w:w="65" w:type="dxa"/>
              <w:end w:w="90" w:type="dxa"/>
            </w:tcMar>
            <w:vAlign w:val="center"/>
          </w:tcPr>
          <w:p>
            <w:pPr>
              <w:spacing w:after="0" w:line="240" w:lineRule="auto"/>
            </w:pPr>
            <w:r>
              <w:rPr>
                <w:sz w:val="18"/>
              </w:rPr>
              <w:t>Status</w:t>
            </w:r>
          </w:p>
        </w:tc>
        <w:tc>
          <w:tcPr>
            <w:tcW w:type="dxa" w:w="7704"/>
            <w:shd w:fill="EAF2F8"/>
            <w:tcMar>
              <w:top w:w="65" w:type="dxa"/>
              <w:start w:w="90" w:type="dxa"/>
              <w:bottom w:w="65" w:type="dxa"/>
              <w:end w:w="90" w:type="dxa"/>
            </w:tcMar>
            <w:vAlign w:val="center"/>
          </w:tcPr>
          <w:p>
            <w:pPr>
              <w:spacing w:after="0" w:line="240" w:lineRule="auto"/>
            </w:pPr>
            <w:r>
              <w:rPr>
                <w:sz w:val="18"/>
              </w:rPr>
              <w:t>Study guide and draft baseline pending stakeholder validation</w:t>
            </w:r>
          </w:p>
        </w:tc>
      </w:tr>
      <w:tr>
        <w:tc>
          <w:tcPr>
            <w:tcW w:type="dxa" w:w="2232"/>
            <w:shd w:fill="FFFFFF"/>
            <w:tcMar>
              <w:top w:w="65" w:type="dxa"/>
              <w:start w:w="90" w:type="dxa"/>
              <w:bottom w:w="65" w:type="dxa"/>
              <w:end w:w="90" w:type="dxa"/>
            </w:tcMar>
            <w:vAlign w:val="center"/>
          </w:tcPr>
          <w:p>
            <w:pPr>
              <w:spacing w:after="0" w:line="240" w:lineRule="auto"/>
            </w:pPr>
            <w:r>
              <w:rPr>
                <w:sz w:val="18"/>
              </w:rPr>
              <w:t>Prepared for</w:t>
            </w:r>
          </w:p>
        </w:tc>
        <w:tc>
          <w:tcPr>
            <w:tcW w:type="dxa" w:w="7704"/>
            <w:shd w:fill="FFFFFF"/>
            <w:tcMar>
              <w:top w:w="65" w:type="dxa"/>
              <w:start w:w="90" w:type="dxa"/>
              <w:bottom w:w="65" w:type="dxa"/>
              <w:end w:w="90" w:type="dxa"/>
            </w:tcMar>
            <w:vAlign w:val="center"/>
          </w:tcPr>
          <w:p>
            <w:pPr>
              <w:spacing w:after="0" w:line="240" w:lineRule="auto"/>
            </w:pPr>
            <w:r>
              <w:rPr>
                <w:sz w:val="18"/>
              </w:rPr>
              <w:t>Business analysis portfolio project</w:t>
            </w:r>
          </w:p>
        </w:tc>
      </w:tr>
      <w:tr>
        <w:tc>
          <w:tcPr>
            <w:tcW w:type="dxa" w:w="2232"/>
            <w:shd w:fill="EAF2F8"/>
            <w:tcMar>
              <w:top w:w="65" w:type="dxa"/>
              <w:start w:w="90" w:type="dxa"/>
              <w:bottom w:w="65" w:type="dxa"/>
              <w:end w:w="90" w:type="dxa"/>
            </w:tcMar>
            <w:vAlign w:val="center"/>
          </w:tcPr>
          <w:p>
            <w:pPr>
              <w:spacing w:after="0" w:line="240" w:lineRule="auto"/>
            </w:pPr>
            <w:r>
              <w:rPr>
                <w:sz w:val="18"/>
              </w:rPr>
              <w:t>Date</w:t>
            </w:r>
          </w:p>
        </w:tc>
        <w:tc>
          <w:tcPr>
            <w:tcW w:type="dxa" w:w="7704"/>
            <w:shd w:fill="EAF2F8"/>
            <w:tcMar>
              <w:top w:w="65" w:type="dxa"/>
              <w:start w:w="90" w:type="dxa"/>
              <w:bottom w:w="65" w:type="dxa"/>
              <w:end w:w="90" w:type="dxa"/>
            </w:tcMar>
            <w:vAlign w:val="center"/>
          </w:tcPr>
          <w:p>
            <w:pPr>
              <w:spacing w:after="0" w:line="240" w:lineRule="auto"/>
            </w:pPr>
            <w:r>
              <w:rPr>
                <w:sz w:val="18"/>
              </w:rPr>
              <w:t>27 September 2026</w:t>
            </w:r>
          </w:p>
        </w:tc>
      </w:tr>
    </w:tbl>
    <w:p>
      <w:pPr>
        <w:spacing w:after="0"/>
      </w:pPr>
    </w:p>
    <w:p>
      <w:pPr>
        <w:pStyle w:val="Heading1"/>
      </w:pPr>
      <w:r>
        <w:t>How to use this guide</w:t>
      </w:r>
    </w:p>
    <w:p>
      <w:r>
        <w:t>This guide allows the Business Analyst to review all stakeholder areas before moving into data profiling and solution design. It avoids asking every stakeholder the same broad questions: each section shows what has already been decided, what the stakeholder should validate and which role-specific questions remain.</w:t>
      </w:r>
    </w:p>
    <w:p>
      <w:r>
        <w:t>Proposed answers and requirements are working assumptions. They become approved requirements only after the responsible stakeholders review and accept them.</w:t>
      </w:r>
    </w:p>
    <w:p>
      <w:pPr>
        <w:pStyle w:val="Heading2"/>
      </w:pPr>
      <w:r>
        <w:t>Stakeholder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2376"/>
            <w:shd w:fill="1F4E78"/>
            <w:tcMar>
              <w:top w:w="65" w:type="dxa"/>
              <w:start w:w="90" w:type="dxa"/>
              <w:bottom w:w="65" w:type="dxa"/>
              <w:end w:w="90" w:type="dxa"/>
            </w:tcMar>
            <w:vAlign w:val="center"/>
          </w:tcPr>
          <w:p>
            <w:r>
              <w:rPr>
                <w:b/>
                <w:color w:val="FFFFFF"/>
                <w:sz w:val="16"/>
              </w:rPr>
              <w:t>Stakeholder</w:t>
            </w:r>
          </w:p>
        </w:tc>
        <w:tc>
          <w:tcPr>
            <w:tcW w:type="dxa" w:w="5256"/>
            <w:shd w:fill="1F4E78"/>
            <w:tcMar>
              <w:top w:w="65" w:type="dxa"/>
              <w:start w:w="90" w:type="dxa"/>
              <w:bottom w:w="65" w:type="dxa"/>
              <w:end w:w="90" w:type="dxa"/>
            </w:tcMar>
            <w:vAlign w:val="center"/>
          </w:tcPr>
          <w:p>
            <w:r>
              <w:rPr>
                <w:b/>
                <w:color w:val="FFFFFF"/>
                <w:sz w:val="16"/>
              </w:rPr>
              <w:t>Primary contribution</w:t>
            </w:r>
          </w:p>
        </w:tc>
        <w:tc>
          <w:tcPr>
            <w:tcW w:type="dxa" w:w="2304"/>
            <w:shd w:fill="1F4E78"/>
            <w:tcMar>
              <w:top w:w="65" w:type="dxa"/>
              <w:start w:w="90" w:type="dxa"/>
              <w:bottom w:w="65" w:type="dxa"/>
              <w:end w:w="90" w:type="dxa"/>
            </w:tcMar>
            <w:vAlign w:val="center"/>
          </w:tcPr>
          <w:p>
            <w:r>
              <w:rPr>
                <w:b/>
                <w:color w:val="FFFFFF"/>
                <w:sz w:val="16"/>
              </w:rPr>
              <w:t>Engagement</w:t>
            </w:r>
          </w:p>
        </w:tc>
      </w:tr>
      <w:tr>
        <w:tc>
          <w:tcPr>
            <w:tcW w:type="dxa" w:w="2376"/>
            <w:shd w:fill="FFFFFF"/>
            <w:tcMar>
              <w:top w:w="65" w:type="dxa"/>
              <w:start w:w="90" w:type="dxa"/>
              <w:bottom w:w="65" w:type="dxa"/>
              <w:end w:w="90" w:type="dxa"/>
            </w:tcMar>
            <w:vAlign w:val="center"/>
          </w:tcPr>
          <w:p>
            <w:pPr>
              <w:spacing w:after="0" w:line="240" w:lineRule="auto"/>
            </w:pPr>
            <w:r>
              <w:rPr>
                <w:sz w:val="16"/>
              </w:rPr>
              <w:t>ESG Reporting Manager</w:t>
            </w:r>
          </w:p>
        </w:tc>
        <w:tc>
          <w:tcPr>
            <w:tcW w:type="dxa" w:w="5256"/>
            <w:shd w:fill="FFFFFF"/>
            <w:tcMar>
              <w:top w:w="65" w:type="dxa"/>
              <w:start w:w="90" w:type="dxa"/>
              <w:bottom w:w="65" w:type="dxa"/>
              <w:end w:w="90" w:type="dxa"/>
            </w:tcMar>
            <w:vAlign w:val="center"/>
          </w:tcPr>
          <w:p>
            <w:pPr>
              <w:spacing w:after="0" w:line="240" w:lineRule="auto"/>
            </w:pPr>
            <w:r>
              <w:rPr>
                <w:sz w:val="16"/>
              </w:rPr>
              <w:t>Business ownership, methodology, KPIs and approval</w:t>
            </w:r>
          </w:p>
        </w:tc>
        <w:tc>
          <w:tcPr>
            <w:tcW w:type="dxa" w:w="2304"/>
            <w:shd w:fill="FFFFFF"/>
            <w:tcMar>
              <w:top w:w="65" w:type="dxa"/>
              <w:start w:w="90" w:type="dxa"/>
              <w:bottom w:w="65" w:type="dxa"/>
              <w:end w:w="90" w:type="dxa"/>
            </w:tcMar>
            <w:vAlign w:val="center"/>
          </w:tcPr>
          <w:p>
            <w:pPr>
              <w:spacing w:after="0" w:line="240" w:lineRule="auto"/>
            </w:pPr>
            <w:r>
              <w:rPr>
                <w:sz w:val="16"/>
              </w:rPr>
              <w:t>Detailed interview and approval</w:t>
            </w:r>
          </w:p>
        </w:tc>
      </w:tr>
      <w:tr>
        <w:tc>
          <w:tcPr>
            <w:tcW w:type="dxa" w:w="2376"/>
            <w:shd w:fill="EAF2F8"/>
            <w:tcMar>
              <w:top w:w="65" w:type="dxa"/>
              <w:start w:w="90" w:type="dxa"/>
              <w:bottom w:w="65" w:type="dxa"/>
              <w:end w:w="90" w:type="dxa"/>
            </w:tcMar>
            <w:vAlign w:val="center"/>
          </w:tcPr>
          <w:p>
            <w:pPr>
              <w:spacing w:after="0" w:line="240" w:lineRule="auto"/>
            </w:pPr>
            <w:r>
              <w:rPr>
                <w:sz w:val="16"/>
              </w:rPr>
              <w:t>ESG Operations team</w:t>
            </w:r>
          </w:p>
        </w:tc>
        <w:tc>
          <w:tcPr>
            <w:tcW w:type="dxa" w:w="5256"/>
            <w:shd w:fill="EAF2F8"/>
            <w:tcMar>
              <w:top w:w="65" w:type="dxa"/>
              <w:start w:w="90" w:type="dxa"/>
              <w:bottom w:w="65" w:type="dxa"/>
              <w:end w:w="90" w:type="dxa"/>
            </w:tcMar>
            <w:vAlign w:val="center"/>
          </w:tcPr>
          <w:p>
            <w:pPr>
              <w:spacing w:after="0" w:line="240" w:lineRule="auto"/>
            </w:pPr>
            <w:r>
              <w:rPr>
                <w:sz w:val="16"/>
              </w:rPr>
              <w:t>Operational process, usability and reporting execution</w:t>
            </w:r>
          </w:p>
        </w:tc>
        <w:tc>
          <w:tcPr>
            <w:tcW w:type="dxa" w:w="2304"/>
            <w:shd w:fill="EAF2F8"/>
            <w:tcMar>
              <w:top w:w="65" w:type="dxa"/>
              <w:start w:w="90" w:type="dxa"/>
              <w:bottom w:w="65" w:type="dxa"/>
              <w:end w:w="90" w:type="dxa"/>
            </w:tcMar>
            <w:vAlign w:val="center"/>
          </w:tcPr>
          <w:p>
            <w:pPr>
              <w:spacing w:after="0" w:line="240" w:lineRule="auto"/>
            </w:pPr>
            <w:r>
              <w:rPr>
                <w:sz w:val="16"/>
              </w:rPr>
              <w:t>Detailed workshop</w:t>
            </w:r>
          </w:p>
        </w:tc>
      </w:tr>
      <w:tr>
        <w:tc>
          <w:tcPr>
            <w:tcW w:type="dxa" w:w="2376"/>
            <w:shd w:fill="FFFFFF"/>
            <w:tcMar>
              <w:top w:w="65" w:type="dxa"/>
              <w:start w:w="90" w:type="dxa"/>
              <w:bottom w:w="65" w:type="dxa"/>
              <w:end w:w="90" w:type="dxa"/>
            </w:tcMar>
            <w:vAlign w:val="center"/>
          </w:tcPr>
          <w:p>
            <w:pPr>
              <w:spacing w:after="0" w:line="240" w:lineRule="auto"/>
            </w:pPr>
            <w:r>
              <w:rPr>
                <w:sz w:val="16"/>
              </w:rPr>
              <w:t>Data Warehouse team</w:t>
            </w:r>
          </w:p>
        </w:tc>
        <w:tc>
          <w:tcPr>
            <w:tcW w:type="dxa" w:w="5256"/>
            <w:shd w:fill="FFFFFF"/>
            <w:tcMar>
              <w:top w:w="65" w:type="dxa"/>
              <w:start w:w="90" w:type="dxa"/>
              <w:bottom w:w="65" w:type="dxa"/>
              <w:end w:w="90" w:type="dxa"/>
            </w:tcMar>
            <w:vAlign w:val="center"/>
          </w:tcPr>
          <w:p>
            <w:pPr>
              <w:spacing w:after="0" w:line="240" w:lineRule="auto"/>
            </w:pPr>
            <w:r>
              <w:rPr>
                <w:sz w:val="16"/>
              </w:rPr>
              <w:t>Integration, history, lineage, refresh and technical controls</w:t>
            </w:r>
          </w:p>
        </w:tc>
        <w:tc>
          <w:tcPr>
            <w:tcW w:type="dxa" w:w="2304"/>
            <w:shd w:fill="FFFFFF"/>
            <w:tcMar>
              <w:top w:w="65" w:type="dxa"/>
              <w:start w:w="90" w:type="dxa"/>
              <w:bottom w:w="65" w:type="dxa"/>
              <w:end w:w="90" w:type="dxa"/>
            </w:tcMar>
            <w:vAlign w:val="center"/>
          </w:tcPr>
          <w:p>
            <w:pPr>
              <w:spacing w:after="0" w:line="240" w:lineRule="auto"/>
            </w:pPr>
            <w:r>
              <w:rPr>
                <w:sz w:val="16"/>
              </w:rPr>
              <w:t>Technical workshop</w:t>
            </w:r>
          </w:p>
        </w:tc>
      </w:tr>
      <w:tr>
        <w:tc>
          <w:tcPr>
            <w:tcW w:type="dxa" w:w="2376"/>
            <w:shd w:fill="EAF2F8"/>
            <w:tcMar>
              <w:top w:w="65" w:type="dxa"/>
              <w:start w:w="90" w:type="dxa"/>
              <w:bottom w:w="65" w:type="dxa"/>
              <w:end w:w="90" w:type="dxa"/>
            </w:tcMar>
            <w:vAlign w:val="center"/>
          </w:tcPr>
          <w:p>
            <w:pPr>
              <w:spacing w:after="0" w:line="240" w:lineRule="auto"/>
            </w:pPr>
            <w:r>
              <w:rPr>
                <w:sz w:val="16"/>
              </w:rPr>
              <w:t>Data Stewards</w:t>
            </w:r>
          </w:p>
        </w:tc>
        <w:tc>
          <w:tcPr>
            <w:tcW w:type="dxa" w:w="5256"/>
            <w:shd w:fill="EAF2F8"/>
            <w:tcMar>
              <w:top w:w="65" w:type="dxa"/>
              <w:start w:w="90" w:type="dxa"/>
              <w:bottom w:w="65" w:type="dxa"/>
              <w:end w:w="90" w:type="dxa"/>
            </w:tcMar>
            <w:vAlign w:val="center"/>
          </w:tcPr>
          <w:p>
            <w:pPr>
              <w:spacing w:after="0" w:line="240" w:lineRule="auto"/>
            </w:pPr>
            <w:r>
              <w:rPr>
                <w:sz w:val="16"/>
              </w:rPr>
              <w:t>Exceptions, corrections, severity and monitoring</w:t>
            </w:r>
          </w:p>
        </w:tc>
        <w:tc>
          <w:tcPr>
            <w:tcW w:type="dxa" w:w="2304"/>
            <w:shd w:fill="EAF2F8"/>
            <w:tcMar>
              <w:top w:w="65" w:type="dxa"/>
              <w:start w:w="90" w:type="dxa"/>
              <w:bottom w:w="65" w:type="dxa"/>
              <w:end w:w="90" w:type="dxa"/>
            </w:tcMar>
            <w:vAlign w:val="center"/>
          </w:tcPr>
          <w:p>
            <w:pPr>
              <w:spacing w:after="0" w:line="240" w:lineRule="auto"/>
            </w:pPr>
            <w:r>
              <w:rPr>
                <w:sz w:val="16"/>
              </w:rPr>
              <w:t>Detailed interview</w:t>
            </w:r>
          </w:p>
        </w:tc>
      </w:tr>
      <w:tr>
        <w:tc>
          <w:tcPr>
            <w:tcW w:type="dxa" w:w="2376"/>
            <w:shd w:fill="FFFFFF"/>
            <w:tcMar>
              <w:top w:w="65" w:type="dxa"/>
              <w:start w:w="90" w:type="dxa"/>
              <w:bottom w:w="65" w:type="dxa"/>
              <w:end w:w="90" w:type="dxa"/>
            </w:tcMar>
            <w:vAlign w:val="center"/>
          </w:tcPr>
          <w:p>
            <w:pPr>
              <w:spacing w:after="0" w:line="240" w:lineRule="auto"/>
            </w:pPr>
            <w:r>
              <w:rPr>
                <w:sz w:val="16"/>
              </w:rPr>
              <w:t>Risk Management</w:t>
            </w:r>
          </w:p>
        </w:tc>
        <w:tc>
          <w:tcPr>
            <w:tcW w:type="dxa" w:w="5256"/>
            <w:shd w:fill="FFFFFF"/>
            <w:tcMar>
              <w:top w:w="65" w:type="dxa"/>
              <w:start w:w="90" w:type="dxa"/>
              <w:bottom w:w="65" w:type="dxa"/>
              <w:end w:w="90" w:type="dxa"/>
            </w:tcMar>
            <w:vAlign w:val="center"/>
          </w:tcPr>
          <w:p>
            <w:pPr>
              <w:spacing w:after="0" w:line="240" w:lineRule="auto"/>
            </w:pPr>
            <w:r>
              <w:rPr>
                <w:sz w:val="16"/>
              </w:rPr>
              <w:t>Portfolio analysis, concentration and materiality</w:t>
            </w:r>
          </w:p>
        </w:tc>
        <w:tc>
          <w:tcPr>
            <w:tcW w:type="dxa" w:w="2304"/>
            <w:shd w:fill="FFFFFF"/>
            <w:tcMar>
              <w:top w:w="65" w:type="dxa"/>
              <w:start w:w="90" w:type="dxa"/>
              <w:bottom w:w="65" w:type="dxa"/>
              <w:end w:w="90" w:type="dxa"/>
            </w:tcMar>
            <w:vAlign w:val="center"/>
          </w:tcPr>
          <w:p>
            <w:pPr>
              <w:spacing w:after="0" w:line="240" w:lineRule="auto"/>
            </w:pPr>
            <w:r>
              <w:rPr>
                <w:sz w:val="16"/>
              </w:rPr>
              <w:t>Focused interview</w:t>
            </w:r>
          </w:p>
        </w:tc>
      </w:tr>
      <w:tr>
        <w:tc>
          <w:tcPr>
            <w:tcW w:type="dxa" w:w="2376"/>
            <w:shd w:fill="EAF2F8"/>
            <w:tcMar>
              <w:top w:w="65" w:type="dxa"/>
              <w:start w:w="90" w:type="dxa"/>
              <w:bottom w:w="65" w:type="dxa"/>
              <w:end w:w="90" w:type="dxa"/>
            </w:tcMar>
            <w:vAlign w:val="center"/>
          </w:tcPr>
          <w:p>
            <w:pPr>
              <w:spacing w:after="0" w:line="240" w:lineRule="auto"/>
            </w:pPr>
            <w:r>
              <w:rPr>
                <w:sz w:val="16"/>
              </w:rPr>
              <w:t>Internal Audit</w:t>
            </w:r>
          </w:p>
        </w:tc>
        <w:tc>
          <w:tcPr>
            <w:tcW w:type="dxa" w:w="5256"/>
            <w:shd w:fill="EAF2F8"/>
            <w:tcMar>
              <w:top w:w="65" w:type="dxa"/>
              <w:start w:w="90" w:type="dxa"/>
              <w:bottom w:w="65" w:type="dxa"/>
              <w:end w:w="90" w:type="dxa"/>
            </w:tcMar>
            <w:vAlign w:val="center"/>
          </w:tcPr>
          <w:p>
            <w:pPr>
              <w:spacing w:after="0" w:line="240" w:lineRule="auto"/>
            </w:pPr>
            <w:r>
              <w:rPr>
                <w:sz w:val="16"/>
              </w:rPr>
              <w:t>Reproducibility, controls and assurance evidence</w:t>
            </w:r>
          </w:p>
        </w:tc>
        <w:tc>
          <w:tcPr>
            <w:tcW w:type="dxa" w:w="2304"/>
            <w:shd w:fill="EAF2F8"/>
            <w:tcMar>
              <w:top w:w="65" w:type="dxa"/>
              <w:start w:w="90" w:type="dxa"/>
              <w:bottom w:w="65" w:type="dxa"/>
              <w:end w:w="90" w:type="dxa"/>
            </w:tcMar>
            <w:vAlign w:val="center"/>
          </w:tcPr>
          <w:p>
            <w:pPr>
              <w:spacing w:after="0" w:line="240" w:lineRule="auto"/>
            </w:pPr>
            <w:r>
              <w:rPr>
                <w:sz w:val="16"/>
              </w:rPr>
              <w:t>Control review</w:t>
            </w:r>
          </w:p>
        </w:tc>
      </w:tr>
      <w:tr>
        <w:tc>
          <w:tcPr>
            <w:tcW w:type="dxa" w:w="2376"/>
            <w:shd w:fill="FFFFFF"/>
            <w:tcMar>
              <w:top w:w="65" w:type="dxa"/>
              <w:start w:w="90" w:type="dxa"/>
              <w:bottom w:w="65" w:type="dxa"/>
              <w:end w:w="90" w:type="dxa"/>
            </w:tcMar>
            <w:vAlign w:val="center"/>
          </w:tcPr>
          <w:p>
            <w:pPr>
              <w:spacing w:after="0" w:line="240" w:lineRule="auto"/>
            </w:pPr>
            <w:r>
              <w:rPr>
                <w:sz w:val="16"/>
              </w:rPr>
              <w:t>Senior Management</w:t>
            </w:r>
          </w:p>
        </w:tc>
        <w:tc>
          <w:tcPr>
            <w:tcW w:type="dxa" w:w="5256"/>
            <w:shd w:fill="FFFFFF"/>
            <w:tcMar>
              <w:top w:w="65" w:type="dxa"/>
              <w:start w:w="90" w:type="dxa"/>
              <w:bottom w:w="65" w:type="dxa"/>
              <w:end w:w="90" w:type="dxa"/>
            </w:tcMar>
            <w:vAlign w:val="center"/>
          </w:tcPr>
          <w:p>
            <w:pPr>
              <w:spacing w:after="0" w:line="240" w:lineRule="auto"/>
            </w:pPr>
            <w:r>
              <w:rPr>
                <w:sz w:val="16"/>
              </w:rPr>
              <w:t>Executive decisions and presentation</w:t>
            </w:r>
          </w:p>
        </w:tc>
        <w:tc>
          <w:tcPr>
            <w:tcW w:type="dxa" w:w="2304"/>
            <w:shd w:fill="FFFFFF"/>
            <w:tcMar>
              <w:top w:w="65" w:type="dxa"/>
              <w:start w:w="90" w:type="dxa"/>
              <w:bottom w:w="65" w:type="dxa"/>
              <w:end w:w="90" w:type="dxa"/>
            </w:tcMar>
            <w:vAlign w:val="center"/>
          </w:tcPr>
          <w:p>
            <w:pPr>
              <w:spacing w:after="0" w:line="240" w:lineRule="auto"/>
            </w:pPr>
            <w:r>
              <w:rPr>
                <w:sz w:val="16"/>
              </w:rPr>
              <w:t>Short strategic validation</w:t>
            </w:r>
          </w:p>
        </w:tc>
      </w:tr>
    </w:tbl>
    <w:p>
      <w:pPr>
        <w:spacing w:after="0"/>
      </w:pPr>
    </w:p>
    <w:p>
      <w:r>
        <w:br w:type="page"/>
      </w:r>
    </w:p>
    <w:p>
      <w:pPr>
        <w:pStyle w:val="Heading1"/>
      </w:pPr>
      <w:r>
        <w:t>1 Cross stakeholder engagement strategy</w:t>
      </w:r>
    </w:p>
    <w:p>
      <w:pPr>
        <w:pStyle w:val="Heading2"/>
      </w:pPr>
      <w:r>
        <w:t>What should be asked once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3240"/>
            <w:shd w:fill="1F4E78"/>
            <w:tcMar>
              <w:top w:w="65" w:type="dxa"/>
              <w:start w:w="90" w:type="dxa"/>
              <w:bottom w:w="65" w:type="dxa"/>
              <w:end w:w="90" w:type="dxa"/>
            </w:tcMar>
            <w:vAlign w:val="center"/>
          </w:tcPr>
          <w:p>
            <w:r>
              <w:rPr>
                <w:b/>
                <w:color w:val="FFFFFF"/>
                <w:sz w:val="17"/>
              </w:rPr>
              <w:t>Decision</w:t>
            </w:r>
          </w:p>
        </w:tc>
        <w:tc>
          <w:tcPr>
            <w:tcW w:type="dxa" w:w="3096"/>
            <w:shd w:fill="1F4E78"/>
            <w:tcMar>
              <w:top w:w="65" w:type="dxa"/>
              <w:start w:w="90" w:type="dxa"/>
              <w:bottom w:w="65" w:type="dxa"/>
              <w:end w:w="90" w:type="dxa"/>
            </w:tcMar>
            <w:vAlign w:val="center"/>
          </w:tcPr>
          <w:p>
            <w:r>
              <w:rPr>
                <w:b/>
                <w:color w:val="FFFFFF"/>
                <w:sz w:val="17"/>
              </w:rPr>
              <w:t>Primary owner</w:t>
            </w:r>
          </w:p>
        </w:tc>
        <w:tc>
          <w:tcPr>
            <w:tcW w:type="dxa" w:w="3600"/>
            <w:shd w:fill="1F4E78"/>
            <w:tcMar>
              <w:top w:w="65" w:type="dxa"/>
              <w:start w:w="90" w:type="dxa"/>
              <w:bottom w:w="65" w:type="dxa"/>
              <w:end w:w="90" w:type="dxa"/>
            </w:tcMar>
            <w:vAlign w:val="center"/>
          </w:tcPr>
          <w:p>
            <w:r>
              <w:rPr>
                <w:b/>
                <w:color w:val="FFFFFF"/>
                <w:sz w:val="17"/>
              </w:rPr>
              <w:t>Others validate</w:t>
            </w:r>
          </w:p>
        </w:tc>
      </w:tr>
      <w:tr>
        <w:tc>
          <w:tcPr>
            <w:tcW w:type="dxa" w:w="3240"/>
            <w:shd w:fill="FFFFFF"/>
            <w:tcMar>
              <w:top w:w="65" w:type="dxa"/>
              <w:start w:w="90" w:type="dxa"/>
              <w:bottom w:w="65" w:type="dxa"/>
              <w:end w:w="90" w:type="dxa"/>
            </w:tcMar>
            <w:vAlign w:val="center"/>
          </w:tcPr>
          <w:p>
            <w:pPr>
              <w:spacing w:after="0" w:line="240" w:lineRule="auto"/>
            </w:pPr>
            <w:r>
              <w:rPr>
                <w:sz w:val="17"/>
              </w:rPr>
              <w:t>Reporting perimeter</w:t>
            </w:r>
          </w:p>
        </w:tc>
        <w:tc>
          <w:tcPr>
            <w:tcW w:type="dxa" w:w="3096"/>
            <w:shd w:fill="FFFFFF"/>
            <w:tcMar>
              <w:top w:w="65" w:type="dxa"/>
              <w:start w:w="90" w:type="dxa"/>
              <w:bottom w:w="65" w:type="dxa"/>
              <w:end w:w="90" w:type="dxa"/>
            </w:tcMar>
            <w:vAlign w:val="center"/>
          </w:tcPr>
          <w:p>
            <w:pPr>
              <w:spacing w:after="0" w:line="240" w:lineRule="auto"/>
            </w:pPr>
            <w:r>
              <w:rPr>
                <w:sz w:val="17"/>
              </w:rPr>
              <w:t>ESG Reporting Manager</w:t>
            </w:r>
          </w:p>
        </w:tc>
        <w:tc>
          <w:tcPr>
            <w:tcW w:type="dxa" w:w="3600"/>
            <w:shd w:fill="FFFFFF"/>
            <w:tcMar>
              <w:top w:w="65" w:type="dxa"/>
              <w:start w:w="90" w:type="dxa"/>
              <w:bottom w:w="65" w:type="dxa"/>
              <w:end w:w="90" w:type="dxa"/>
            </w:tcMar>
            <w:vAlign w:val="center"/>
          </w:tcPr>
          <w:p>
            <w:pPr>
              <w:spacing w:after="0" w:line="240" w:lineRule="auto"/>
            </w:pPr>
            <w:r>
              <w:rPr>
                <w:sz w:val="17"/>
              </w:rPr>
              <w:t>Risk and ESG Operations</w:t>
            </w:r>
          </w:p>
        </w:tc>
      </w:tr>
      <w:tr>
        <w:tc>
          <w:tcPr>
            <w:tcW w:type="dxa" w:w="3240"/>
            <w:shd w:fill="EAF2F8"/>
            <w:tcMar>
              <w:top w:w="65" w:type="dxa"/>
              <w:start w:w="90" w:type="dxa"/>
              <w:bottom w:w="65" w:type="dxa"/>
              <w:end w:w="90" w:type="dxa"/>
            </w:tcMar>
            <w:vAlign w:val="center"/>
          </w:tcPr>
          <w:p>
            <w:pPr>
              <w:spacing w:after="0" w:line="240" w:lineRule="auto"/>
            </w:pPr>
            <w:r>
              <w:rPr>
                <w:sz w:val="17"/>
              </w:rPr>
              <w:t>Emissions methodology</w:t>
            </w:r>
          </w:p>
        </w:tc>
        <w:tc>
          <w:tcPr>
            <w:tcW w:type="dxa" w:w="3096"/>
            <w:shd w:fill="EAF2F8"/>
            <w:tcMar>
              <w:top w:w="65" w:type="dxa"/>
              <w:start w:w="90" w:type="dxa"/>
              <w:bottom w:w="65" w:type="dxa"/>
              <w:end w:w="90" w:type="dxa"/>
            </w:tcMar>
            <w:vAlign w:val="center"/>
          </w:tcPr>
          <w:p>
            <w:pPr>
              <w:spacing w:after="0" w:line="240" w:lineRule="auto"/>
            </w:pPr>
            <w:r>
              <w:rPr>
                <w:sz w:val="17"/>
              </w:rPr>
              <w:t>ESG methodology owner</w:t>
            </w:r>
          </w:p>
        </w:tc>
        <w:tc>
          <w:tcPr>
            <w:tcW w:type="dxa" w:w="3600"/>
            <w:shd w:fill="EAF2F8"/>
            <w:tcMar>
              <w:top w:w="65" w:type="dxa"/>
              <w:start w:w="90" w:type="dxa"/>
              <w:bottom w:w="65" w:type="dxa"/>
              <w:end w:w="90" w:type="dxa"/>
            </w:tcMar>
            <w:vAlign w:val="center"/>
          </w:tcPr>
          <w:p>
            <w:pPr>
              <w:spacing w:after="0" w:line="240" w:lineRule="auto"/>
            </w:pPr>
            <w:r>
              <w:rPr>
                <w:sz w:val="17"/>
              </w:rPr>
              <w:t>ESG Reporting and Risk</w:t>
            </w:r>
          </w:p>
        </w:tc>
      </w:tr>
      <w:tr>
        <w:tc>
          <w:tcPr>
            <w:tcW w:type="dxa" w:w="3240"/>
            <w:shd w:fill="FFFFFF"/>
            <w:tcMar>
              <w:top w:w="65" w:type="dxa"/>
              <w:start w:w="90" w:type="dxa"/>
              <w:bottom w:w="65" w:type="dxa"/>
              <w:end w:w="90" w:type="dxa"/>
            </w:tcMar>
            <w:vAlign w:val="center"/>
          </w:tcPr>
          <w:p>
            <w:pPr>
              <w:spacing w:after="0" w:line="240" w:lineRule="auto"/>
            </w:pPr>
            <w:r>
              <w:rPr>
                <w:sz w:val="17"/>
              </w:rPr>
              <w:t>Exception process</w:t>
            </w:r>
          </w:p>
        </w:tc>
        <w:tc>
          <w:tcPr>
            <w:tcW w:type="dxa" w:w="3096"/>
            <w:shd w:fill="FFFFFF"/>
            <w:tcMar>
              <w:top w:w="65" w:type="dxa"/>
              <w:start w:w="90" w:type="dxa"/>
              <w:bottom w:w="65" w:type="dxa"/>
              <w:end w:w="90" w:type="dxa"/>
            </w:tcMar>
            <w:vAlign w:val="center"/>
          </w:tcPr>
          <w:p>
            <w:pPr>
              <w:spacing w:after="0" w:line="240" w:lineRule="auto"/>
            </w:pPr>
            <w:r>
              <w:rPr>
                <w:sz w:val="17"/>
              </w:rPr>
              <w:t>Data Steward or Data Governance</w:t>
            </w:r>
          </w:p>
        </w:tc>
        <w:tc>
          <w:tcPr>
            <w:tcW w:type="dxa" w:w="3600"/>
            <w:shd w:fill="FFFFFF"/>
            <w:tcMar>
              <w:top w:w="65" w:type="dxa"/>
              <w:start w:w="90" w:type="dxa"/>
              <w:bottom w:w="65" w:type="dxa"/>
              <w:end w:w="90" w:type="dxa"/>
            </w:tcMar>
            <w:vAlign w:val="center"/>
          </w:tcPr>
          <w:p>
            <w:pPr>
              <w:spacing w:after="0" w:line="240" w:lineRule="auto"/>
            </w:pPr>
            <w:r>
              <w:rPr>
                <w:sz w:val="17"/>
              </w:rPr>
              <w:t>ESG Operations and Data Warehouse</w:t>
            </w:r>
          </w:p>
        </w:tc>
      </w:tr>
      <w:tr>
        <w:tc>
          <w:tcPr>
            <w:tcW w:type="dxa" w:w="3240"/>
            <w:shd w:fill="EAF2F8"/>
            <w:tcMar>
              <w:top w:w="65" w:type="dxa"/>
              <w:start w:w="90" w:type="dxa"/>
              <w:bottom w:w="65" w:type="dxa"/>
              <w:end w:w="90" w:type="dxa"/>
            </w:tcMar>
            <w:vAlign w:val="center"/>
          </w:tcPr>
          <w:p>
            <w:pPr>
              <w:spacing w:after="0" w:line="240" w:lineRule="auto"/>
            </w:pPr>
            <w:r>
              <w:rPr>
                <w:sz w:val="17"/>
              </w:rPr>
              <w:t>Technical architecture</w:t>
            </w:r>
          </w:p>
        </w:tc>
        <w:tc>
          <w:tcPr>
            <w:tcW w:type="dxa" w:w="3096"/>
            <w:shd w:fill="EAF2F8"/>
            <w:tcMar>
              <w:top w:w="65" w:type="dxa"/>
              <w:start w:w="90" w:type="dxa"/>
              <w:bottom w:w="65" w:type="dxa"/>
              <w:end w:w="90" w:type="dxa"/>
            </w:tcMar>
            <w:vAlign w:val="center"/>
          </w:tcPr>
          <w:p>
            <w:pPr>
              <w:spacing w:after="0" w:line="240" w:lineRule="auto"/>
            </w:pPr>
            <w:r>
              <w:rPr>
                <w:sz w:val="17"/>
              </w:rPr>
              <w:t>Data Warehouse lead</w:t>
            </w:r>
          </w:p>
        </w:tc>
        <w:tc>
          <w:tcPr>
            <w:tcW w:type="dxa" w:w="3600"/>
            <w:shd w:fill="EAF2F8"/>
            <w:tcMar>
              <w:top w:w="65" w:type="dxa"/>
              <w:start w:w="90" w:type="dxa"/>
              <w:bottom w:w="65" w:type="dxa"/>
              <w:end w:w="90" w:type="dxa"/>
            </w:tcMar>
            <w:vAlign w:val="center"/>
          </w:tcPr>
          <w:p>
            <w:pPr>
              <w:spacing w:after="0" w:line="240" w:lineRule="auto"/>
            </w:pPr>
            <w:r>
              <w:rPr>
                <w:sz w:val="17"/>
              </w:rPr>
              <w:t>Business Analyst, BI and Security</w:t>
            </w:r>
          </w:p>
        </w:tc>
      </w:tr>
      <w:tr>
        <w:tc>
          <w:tcPr>
            <w:tcW w:type="dxa" w:w="3240"/>
            <w:shd w:fill="FFFFFF"/>
            <w:tcMar>
              <w:top w:w="65" w:type="dxa"/>
              <w:start w:w="90" w:type="dxa"/>
              <w:bottom w:w="65" w:type="dxa"/>
              <w:end w:w="90" w:type="dxa"/>
            </w:tcMar>
            <w:vAlign w:val="center"/>
          </w:tcPr>
          <w:p>
            <w:pPr>
              <w:spacing w:after="0" w:line="240" w:lineRule="auto"/>
            </w:pPr>
            <w:r>
              <w:rPr>
                <w:sz w:val="17"/>
              </w:rPr>
              <w:t>Audit evidence</w:t>
            </w:r>
          </w:p>
        </w:tc>
        <w:tc>
          <w:tcPr>
            <w:tcW w:type="dxa" w:w="3096"/>
            <w:shd w:fill="FFFFFF"/>
            <w:tcMar>
              <w:top w:w="65" w:type="dxa"/>
              <w:start w:w="90" w:type="dxa"/>
              <w:bottom w:w="65" w:type="dxa"/>
              <w:end w:w="90" w:type="dxa"/>
            </w:tcMar>
            <w:vAlign w:val="center"/>
          </w:tcPr>
          <w:p>
            <w:pPr>
              <w:spacing w:after="0" w:line="240" w:lineRule="auto"/>
            </w:pPr>
            <w:r>
              <w:rPr>
                <w:sz w:val="17"/>
              </w:rPr>
              <w:t>Internal Audit or controls owner</w:t>
            </w:r>
          </w:p>
        </w:tc>
        <w:tc>
          <w:tcPr>
            <w:tcW w:type="dxa" w:w="3600"/>
            <w:shd w:fill="FFFFFF"/>
            <w:tcMar>
              <w:top w:w="65" w:type="dxa"/>
              <w:start w:w="90" w:type="dxa"/>
              <w:bottom w:w="65" w:type="dxa"/>
              <w:end w:w="90" w:type="dxa"/>
            </w:tcMar>
            <w:vAlign w:val="center"/>
          </w:tcPr>
          <w:p>
            <w:pPr>
              <w:spacing w:after="0" w:line="240" w:lineRule="auto"/>
            </w:pPr>
            <w:r>
              <w:rPr>
                <w:sz w:val="17"/>
              </w:rPr>
              <w:t>ESG Reporting and Data Warehouse</w:t>
            </w:r>
          </w:p>
        </w:tc>
      </w:tr>
      <w:tr>
        <w:tc>
          <w:tcPr>
            <w:tcW w:type="dxa" w:w="3240"/>
            <w:shd w:fill="EAF2F8"/>
            <w:tcMar>
              <w:top w:w="65" w:type="dxa"/>
              <w:start w:w="90" w:type="dxa"/>
              <w:bottom w:w="65" w:type="dxa"/>
              <w:end w:w="90" w:type="dxa"/>
            </w:tcMar>
            <w:vAlign w:val="center"/>
          </w:tcPr>
          <w:p>
            <w:pPr>
              <w:spacing w:after="0" w:line="240" w:lineRule="auto"/>
            </w:pPr>
            <w:r>
              <w:rPr>
                <w:sz w:val="17"/>
              </w:rPr>
              <w:t>Executive KPIs</w:t>
            </w:r>
          </w:p>
        </w:tc>
        <w:tc>
          <w:tcPr>
            <w:tcW w:type="dxa" w:w="3096"/>
            <w:shd w:fill="EAF2F8"/>
            <w:tcMar>
              <w:top w:w="65" w:type="dxa"/>
              <w:start w:w="90" w:type="dxa"/>
              <w:bottom w:w="65" w:type="dxa"/>
              <w:end w:w="90" w:type="dxa"/>
            </w:tcMar>
            <w:vAlign w:val="center"/>
          </w:tcPr>
          <w:p>
            <w:pPr>
              <w:spacing w:after="0" w:line="240" w:lineRule="auto"/>
            </w:pPr>
            <w:r>
              <w:rPr>
                <w:sz w:val="17"/>
              </w:rPr>
              <w:t>ESG Reporting Manager</w:t>
            </w:r>
          </w:p>
        </w:tc>
        <w:tc>
          <w:tcPr>
            <w:tcW w:type="dxa" w:w="3600"/>
            <w:shd w:fill="EAF2F8"/>
            <w:tcMar>
              <w:top w:w="65" w:type="dxa"/>
              <w:start w:w="90" w:type="dxa"/>
              <w:bottom w:w="65" w:type="dxa"/>
              <w:end w:w="90" w:type="dxa"/>
            </w:tcMar>
            <w:vAlign w:val="center"/>
          </w:tcPr>
          <w:p>
            <w:pPr>
              <w:spacing w:after="0" w:line="240" w:lineRule="auto"/>
            </w:pPr>
            <w:r>
              <w:rPr>
                <w:sz w:val="17"/>
              </w:rPr>
              <w:t>Senior Management</w:t>
            </w:r>
          </w:p>
        </w:tc>
      </w:tr>
    </w:tbl>
    <w:p>
      <w:pPr>
        <w:spacing w:after="0"/>
      </w:pPr>
    </w:p>
    <w:p>
      <w:pPr>
        <w:pStyle w:val="Heading2"/>
      </w:pPr>
      <w:r>
        <w:t>How to avoid repetition</w:t>
      </w:r>
    </w:p>
    <w:p>
      <w:r>
        <w:t>When a decision already exists, present it as an assumption and ask the next stakeholder to validate feasibility, operational impact or control sufficiency. Do not reopen the entire business question unless the stakeholder identifies a conflict or new risk.</w:t>
      </w:r>
    </w:p>
    <w:p>
      <w:pPr>
        <w:pStyle w:val="Heading2"/>
      </w:pPr>
      <w:r>
        <w:t>Recommended sequence</w:t>
      </w:r>
    </w:p>
    <w:p>
      <w:pPr>
        <w:pStyle w:val="ListBullet"/>
        <w:spacing w:after="40"/>
      </w:pPr>
      <w:r>
        <w:t>ESG Reporting Manager - completed</w:t>
      </w:r>
    </w:p>
    <w:p>
      <w:pPr>
        <w:pStyle w:val="ListBullet"/>
        <w:spacing w:after="40"/>
      </w:pPr>
      <w:r>
        <w:t>Data Stewards - partly completed</w:t>
      </w:r>
    </w:p>
    <w:p>
      <w:pPr>
        <w:pStyle w:val="ListBullet"/>
        <w:spacing w:after="40"/>
      </w:pPr>
      <w:r>
        <w:t>ESG Operations team</w:t>
      </w:r>
    </w:p>
    <w:p>
      <w:pPr>
        <w:pStyle w:val="ListBullet"/>
        <w:spacing w:after="40"/>
      </w:pPr>
      <w:r>
        <w:t>Data Warehouse team</w:t>
      </w:r>
    </w:p>
    <w:p>
      <w:pPr>
        <w:pStyle w:val="ListBullet"/>
        <w:spacing w:after="40"/>
      </w:pPr>
      <w:r>
        <w:t>Risk Management</w:t>
      </w:r>
    </w:p>
    <w:p>
      <w:pPr>
        <w:pStyle w:val="ListBullet"/>
        <w:spacing w:after="40"/>
      </w:pPr>
      <w:r>
        <w:t>Internal Audit</w:t>
      </w:r>
    </w:p>
    <w:p>
      <w:pPr>
        <w:pStyle w:val="ListBullet"/>
        <w:spacing w:after="40"/>
      </w:pPr>
      <w:r>
        <w:t>Senior Management</w:t>
      </w:r>
    </w:p>
    <w:p>
      <w:pPr>
        <w:pStyle w:val="ListBullet"/>
        <w:spacing w:after="40"/>
      </w:pPr>
      <w:r>
        <w:t>Cross-functional decision workshop and formal approval</w:t>
      </w:r>
    </w:p>
    <w:p>
      <w:pPr>
        <w:pStyle w:val="Heading2"/>
      </w:pPr>
      <w:r>
        <w:t>Supporting subject matter experts</w:t>
      </w:r>
    </w:p>
    <w:p>
      <w:r>
        <w:t>The lending-system owner, counterparty master-data owner, Finance or FX reference-data owner, ESG methodology owner, Taxonomy reference-data owner and Information Security may be consulted for specific decisions even if they are not regular dashboard users.</w:t>
      </w:r>
    </w:p>
    <w:p>
      <w:r>
        <w:br w:type="page"/>
      </w:r>
    </w:p>
    <w:p>
      <w:pPr>
        <w:pStyle w:val="Heading1"/>
      </w:pPr>
      <w:r>
        <w:t>2 ESG Reporting Manager</w:t>
      </w:r>
    </w:p>
    <w:p>
      <w:r>
        <w:t>Role: business owner responsible for the reporting perimeter, KPI definitions, methodology decisions, publication readiness and explanations to management and auditors.</w:t>
      </w:r>
    </w:p>
    <w:p>
      <w:pPr>
        <w:pStyle w:val="Heading2"/>
      </w:pPr>
      <w:r>
        <w:t>Areas completed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1080"/>
            <w:shd w:fill="1F4E78"/>
            <w:tcMar>
              <w:top w:w="65" w:type="dxa"/>
              <w:start w:w="90" w:type="dxa"/>
              <w:bottom w:w="65" w:type="dxa"/>
              <w:end w:w="90" w:type="dxa"/>
            </w:tcMar>
            <w:vAlign w:val="center"/>
          </w:tcPr>
          <w:p>
            <w:r>
              <w:rPr>
                <w:b/>
                <w:color w:val="FFFFFF"/>
                <w:sz w:val="16"/>
              </w:rPr>
              <w:t>ID</w:t>
            </w:r>
          </w:p>
        </w:tc>
        <w:tc>
          <w:tcPr>
            <w:tcW w:type="dxa" w:w="2232"/>
            <w:shd w:fill="1F4E78"/>
            <w:tcMar>
              <w:top w:w="65" w:type="dxa"/>
              <w:start w:w="90" w:type="dxa"/>
              <w:bottom w:w="65" w:type="dxa"/>
              <w:end w:w="90" w:type="dxa"/>
            </w:tcMar>
            <w:vAlign w:val="center"/>
          </w:tcPr>
          <w:p>
            <w:r>
              <w:rPr>
                <w:b/>
                <w:color w:val="FFFFFF"/>
                <w:sz w:val="16"/>
              </w:rPr>
              <w:t>Area</w:t>
            </w:r>
          </w:p>
        </w:tc>
        <w:tc>
          <w:tcPr>
            <w:tcW w:type="dxa" w:w="6624"/>
            <w:shd w:fill="1F4E78"/>
            <w:tcMar>
              <w:top w:w="65" w:type="dxa"/>
              <w:start w:w="90" w:type="dxa"/>
              <w:bottom w:w="65" w:type="dxa"/>
              <w:end w:w="90" w:type="dxa"/>
            </w:tcMar>
            <w:vAlign w:val="center"/>
          </w:tcPr>
          <w:p>
            <w:r>
              <w:rPr>
                <w:b/>
                <w:color w:val="FFFFFF"/>
                <w:sz w:val="16"/>
              </w:rPr>
              <w:t>Working decision</w:t>
            </w:r>
          </w:p>
        </w:tc>
      </w:tr>
      <w:tr>
        <w:tc>
          <w:tcPr>
            <w:tcW w:type="dxa" w:w="1080"/>
            <w:shd w:fill="FFFFFF"/>
            <w:tcMar>
              <w:top w:w="65" w:type="dxa"/>
              <w:start w:w="90" w:type="dxa"/>
              <w:bottom w:w="65" w:type="dxa"/>
              <w:end w:w="90" w:type="dxa"/>
            </w:tcMar>
            <w:vAlign w:val="center"/>
          </w:tcPr>
          <w:p>
            <w:pPr>
              <w:spacing w:after="0" w:line="240" w:lineRule="auto"/>
            </w:pPr>
            <w:r>
              <w:rPr>
                <w:sz w:val="16"/>
              </w:rPr>
              <w:t>Q-001</w:t>
            </w:r>
          </w:p>
        </w:tc>
        <w:tc>
          <w:tcPr>
            <w:tcW w:type="dxa" w:w="2232"/>
            <w:shd w:fill="FFFFFF"/>
            <w:tcMar>
              <w:top w:w="65" w:type="dxa"/>
              <w:start w:w="90" w:type="dxa"/>
              <w:bottom w:w="65" w:type="dxa"/>
              <w:end w:w="90" w:type="dxa"/>
            </w:tcMar>
            <w:vAlign w:val="center"/>
          </w:tcPr>
          <w:p>
            <w:pPr>
              <w:spacing w:after="0" w:line="240" w:lineRule="auto"/>
            </w:pPr>
            <w:r>
              <w:rPr>
                <w:sz w:val="16"/>
              </w:rPr>
              <w:t>Reporting perimeter</w:t>
            </w:r>
          </w:p>
        </w:tc>
        <w:tc>
          <w:tcPr>
            <w:tcW w:type="dxa" w:w="6624"/>
            <w:shd w:fill="FFFFFF"/>
            <w:tcMar>
              <w:top w:w="65" w:type="dxa"/>
              <w:start w:w="90" w:type="dxa"/>
              <w:bottom w:w="65" w:type="dxa"/>
              <w:end w:w="90" w:type="dxa"/>
            </w:tcMar>
            <w:vAlign w:val="center"/>
          </w:tcPr>
          <w:p>
            <w:pPr>
              <w:spacing w:after="0" w:line="240" w:lineRule="auto"/>
            </w:pPr>
            <w:r>
              <w:rPr>
                <w:sz w:val="16"/>
              </w:rPr>
              <w:t>Include active positive exposures at the reporting date; document exclusions and exceptions.</w:t>
            </w:r>
          </w:p>
        </w:tc>
      </w:tr>
      <w:tr>
        <w:tc>
          <w:tcPr>
            <w:tcW w:type="dxa" w:w="1080"/>
            <w:shd w:fill="EAF2F8"/>
            <w:tcMar>
              <w:top w:w="65" w:type="dxa"/>
              <w:start w:w="90" w:type="dxa"/>
              <w:bottom w:w="65" w:type="dxa"/>
              <w:end w:w="90" w:type="dxa"/>
            </w:tcMar>
            <w:vAlign w:val="center"/>
          </w:tcPr>
          <w:p>
            <w:pPr>
              <w:spacing w:after="0" w:line="240" w:lineRule="auto"/>
            </w:pPr>
            <w:r>
              <w:rPr>
                <w:sz w:val="16"/>
              </w:rPr>
              <w:t>Q-002</w:t>
            </w:r>
          </w:p>
        </w:tc>
        <w:tc>
          <w:tcPr>
            <w:tcW w:type="dxa" w:w="2232"/>
            <w:shd w:fill="EAF2F8"/>
            <w:tcMar>
              <w:top w:w="65" w:type="dxa"/>
              <w:start w:w="90" w:type="dxa"/>
              <w:bottom w:w="65" w:type="dxa"/>
              <w:end w:w="90" w:type="dxa"/>
            </w:tcMar>
            <w:vAlign w:val="center"/>
          </w:tcPr>
          <w:p>
            <w:pPr>
              <w:spacing w:after="0" w:line="240" w:lineRule="auto"/>
            </w:pPr>
            <w:r>
              <w:rPr>
                <w:sz w:val="16"/>
              </w:rPr>
              <w:t>Emissions selection</w:t>
            </w:r>
          </w:p>
        </w:tc>
        <w:tc>
          <w:tcPr>
            <w:tcW w:type="dxa" w:w="6624"/>
            <w:shd w:fill="EAF2F8"/>
            <w:tcMar>
              <w:top w:w="65" w:type="dxa"/>
              <w:start w:w="90" w:type="dxa"/>
              <w:bottom w:w="65" w:type="dxa"/>
              <w:end w:w="90" w:type="dxa"/>
            </w:tcMar>
            <w:vAlign w:val="center"/>
          </w:tcPr>
          <w:p>
            <w:pPr>
              <w:spacing w:after="0" w:line="240" w:lineRule="auto"/>
            </w:pPr>
            <w:r>
              <w:rPr>
                <w:sz w:val="16"/>
              </w:rPr>
              <w:t>Choose one record using year, validity, completeness, verification and creation-date hierarchy.</w:t>
            </w:r>
          </w:p>
        </w:tc>
      </w:tr>
      <w:tr>
        <w:tc>
          <w:tcPr>
            <w:tcW w:type="dxa" w:w="1080"/>
            <w:shd w:fill="FFFFFF"/>
            <w:tcMar>
              <w:top w:w="65" w:type="dxa"/>
              <w:start w:w="90" w:type="dxa"/>
              <w:bottom w:w="65" w:type="dxa"/>
              <w:end w:w="90" w:type="dxa"/>
            </w:tcMar>
            <w:vAlign w:val="center"/>
          </w:tcPr>
          <w:p>
            <w:pPr>
              <w:spacing w:after="0" w:line="240" w:lineRule="auto"/>
            </w:pPr>
            <w:r>
              <w:rPr>
                <w:sz w:val="16"/>
              </w:rPr>
              <w:t>Q-003</w:t>
            </w:r>
          </w:p>
        </w:tc>
        <w:tc>
          <w:tcPr>
            <w:tcW w:type="dxa" w:w="2232"/>
            <w:shd w:fill="FFFFFF"/>
            <w:tcMar>
              <w:top w:w="65" w:type="dxa"/>
              <w:start w:w="90" w:type="dxa"/>
              <w:bottom w:w="65" w:type="dxa"/>
              <w:end w:w="90" w:type="dxa"/>
            </w:tcMar>
            <w:vAlign w:val="center"/>
          </w:tcPr>
          <w:p>
            <w:pPr>
              <w:spacing w:after="0" w:line="240" w:lineRule="auto"/>
            </w:pPr>
            <w:r>
              <w:rPr>
                <w:sz w:val="16"/>
              </w:rPr>
              <w:t>Missing inputs</w:t>
            </w:r>
          </w:p>
        </w:tc>
        <w:tc>
          <w:tcPr>
            <w:tcW w:type="dxa" w:w="6624"/>
            <w:shd w:fill="FFFFFF"/>
            <w:tcMar>
              <w:top w:w="65" w:type="dxa"/>
              <w:start w:w="90" w:type="dxa"/>
              <w:bottom w:w="65" w:type="dxa"/>
              <w:end w:w="90" w:type="dxa"/>
            </w:tcMar>
            <w:vAlign w:val="center"/>
          </w:tcPr>
          <w:p>
            <w:pPr>
              <w:spacing w:after="0" w:line="240" w:lineRule="auto"/>
            </w:pPr>
            <w:r>
              <w:rPr>
                <w:sz w:val="16"/>
              </w:rPr>
              <w:t>Use valid reported data, then approved estimation, otherwise NOT_CALCULABLE.</w:t>
            </w:r>
          </w:p>
        </w:tc>
      </w:tr>
      <w:tr>
        <w:tc>
          <w:tcPr>
            <w:tcW w:type="dxa" w:w="1080"/>
            <w:shd w:fill="EAF2F8"/>
            <w:tcMar>
              <w:top w:w="65" w:type="dxa"/>
              <w:start w:w="90" w:type="dxa"/>
              <w:bottom w:w="65" w:type="dxa"/>
              <w:end w:w="90" w:type="dxa"/>
            </w:tcMar>
            <w:vAlign w:val="center"/>
          </w:tcPr>
          <w:p>
            <w:pPr>
              <w:spacing w:after="0" w:line="240" w:lineRule="auto"/>
            </w:pPr>
            <w:r>
              <w:rPr>
                <w:sz w:val="16"/>
              </w:rPr>
              <w:t>Q-004</w:t>
            </w:r>
          </w:p>
        </w:tc>
        <w:tc>
          <w:tcPr>
            <w:tcW w:type="dxa" w:w="2232"/>
            <w:shd w:fill="EAF2F8"/>
            <w:tcMar>
              <w:top w:w="65" w:type="dxa"/>
              <w:start w:w="90" w:type="dxa"/>
              <w:bottom w:w="65" w:type="dxa"/>
              <w:end w:w="90" w:type="dxa"/>
            </w:tcMar>
            <w:vAlign w:val="center"/>
          </w:tcPr>
          <w:p>
            <w:pPr>
              <w:spacing w:after="0" w:line="240" w:lineRule="auto"/>
            </w:pPr>
            <w:r>
              <w:rPr>
                <w:sz w:val="16"/>
              </w:rPr>
              <w:t>Reporting outputs</w:t>
            </w:r>
          </w:p>
        </w:tc>
        <w:tc>
          <w:tcPr>
            <w:tcW w:type="dxa" w:w="6624"/>
            <w:shd w:fill="EAF2F8"/>
            <w:tcMar>
              <w:top w:w="65" w:type="dxa"/>
              <w:start w:w="90" w:type="dxa"/>
              <w:bottom w:w="65" w:type="dxa"/>
              <w:end w:w="90" w:type="dxa"/>
            </w:tcMar>
            <w:vAlign w:val="center"/>
          </w:tcPr>
          <w:p>
            <w:pPr>
              <w:spacing w:after="0" w:line="240" w:lineRule="auto"/>
            </w:pPr>
            <w:r>
              <w:rPr>
                <w:sz w:val="16"/>
              </w:rPr>
              <w:t>Provide executive, analytical, data-quality, Taxonomy, exception and audit views.</w:t>
            </w:r>
          </w:p>
        </w:tc>
      </w:tr>
      <w:tr>
        <w:tc>
          <w:tcPr>
            <w:tcW w:type="dxa" w:w="1080"/>
            <w:shd w:fill="FFFFFF"/>
            <w:tcMar>
              <w:top w:w="65" w:type="dxa"/>
              <w:start w:w="90" w:type="dxa"/>
              <w:bottom w:w="65" w:type="dxa"/>
              <w:end w:w="90" w:type="dxa"/>
            </w:tcMar>
            <w:vAlign w:val="center"/>
          </w:tcPr>
          <w:p>
            <w:pPr>
              <w:spacing w:after="0" w:line="240" w:lineRule="auto"/>
            </w:pPr>
            <w:r>
              <w:rPr>
                <w:sz w:val="16"/>
              </w:rPr>
              <w:t>Q-005</w:t>
            </w:r>
          </w:p>
        </w:tc>
        <w:tc>
          <w:tcPr>
            <w:tcW w:type="dxa" w:w="2232"/>
            <w:shd w:fill="FFFFFF"/>
            <w:tcMar>
              <w:top w:w="65" w:type="dxa"/>
              <w:start w:w="90" w:type="dxa"/>
              <w:bottom w:w="65" w:type="dxa"/>
              <w:end w:w="90" w:type="dxa"/>
            </w:tcMar>
            <w:vAlign w:val="center"/>
          </w:tcPr>
          <w:p>
            <w:pPr>
              <w:spacing w:after="0" w:line="240" w:lineRule="auto"/>
            </w:pPr>
            <w:r>
              <w:rPr>
                <w:sz w:val="16"/>
              </w:rPr>
              <w:t>Approval and audit</w:t>
            </w:r>
          </w:p>
        </w:tc>
        <w:tc>
          <w:tcPr>
            <w:tcW w:type="dxa" w:w="6624"/>
            <w:shd w:fill="FFFFFF"/>
            <w:tcMar>
              <w:top w:w="65" w:type="dxa"/>
              <w:start w:w="90" w:type="dxa"/>
              <w:bottom w:w="65" w:type="dxa"/>
              <w:end w:w="90" w:type="dxa"/>
            </w:tcMar>
            <w:vAlign w:val="center"/>
          </w:tcPr>
          <w:p>
            <w:pPr>
              <w:spacing w:after="0" w:line="240" w:lineRule="auto"/>
            </w:pPr>
            <w:r>
              <w:rPr>
                <w:sz w:val="16"/>
              </w:rPr>
              <w:t>Apply business approval, change control, auditability and role-based access.</w:t>
            </w:r>
          </w:p>
        </w:tc>
      </w:tr>
    </w:tbl>
    <w:p>
      <w:pPr>
        <w:spacing w:after="0"/>
      </w:pPr>
    </w:p>
    <w:p>
      <w:pPr>
        <w:pStyle w:val="Heading2"/>
      </w:pPr>
      <w:r>
        <w:t>Key requirements</w:t>
      </w:r>
    </w:p>
    <w:p>
      <w:pPr>
        <w:spacing w:before="80" w:after="40"/>
      </w:pPr>
      <w:r>
        <w:rPr>
          <w:b/>
        </w:rPr>
        <w:t>BR-001  Reporting perimeter</w:t>
      </w:r>
    </w:p>
    <w:p>
      <w:pPr>
        <w:spacing w:after="80"/>
        <w:ind w:left="259"/>
      </w:pPr>
      <w:r>
        <w:t>Include exposures active on the reporting date with positive outstanding amounts and retain an exclusion reason for all excluded records.</w:t>
      </w:r>
    </w:p>
    <w:p>
      <w:pPr>
        <w:spacing w:before="80" w:after="40"/>
      </w:pPr>
      <w:r>
        <w:rPr>
          <w:b/>
        </w:rPr>
        <w:t>BR-002  Emissions selection</w:t>
      </w:r>
    </w:p>
    <w:p>
      <w:pPr>
        <w:spacing w:after="80"/>
        <w:ind w:left="259"/>
      </w:pPr>
      <w:r>
        <w:t>Select no more than one valid emissions record per counterparty and retain the selected record and reason.</w:t>
      </w:r>
    </w:p>
    <w:p>
      <w:pPr>
        <w:spacing w:before="80" w:after="40"/>
      </w:pPr>
      <w:r>
        <w:rPr>
          <w:b/>
        </w:rPr>
        <w:t>BR-003  Missing data</w:t>
      </w:r>
    </w:p>
    <w:p>
      <w:pPr>
        <w:spacing w:after="80"/>
        <w:ind w:left="259"/>
      </w:pPr>
      <w:r>
        <w:t>Assign REPORTED, ESTIMATED, NOT_CALCULABLE or EXCLUDED status and retain quality flags.</w:t>
      </w:r>
    </w:p>
    <w:p>
      <w:pPr>
        <w:spacing w:before="80" w:after="40"/>
      </w:pPr>
      <w:r>
        <w:rPr>
          <w:b/>
        </w:rPr>
        <w:t>BR-004  Reporting outputs</w:t>
      </w:r>
    </w:p>
    <w:p>
      <w:pPr>
        <w:spacing w:after="80"/>
        <w:ind w:left="259"/>
      </w:pPr>
      <w:r>
        <w:t>Provide KPI, drill-down, historical snapshot and export capabilities appropriate to each user role.</w:t>
      </w:r>
    </w:p>
    <w:p>
      <w:pPr>
        <w:spacing w:before="80" w:after="40"/>
      </w:pPr>
      <w:r>
        <w:rPr>
          <w:b/>
        </w:rPr>
        <w:t>BR-005  Governance</w:t>
      </w:r>
    </w:p>
    <w:p>
      <w:pPr>
        <w:spacing w:after="80"/>
        <w:ind w:left="259"/>
      </w:pPr>
      <w:r>
        <w:t>Control approvals, changes, evidence and access before publication.</w:t>
      </w:r>
    </w:p>
    <w:p>
      <w:pPr>
        <w:pStyle w:val="Heading2"/>
      </w:pPr>
      <w:r>
        <w:t>Items still requiring confirmation</w:t>
      </w:r>
    </w:p>
    <w:p>
      <w:pPr>
        <w:pStyle w:val="ListBullet"/>
        <w:spacing w:after="40"/>
      </w:pPr>
      <w:r>
        <w:t>Exact materiality thresholds</w:t>
      </w:r>
    </w:p>
    <w:p>
      <w:pPr>
        <w:pStyle w:val="ListBullet"/>
        <w:spacing w:after="40"/>
      </w:pPr>
      <w:r>
        <w:t>Maximum acceptable emissions-data age</w:t>
      </w:r>
    </w:p>
    <w:p>
      <w:pPr>
        <w:pStyle w:val="ListBullet"/>
        <w:spacing w:after="40"/>
      </w:pPr>
      <w:r>
        <w:t>Approved alternative attribution denominator</w:t>
      </w:r>
    </w:p>
    <w:p>
      <w:pPr>
        <w:pStyle w:val="ListBullet"/>
        <w:spacing w:after="40"/>
      </w:pPr>
      <w:r>
        <w:t>Formal approver names and delegation rules</w:t>
      </w:r>
    </w:p>
    <w:p>
      <w:pPr>
        <w:pStyle w:val="ListBullet"/>
        <w:spacing w:after="40"/>
      </w:pPr>
      <w:r>
        <w:t>Publication criteria when critical exceptions remain open</w:t>
      </w:r>
    </w:p>
    <w:p>
      <w:r>
        <w:br w:type="page"/>
      </w:r>
    </w:p>
    <w:p>
      <w:pPr>
        <w:pStyle w:val="Heading1"/>
      </w:pPr>
      <w:r>
        <w:t>3 Data Stewards</w:t>
      </w:r>
    </w:p>
    <w:p>
      <w:r>
        <w:t>Role: monitor data-quality exceptions, coordinate corrections, validate resolutions, maintain evidence and escalate unresolved issues.</w:t>
      </w:r>
    </w:p>
    <w:p>
      <w:pPr>
        <w:pStyle w:val="Heading2"/>
      </w:pPr>
      <w:r>
        <w:t>Interview questions and proposed answers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936"/>
            <w:shd w:fill="1F4E78"/>
            <w:tcMar>
              <w:top w:w="65" w:type="dxa"/>
              <w:start w:w="90" w:type="dxa"/>
              <w:bottom w:w="65" w:type="dxa"/>
              <w:end w:w="90" w:type="dxa"/>
            </w:tcMar>
            <w:vAlign w:val="center"/>
          </w:tcPr>
          <w:p>
            <w:r>
              <w:rPr>
                <w:b/>
                <w:color w:val="FFFFFF"/>
                <w:sz w:val="16"/>
              </w:rPr>
              <w:t>ID</w:t>
            </w:r>
          </w:p>
        </w:tc>
        <w:tc>
          <w:tcPr>
            <w:tcW w:type="dxa" w:w="3816"/>
            <w:shd w:fill="1F4E78"/>
            <w:tcMar>
              <w:top w:w="65" w:type="dxa"/>
              <w:start w:w="90" w:type="dxa"/>
              <w:bottom w:w="65" w:type="dxa"/>
              <w:end w:w="90" w:type="dxa"/>
            </w:tcMar>
            <w:vAlign w:val="center"/>
          </w:tcPr>
          <w:p>
            <w:r>
              <w:rPr>
                <w:b/>
                <w:color w:val="FFFFFF"/>
                <w:sz w:val="16"/>
              </w:rPr>
              <w:t>Question</w:t>
            </w:r>
          </w:p>
        </w:tc>
        <w:tc>
          <w:tcPr>
            <w:tcW w:type="dxa" w:w="5184"/>
            <w:shd w:fill="1F4E78"/>
            <w:tcMar>
              <w:top w:w="65" w:type="dxa"/>
              <w:start w:w="90" w:type="dxa"/>
              <w:bottom w:w="65" w:type="dxa"/>
              <w:end w:w="90" w:type="dxa"/>
            </w:tcMar>
            <w:vAlign w:val="center"/>
          </w:tcPr>
          <w:p>
            <w:r>
              <w:rPr>
                <w:b/>
                <w:color w:val="FFFFFF"/>
                <w:sz w:val="16"/>
              </w:rPr>
              <w:t>Proposed answer</w:t>
            </w:r>
          </w:p>
        </w:tc>
      </w:tr>
      <w:tr>
        <w:tc>
          <w:tcPr>
            <w:tcW w:type="dxa" w:w="936"/>
            <w:shd w:fill="FFFFFF"/>
            <w:tcMar>
              <w:top w:w="65" w:type="dxa"/>
              <w:start w:w="90" w:type="dxa"/>
              <w:bottom w:w="65" w:type="dxa"/>
              <w:end w:w="90" w:type="dxa"/>
            </w:tcMar>
            <w:vAlign w:val="center"/>
          </w:tcPr>
          <w:p>
            <w:pPr>
              <w:spacing w:after="0" w:line="240" w:lineRule="auto"/>
            </w:pPr>
            <w:r>
              <w:rPr>
                <w:sz w:val="16"/>
              </w:rPr>
              <w:t>Q-006</w:t>
            </w:r>
          </w:p>
        </w:tc>
        <w:tc>
          <w:tcPr>
            <w:tcW w:type="dxa" w:w="3816"/>
            <w:shd w:fill="FFFFFF"/>
            <w:tcMar>
              <w:top w:w="65" w:type="dxa"/>
              <w:start w:w="90" w:type="dxa"/>
              <w:bottom w:w="65" w:type="dxa"/>
              <w:end w:w="90" w:type="dxa"/>
            </w:tcMar>
            <w:vAlign w:val="center"/>
          </w:tcPr>
          <w:p>
            <w:pPr>
              <w:spacing w:after="0" w:line="240" w:lineRule="auto"/>
            </w:pPr>
            <w:r>
              <w:rPr>
                <w:sz w:val="16"/>
              </w:rPr>
              <w:t>How should exceptions be assigned?</w:t>
            </w:r>
          </w:p>
        </w:tc>
        <w:tc>
          <w:tcPr>
            <w:tcW w:type="dxa" w:w="5184"/>
            <w:shd w:fill="FFFFFF"/>
            <w:tcMar>
              <w:top w:w="65" w:type="dxa"/>
              <w:start w:w="90" w:type="dxa"/>
              <w:bottom w:w="65" w:type="dxa"/>
              <w:end w:w="90" w:type="dxa"/>
            </w:tcMar>
            <w:vAlign w:val="center"/>
          </w:tcPr>
          <w:p>
            <w:pPr>
              <w:spacing w:after="0" w:line="240" w:lineRule="auto"/>
            </w:pPr>
            <w:r>
              <w:rPr>
                <w:sz w:val="16"/>
              </w:rPr>
              <w:t>Assign one accountable owner by affected field, source system and exception type; record supporting owners where needed.</w:t>
            </w:r>
          </w:p>
        </w:tc>
      </w:tr>
      <w:tr>
        <w:tc>
          <w:tcPr>
            <w:tcW w:type="dxa" w:w="936"/>
            <w:shd w:fill="EAF2F8"/>
            <w:tcMar>
              <w:top w:w="65" w:type="dxa"/>
              <w:start w:w="90" w:type="dxa"/>
              <w:bottom w:w="65" w:type="dxa"/>
              <w:end w:w="90" w:type="dxa"/>
            </w:tcMar>
            <w:vAlign w:val="center"/>
          </w:tcPr>
          <w:p>
            <w:pPr>
              <w:spacing w:after="0" w:line="240" w:lineRule="auto"/>
            </w:pPr>
            <w:r>
              <w:rPr>
                <w:sz w:val="16"/>
              </w:rPr>
              <w:t>Q-007</w:t>
            </w:r>
          </w:p>
        </w:tc>
        <w:tc>
          <w:tcPr>
            <w:tcW w:type="dxa" w:w="3816"/>
            <w:shd w:fill="EAF2F8"/>
            <w:tcMar>
              <w:top w:w="65" w:type="dxa"/>
              <w:start w:w="90" w:type="dxa"/>
              <w:bottom w:w="65" w:type="dxa"/>
              <w:end w:w="90" w:type="dxa"/>
            </w:tcMar>
            <w:vAlign w:val="center"/>
          </w:tcPr>
          <w:p>
            <w:pPr>
              <w:spacing w:after="0" w:line="240" w:lineRule="auto"/>
            </w:pPr>
            <w:r>
              <w:rPr>
                <w:sz w:val="16"/>
              </w:rPr>
              <w:t>How should an exception be corrected and closed?</w:t>
            </w:r>
          </w:p>
        </w:tc>
        <w:tc>
          <w:tcPr>
            <w:tcW w:type="dxa" w:w="5184"/>
            <w:shd w:fill="EAF2F8"/>
            <w:tcMar>
              <w:top w:w="65" w:type="dxa"/>
              <w:start w:w="90" w:type="dxa"/>
              <w:bottom w:w="65" w:type="dxa"/>
              <w:end w:w="90" w:type="dxa"/>
            </w:tcMar>
            <w:vAlign w:val="center"/>
          </w:tcPr>
          <w:p>
            <w:pPr>
              <w:spacing w:after="0" w:line="240" w:lineRule="auto"/>
            </w:pPr>
            <w:r>
              <w:rPr>
                <w:sz w:val="16"/>
              </w:rPr>
              <w:t>Correct the source, reload, revalidate, reprocess and close only after evidence and impact review.</w:t>
            </w:r>
          </w:p>
        </w:tc>
      </w:tr>
      <w:tr>
        <w:tc>
          <w:tcPr>
            <w:tcW w:type="dxa" w:w="936"/>
            <w:shd w:fill="FFFFFF"/>
            <w:tcMar>
              <w:top w:w="65" w:type="dxa"/>
              <w:start w:w="90" w:type="dxa"/>
              <w:bottom w:w="65" w:type="dxa"/>
              <w:end w:w="90" w:type="dxa"/>
            </w:tcMar>
            <w:vAlign w:val="center"/>
          </w:tcPr>
          <w:p>
            <w:pPr>
              <w:spacing w:after="0" w:line="240" w:lineRule="auto"/>
            </w:pPr>
            <w:r>
              <w:rPr>
                <w:sz w:val="16"/>
              </w:rPr>
              <w:t>Q-008</w:t>
            </w:r>
          </w:p>
        </w:tc>
        <w:tc>
          <w:tcPr>
            <w:tcW w:type="dxa" w:w="3816"/>
            <w:shd w:fill="FFFFFF"/>
            <w:tcMar>
              <w:top w:w="65" w:type="dxa"/>
              <w:start w:w="90" w:type="dxa"/>
              <w:bottom w:w="65" w:type="dxa"/>
              <w:end w:w="90" w:type="dxa"/>
            </w:tcMar>
            <w:vAlign w:val="center"/>
          </w:tcPr>
          <w:p>
            <w:pPr>
              <w:spacing w:after="0" w:line="240" w:lineRule="auto"/>
            </w:pPr>
            <w:r>
              <w:rPr>
                <w:sz w:val="16"/>
              </w:rPr>
              <w:t>How should severity be determined?</w:t>
            </w:r>
          </w:p>
        </w:tc>
        <w:tc>
          <w:tcPr>
            <w:tcW w:type="dxa" w:w="5184"/>
            <w:shd w:fill="FFFFFF"/>
            <w:tcMar>
              <w:top w:w="65" w:type="dxa"/>
              <w:start w:w="90" w:type="dxa"/>
              <w:bottom w:w="65" w:type="dxa"/>
              <w:end w:w="90" w:type="dxa"/>
            </w:tcMar>
            <w:vAlign w:val="center"/>
          </w:tcPr>
          <w:p>
            <w:pPr>
              <w:spacing w:after="0" w:line="240" w:lineRule="auto"/>
            </w:pPr>
            <w:r>
              <w:rPr>
                <w:sz w:val="16"/>
              </w:rPr>
              <w:t>Use calculation, exposure, record, regulatory, audit and deadline impact.</w:t>
            </w:r>
          </w:p>
        </w:tc>
      </w:tr>
      <w:tr>
        <w:tc>
          <w:tcPr>
            <w:tcW w:type="dxa" w:w="936"/>
            <w:shd w:fill="EAF2F8"/>
            <w:tcMar>
              <w:top w:w="65" w:type="dxa"/>
              <w:start w:w="90" w:type="dxa"/>
              <w:bottom w:w="65" w:type="dxa"/>
              <w:end w:w="90" w:type="dxa"/>
            </w:tcMar>
            <w:vAlign w:val="center"/>
          </w:tcPr>
          <w:p>
            <w:pPr>
              <w:spacing w:after="0" w:line="240" w:lineRule="auto"/>
            </w:pPr>
            <w:r>
              <w:rPr>
                <w:sz w:val="16"/>
              </w:rPr>
              <w:t>Q-009</w:t>
            </w:r>
          </w:p>
        </w:tc>
        <w:tc>
          <w:tcPr>
            <w:tcW w:type="dxa" w:w="3816"/>
            <w:shd w:fill="EAF2F8"/>
            <w:tcMar>
              <w:top w:w="65" w:type="dxa"/>
              <w:start w:w="90" w:type="dxa"/>
              <w:bottom w:w="65" w:type="dxa"/>
              <w:end w:w="90" w:type="dxa"/>
            </w:tcMar>
            <w:vAlign w:val="center"/>
          </w:tcPr>
          <w:p>
            <w:pPr>
              <w:spacing w:after="0" w:line="240" w:lineRule="auto"/>
            </w:pPr>
            <w:r>
              <w:rPr>
                <w:sz w:val="16"/>
              </w:rPr>
              <w:t>What evidence proves resolution?</w:t>
            </w:r>
          </w:p>
        </w:tc>
        <w:tc>
          <w:tcPr>
            <w:tcW w:type="dxa" w:w="5184"/>
            <w:shd w:fill="EAF2F8"/>
            <w:tcMar>
              <w:top w:w="65" w:type="dxa"/>
              <w:start w:w="90" w:type="dxa"/>
              <w:bottom w:w="65" w:type="dxa"/>
              <w:end w:w="90" w:type="dxa"/>
            </w:tcMar>
            <w:vAlign w:val="center"/>
          </w:tcPr>
          <w:p>
            <w:pPr>
              <w:spacing w:after="0" w:line="240" w:lineRule="auto"/>
            </w:pPr>
            <w:r>
              <w:rPr>
                <w:sz w:val="16"/>
              </w:rPr>
              <w:t>Retain original and corrected values, source ID, root cause, evidence, validator, timestamps and calculation impact.</w:t>
            </w:r>
          </w:p>
        </w:tc>
      </w:tr>
      <w:tr>
        <w:tc>
          <w:tcPr>
            <w:tcW w:type="dxa" w:w="936"/>
            <w:shd w:fill="FFFFFF"/>
            <w:tcMar>
              <w:top w:w="65" w:type="dxa"/>
              <w:start w:w="90" w:type="dxa"/>
              <w:bottom w:w="65" w:type="dxa"/>
              <w:end w:w="90" w:type="dxa"/>
            </w:tcMar>
            <w:vAlign w:val="center"/>
          </w:tcPr>
          <w:p>
            <w:pPr>
              <w:spacing w:after="0" w:line="240" w:lineRule="auto"/>
            </w:pPr>
            <w:r>
              <w:rPr>
                <w:sz w:val="16"/>
              </w:rPr>
              <w:t>Q-010</w:t>
            </w:r>
          </w:p>
        </w:tc>
        <w:tc>
          <w:tcPr>
            <w:tcW w:type="dxa" w:w="3816"/>
            <w:shd w:fill="FFFFFF"/>
            <w:tcMar>
              <w:top w:w="65" w:type="dxa"/>
              <w:start w:w="90" w:type="dxa"/>
              <w:bottom w:w="65" w:type="dxa"/>
              <w:end w:w="90" w:type="dxa"/>
            </w:tcMar>
            <w:vAlign w:val="center"/>
          </w:tcPr>
          <w:p>
            <w:pPr>
              <w:spacing w:after="0" w:line="240" w:lineRule="auto"/>
            </w:pPr>
            <w:r>
              <w:rPr>
                <w:sz w:val="16"/>
              </w:rPr>
              <w:t>How are ageing and escalation controlled?</w:t>
            </w:r>
          </w:p>
        </w:tc>
        <w:tc>
          <w:tcPr>
            <w:tcW w:type="dxa" w:w="5184"/>
            <w:shd w:fill="FFFFFF"/>
            <w:tcMar>
              <w:top w:w="65" w:type="dxa"/>
              <w:start w:w="90" w:type="dxa"/>
              <w:bottom w:w="65" w:type="dxa"/>
              <w:end w:w="90" w:type="dxa"/>
            </w:tcMar>
            <w:vAlign w:val="center"/>
          </w:tcPr>
          <w:p>
            <w:pPr>
              <w:spacing w:after="0" w:line="240" w:lineRule="auto"/>
            </w:pPr>
            <w:r>
              <w:rPr>
                <w:sz w:val="16"/>
              </w:rPr>
              <w:t>Monitor age and SLA; escalate overdue high and critical items using an approved matrix.</w:t>
            </w:r>
          </w:p>
        </w:tc>
      </w:tr>
    </w:tbl>
    <w:p>
      <w:pPr>
        <w:spacing w:after="0"/>
      </w:pPr>
    </w:p>
    <w:p>
      <w:pPr>
        <w:pStyle w:val="Heading2"/>
      </w:pPr>
      <w:r>
        <w:t>Proposed exception statuses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2376"/>
            <w:shd w:fill="1F4E78"/>
            <w:tcMar>
              <w:top w:w="65" w:type="dxa"/>
              <w:start w:w="90" w:type="dxa"/>
              <w:bottom w:w="65" w:type="dxa"/>
              <w:end w:w="90" w:type="dxa"/>
            </w:tcMar>
            <w:vAlign w:val="center"/>
          </w:tcPr>
          <w:p>
            <w:r>
              <w:rPr>
                <w:b/>
                <w:color w:val="FFFFFF"/>
                <w:sz w:val="17"/>
              </w:rPr>
              <w:t>Status</w:t>
            </w:r>
          </w:p>
        </w:tc>
        <w:tc>
          <w:tcPr>
            <w:tcW w:type="dxa" w:w="7560"/>
            <w:shd w:fill="1F4E78"/>
            <w:tcMar>
              <w:top w:w="65" w:type="dxa"/>
              <w:start w:w="90" w:type="dxa"/>
              <w:bottom w:w="65" w:type="dxa"/>
              <w:end w:w="90" w:type="dxa"/>
            </w:tcMar>
            <w:vAlign w:val="center"/>
          </w:tcPr>
          <w:p>
            <w:r>
              <w:rPr>
                <w:b/>
                <w:color w:val="FFFFFF"/>
                <w:sz w:val="17"/>
              </w:rPr>
              <w:t>Meaning</w:t>
            </w:r>
          </w:p>
        </w:tc>
      </w:tr>
      <w:tr>
        <w:tc>
          <w:tcPr>
            <w:tcW w:type="dxa" w:w="2376"/>
            <w:shd w:fill="FFFFFF"/>
            <w:tcMar>
              <w:top w:w="65" w:type="dxa"/>
              <w:start w:w="90" w:type="dxa"/>
              <w:bottom w:w="65" w:type="dxa"/>
              <w:end w:w="90" w:type="dxa"/>
            </w:tcMar>
            <w:vAlign w:val="center"/>
          </w:tcPr>
          <w:p>
            <w:pPr>
              <w:spacing w:after="0" w:line="240" w:lineRule="auto"/>
            </w:pPr>
            <w:r>
              <w:rPr>
                <w:sz w:val="17"/>
              </w:rPr>
              <w:t>NEW</w:t>
            </w:r>
          </w:p>
        </w:tc>
        <w:tc>
          <w:tcPr>
            <w:tcW w:type="dxa" w:w="7560"/>
            <w:shd w:fill="FFFFFF"/>
            <w:tcMar>
              <w:top w:w="65" w:type="dxa"/>
              <w:start w:w="90" w:type="dxa"/>
              <w:bottom w:w="65" w:type="dxa"/>
              <w:end w:w="90" w:type="dxa"/>
            </w:tcMar>
            <w:vAlign w:val="center"/>
          </w:tcPr>
          <w:p>
            <w:pPr>
              <w:spacing w:after="0" w:line="240" w:lineRule="auto"/>
            </w:pPr>
            <w:r>
              <w:rPr>
                <w:sz w:val="17"/>
              </w:rPr>
              <w:t>Detected by a validation rule</w:t>
            </w:r>
          </w:p>
        </w:tc>
      </w:tr>
      <w:tr>
        <w:tc>
          <w:tcPr>
            <w:tcW w:type="dxa" w:w="2376"/>
            <w:shd w:fill="EAF2F8"/>
            <w:tcMar>
              <w:top w:w="65" w:type="dxa"/>
              <w:start w:w="90" w:type="dxa"/>
              <w:bottom w:w="65" w:type="dxa"/>
              <w:end w:w="90" w:type="dxa"/>
            </w:tcMar>
            <w:vAlign w:val="center"/>
          </w:tcPr>
          <w:p>
            <w:pPr>
              <w:spacing w:after="0" w:line="240" w:lineRule="auto"/>
            </w:pPr>
            <w:r>
              <w:rPr>
                <w:sz w:val="17"/>
              </w:rPr>
              <w:t>ASSIGNED</w:t>
            </w:r>
          </w:p>
        </w:tc>
        <w:tc>
          <w:tcPr>
            <w:tcW w:type="dxa" w:w="7560"/>
            <w:shd w:fill="EAF2F8"/>
            <w:tcMar>
              <w:top w:w="65" w:type="dxa"/>
              <w:start w:w="90" w:type="dxa"/>
              <w:bottom w:w="65" w:type="dxa"/>
              <w:end w:w="90" w:type="dxa"/>
            </w:tcMar>
            <w:vAlign w:val="center"/>
          </w:tcPr>
          <w:p>
            <w:pPr>
              <w:spacing w:after="0" w:line="240" w:lineRule="auto"/>
            </w:pPr>
            <w:r>
              <w:rPr>
                <w:sz w:val="17"/>
              </w:rPr>
              <w:t>Accountable owner identified</w:t>
            </w:r>
          </w:p>
        </w:tc>
      </w:tr>
      <w:tr>
        <w:tc>
          <w:tcPr>
            <w:tcW w:type="dxa" w:w="2376"/>
            <w:shd w:fill="FFFFFF"/>
            <w:tcMar>
              <w:top w:w="65" w:type="dxa"/>
              <w:start w:w="90" w:type="dxa"/>
              <w:bottom w:w="65" w:type="dxa"/>
              <w:end w:w="90" w:type="dxa"/>
            </w:tcMar>
            <w:vAlign w:val="center"/>
          </w:tcPr>
          <w:p>
            <w:pPr>
              <w:spacing w:after="0" w:line="240" w:lineRule="auto"/>
            </w:pPr>
            <w:r>
              <w:rPr>
                <w:sz w:val="17"/>
              </w:rPr>
              <w:t>IN_PROGRESS</w:t>
            </w:r>
          </w:p>
        </w:tc>
        <w:tc>
          <w:tcPr>
            <w:tcW w:type="dxa" w:w="7560"/>
            <w:shd w:fill="FFFFFF"/>
            <w:tcMar>
              <w:top w:w="65" w:type="dxa"/>
              <w:start w:w="90" w:type="dxa"/>
              <w:bottom w:w="65" w:type="dxa"/>
              <w:end w:w="90" w:type="dxa"/>
            </w:tcMar>
            <w:vAlign w:val="center"/>
          </w:tcPr>
          <w:p>
            <w:pPr>
              <w:spacing w:after="0" w:line="240" w:lineRule="auto"/>
            </w:pPr>
            <w:r>
              <w:rPr>
                <w:sz w:val="17"/>
              </w:rPr>
              <w:t>Investigation or correction underway</w:t>
            </w:r>
          </w:p>
        </w:tc>
      </w:tr>
      <w:tr>
        <w:tc>
          <w:tcPr>
            <w:tcW w:type="dxa" w:w="2376"/>
            <w:shd w:fill="EAF2F8"/>
            <w:tcMar>
              <w:top w:w="65" w:type="dxa"/>
              <w:start w:w="90" w:type="dxa"/>
              <w:bottom w:w="65" w:type="dxa"/>
              <w:end w:w="90" w:type="dxa"/>
            </w:tcMar>
            <w:vAlign w:val="center"/>
          </w:tcPr>
          <w:p>
            <w:pPr>
              <w:spacing w:after="0" w:line="240" w:lineRule="auto"/>
            </w:pPr>
            <w:r>
              <w:rPr>
                <w:sz w:val="17"/>
              </w:rPr>
              <w:t>PENDING_VALIDATION</w:t>
            </w:r>
          </w:p>
        </w:tc>
        <w:tc>
          <w:tcPr>
            <w:tcW w:type="dxa" w:w="7560"/>
            <w:shd w:fill="EAF2F8"/>
            <w:tcMar>
              <w:top w:w="65" w:type="dxa"/>
              <w:start w:w="90" w:type="dxa"/>
              <w:bottom w:w="65" w:type="dxa"/>
              <w:end w:w="90" w:type="dxa"/>
            </w:tcMar>
            <w:vAlign w:val="center"/>
          </w:tcPr>
          <w:p>
            <w:pPr>
              <w:spacing w:after="0" w:line="240" w:lineRule="auto"/>
            </w:pPr>
            <w:r>
              <w:rPr>
                <w:sz w:val="17"/>
              </w:rPr>
              <w:t>Correction submitted for verification</w:t>
            </w:r>
          </w:p>
        </w:tc>
      </w:tr>
      <w:tr>
        <w:tc>
          <w:tcPr>
            <w:tcW w:type="dxa" w:w="2376"/>
            <w:shd w:fill="FFFFFF"/>
            <w:tcMar>
              <w:top w:w="65" w:type="dxa"/>
              <w:start w:w="90" w:type="dxa"/>
              <w:bottom w:w="65" w:type="dxa"/>
              <w:end w:w="90" w:type="dxa"/>
            </w:tcMar>
            <w:vAlign w:val="center"/>
          </w:tcPr>
          <w:p>
            <w:pPr>
              <w:spacing w:after="0" w:line="240" w:lineRule="auto"/>
            </w:pPr>
            <w:r>
              <w:rPr>
                <w:sz w:val="17"/>
              </w:rPr>
              <w:t>RESOLVED</w:t>
            </w:r>
          </w:p>
        </w:tc>
        <w:tc>
          <w:tcPr>
            <w:tcW w:type="dxa" w:w="7560"/>
            <w:shd w:fill="FFFFFF"/>
            <w:tcMar>
              <w:top w:w="65" w:type="dxa"/>
              <w:start w:w="90" w:type="dxa"/>
              <w:bottom w:w="65" w:type="dxa"/>
              <w:end w:w="90" w:type="dxa"/>
            </w:tcMar>
            <w:vAlign w:val="center"/>
          </w:tcPr>
          <w:p>
            <w:pPr>
              <w:spacing w:after="0" w:line="240" w:lineRule="auto"/>
            </w:pPr>
            <w:r>
              <w:rPr>
                <w:sz w:val="17"/>
              </w:rPr>
              <w:t>Correction passes validation</w:t>
            </w:r>
          </w:p>
        </w:tc>
      </w:tr>
      <w:tr>
        <w:tc>
          <w:tcPr>
            <w:tcW w:type="dxa" w:w="2376"/>
            <w:shd w:fill="EAF2F8"/>
            <w:tcMar>
              <w:top w:w="65" w:type="dxa"/>
              <w:start w:w="90" w:type="dxa"/>
              <w:bottom w:w="65" w:type="dxa"/>
              <w:end w:w="90" w:type="dxa"/>
            </w:tcMar>
            <w:vAlign w:val="center"/>
          </w:tcPr>
          <w:p>
            <w:pPr>
              <w:spacing w:after="0" w:line="240" w:lineRule="auto"/>
            </w:pPr>
            <w:r>
              <w:rPr>
                <w:sz w:val="17"/>
              </w:rPr>
              <w:t>CLOSED</w:t>
            </w:r>
          </w:p>
        </w:tc>
        <w:tc>
          <w:tcPr>
            <w:tcW w:type="dxa" w:w="7560"/>
            <w:shd w:fill="EAF2F8"/>
            <w:tcMar>
              <w:top w:w="65" w:type="dxa"/>
              <w:start w:w="90" w:type="dxa"/>
              <w:bottom w:w="65" w:type="dxa"/>
              <w:end w:w="90" w:type="dxa"/>
            </w:tcMar>
            <w:vAlign w:val="center"/>
          </w:tcPr>
          <w:p>
            <w:pPr>
              <w:spacing w:after="0" w:line="240" w:lineRule="auto"/>
            </w:pPr>
            <w:r>
              <w:rPr>
                <w:sz w:val="17"/>
              </w:rPr>
              <w:t>Evidence and reporting impact accepted</w:t>
            </w:r>
          </w:p>
        </w:tc>
      </w:tr>
      <w:tr>
        <w:tc>
          <w:tcPr>
            <w:tcW w:type="dxa" w:w="2376"/>
            <w:shd w:fill="FFFFFF"/>
            <w:tcMar>
              <w:top w:w="65" w:type="dxa"/>
              <w:start w:w="90" w:type="dxa"/>
              <w:bottom w:w="65" w:type="dxa"/>
              <w:end w:w="90" w:type="dxa"/>
            </w:tcMar>
            <w:vAlign w:val="center"/>
          </w:tcPr>
          <w:p>
            <w:pPr>
              <w:spacing w:after="0" w:line="240" w:lineRule="auto"/>
            </w:pPr>
            <w:r>
              <w:rPr>
                <w:sz w:val="17"/>
              </w:rPr>
              <w:t>REOPENED</w:t>
            </w:r>
          </w:p>
        </w:tc>
        <w:tc>
          <w:tcPr>
            <w:tcW w:type="dxa" w:w="7560"/>
            <w:shd w:fill="FFFFFF"/>
            <w:tcMar>
              <w:top w:w="65" w:type="dxa"/>
              <w:start w:w="90" w:type="dxa"/>
              <w:bottom w:w="65" w:type="dxa"/>
              <w:end w:w="90" w:type="dxa"/>
            </w:tcMar>
            <w:vAlign w:val="center"/>
          </w:tcPr>
          <w:p>
            <w:pPr>
              <w:spacing w:after="0" w:line="240" w:lineRule="auto"/>
            </w:pPr>
            <w:r>
              <w:rPr>
                <w:sz w:val="17"/>
              </w:rPr>
              <w:t>Issue recurs or validation fails</w:t>
            </w:r>
          </w:p>
        </w:tc>
      </w:tr>
      <w:tr>
        <w:tc>
          <w:tcPr>
            <w:tcW w:type="dxa" w:w="2376"/>
            <w:shd w:fill="EAF2F8"/>
            <w:tcMar>
              <w:top w:w="65" w:type="dxa"/>
              <w:start w:w="90" w:type="dxa"/>
              <w:bottom w:w="65" w:type="dxa"/>
              <w:end w:w="90" w:type="dxa"/>
            </w:tcMar>
            <w:vAlign w:val="center"/>
          </w:tcPr>
          <w:p>
            <w:pPr>
              <w:spacing w:after="0" w:line="240" w:lineRule="auto"/>
            </w:pPr>
            <w:r>
              <w:rPr>
                <w:sz w:val="17"/>
              </w:rPr>
              <w:t>WAIVED</w:t>
            </w:r>
          </w:p>
        </w:tc>
        <w:tc>
          <w:tcPr>
            <w:tcW w:type="dxa" w:w="7560"/>
            <w:shd w:fill="EAF2F8"/>
            <w:tcMar>
              <w:top w:w="65" w:type="dxa"/>
              <w:start w:w="90" w:type="dxa"/>
              <w:bottom w:w="65" w:type="dxa"/>
              <w:end w:w="90" w:type="dxa"/>
            </w:tcMar>
            <w:vAlign w:val="center"/>
          </w:tcPr>
          <w:p>
            <w:pPr>
              <w:spacing w:after="0" w:line="240" w:lineRule="auto"/>
            </w:pPr>
            <w:r>
              <w:rPr>
                <w:sz w:val="17"/>
              </w:rPr>
              <w:t>Authorized acceptance with reason and expiry</w:t>
            </w:r>
          </w:p>
        </w:tc>
      </w:tr>
    </w:tbl>
    <w:p>
      <w:pPr>
        <w:spacing w:after="0"/>
      </w:pPr>
    </w:p>
    <w:p>
      <w:pPr>
        <w:pStyle w:val="Heading2"/>
      </w:pPr>
      <w:r>
        <w:t>Draft requirements</w:t>
      </w:r>
    </w:p>
    <w:p>
      <w:pPr>
        <w:spacing w:before="80" w:after="40"/>
      </w:pPr>
      <w:r>
        <w:rPr>
          <w:b/>
        </w:rPr>
        <w:t>BR-006  Ownership</w:t>
      </w:r>
    </w:p>
    <w:p>
      <w:pPr>
        <w:spacing w:after="80"/>
        <w:ind w:left="259"/>
      </w:pPr>
      <w:r>
        <w:t>Every exception shall have one accountable owner, severity, status, impact and target date.</w:t>
      </w:r>
    </w:p>
    <w:p>
      <w:pPr>
        <w:spacing w:before="80" w:after="40"/>
      </w:pPr>
      <w:r>
        <w:rPr>
          <w:b/>
        </w:rPr>
        <w:t>BR-007  Correction workflow</w:t>
      </w:r>
    </w:p>
    <w:p>
      <w:pPr>
        <w:spacing w:after="80"/>
        <w:ind w:left="259"/>
      </w:pPr>
      <w:r>
        <w:t>Source corrections are preferred; temporary adjustments require approval, evidence and expiry.</w:t>
      </w:r>
    </w:p>
    <w:p>
      <w:pPr>
        <w:spacing w:before="80" w:after="40"/>
      </w:pPr>
      <w:r>
        <w:rPr>
          <w:b/>
        </w:rPr>
        <w:t>BR-008  Severity</w:t>
      </w:r>
    </w:p>
    <w:p>
      <w:pPr>
        <w:spacing w:after="80"/>
        <w:ind w:left="259"/>
      </w:pPr>
      <w:r>
        <w:t>Classify and prioritize exceptions using approved impact criteria; unresolved critical items are reporting blockers unless waived.</w:t>
      </w:r>
    </w:p>
    <w:p>
      <w:pPr>
        <w:spacing w:before="80" w:after="40"/>
      </w:pPr>
      <w:r>
        <w:rPr>
          <w:b/>
        </w:rPr>
        <w:t>BR-009  Resolution evidence</w:t>
      </w:r>
    </w:p>
    <w:p>
      <w:pPr>
        <w:spacing w:after="80"/>
        <w:ind w:left="259"/>
      </w:pPr>
      <w:r>
        <w:t>An exception may close only when evidence, revalidation and reporting impact are documented.</w:t>
      </w:r>
    </w:p>
    <w:p>
      <w:pPr>
        <w:spacing w:before="80" w:after="40"/>
      </w:pPr>
      <w:r>
        <w:rPr>
          <w:b/>
        </w:rPr>
        <w:t>BR-010  Monitoring</w:t>
      </w:r>
    </w:p>
    <w:p>
      <w:pPr>
        <w:spacing w:after="80"/>
        <w:ind w:left="259"/>
      </w:pPr>
      <w:r>
        <w:t>Provide ageing, SLA, escalation and recurrence monitoring by owner and severity.</w:t>
      </w:r>
    </w:p>
    <w:p>
      <w:pPr>
        <w:pStyle w:val="Heading1"/>
      </w:pPr>
      <w:r>
        <w:t>4 ESG Operations team</w:t>
      </w:r>
    </w:p>
    <w:p>
      <w:r>
        <w:t>Role: execute the reporting process, review data submissions, investigate operational issues and prepare reporting outputs.</w:t>
      </w:r>
    </w:p>
    <w:p>
      <w:pPr>
        <w:pStyle w:val="Heading2"/>
      </w:pPr>
      <w:r>
        <w:t>Do not repeat</w:t>
      </w:r>
    </w:p>
    <w:p>
      <w:r>
        <w:t>Do not ask this team to redefine the approved reporting perimeter or methodology. Ask whether the approved rules can be operated efficiently and what information users need to complete their work.</w:t>
      </w:r>
    </w:p>
    <w:p>
      <w:pPr>
        <w:pStyle w:val="Heading2"/>
      </w:pPr>
      <w:r>
        <w:t>Role specific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792"/>
            <w:shd w:fill="1F4E78"/>
            <w:tcMar>
              <w:top w:w="65" w:type="dxa"/>
              <w:start w:w="90" w:type="dxa"/>
              <w:bottom w:w="65" w:type="dxa"/>
              <w:end w:w="90" w:type="dxa"/>
            </w:tcMar>
            <w:vAlign w:val="center"/>
          </w:tcPr>
          <w:p>
            <w:r>
              <w:rPr>
                <w:b/>
                <w:color w:val="FFFFFF"/>
                <w:sz w:val="15"/>
              </w:rPr>
              <w:t>ID</w:t>
            </w:r>
          </w:p>
        </w:tc>
        <w:tc>
          <w:tcPr>
            <w:tcW w:type="dxa" w:w="1584"/>
            <w:shd w:fill="1F4E78"/>
            <w:tcMar>
              <w:top w:w="65" w:type="dxa"/>
              <w:start w:w="90" w:type="dxa"/>
              <w:bottom w:w="65" w:type="dxa"/>
              <w:end w:w="90" w:type="dxa"/>
            </w:tcMar>
            <w:vAlign w:val="center"/>
          </w:tcPr>
          <w:p>
            <w:r>
              <w:rPr>
                <w:b/>
                <w:color w:val="FFFFFF"/>
                <w:sz w:val="15"/>
              </w:rPr>
              <w:t>Area</w:t>
            </w:r>
          </w:p>
        </w:tc>
        <w:tc>
          <w:tcPr>
            <w:tcW w:type="dxa" w:w="4896"/>
            <w:shd w:fill="1F4E78"/>
            <w:tcMar>
              <w:top w:w="65" w:type="dxa"/>
              <w:start w:w="90" w:type="dxa"/>
              <w:bottom w:w="65" w:type="dxa"/>
              <w:end w:w="90" w:type="dxa"/>
            </w:tcMar>
            <w:vAlign w:val="center"/>
          </w:tcPr>
          <w:p>
            <w:r>
              <w:rPr>
                <w:b/>
                <w:color w:val="FFFFFF"/>
                <w:sz w:val="15"/>
              </w:rPr>
              <w:t>Interview question</w:t>
            </w:r>
          </w:p>
        </w:tc>
        <w:tc>
          <w:tcPr>
            <w:tcW w:type="dxa" w:w="2664"/>
            <w:shd w:fill="1F4E78"/>
            <w:tcMar>
              <w:top w:w="65" w:type="dxa"/>
              <w:start w:w="90" w:type="dxa"/>
              <w:bottom w:w="65" w:type="dxa"/>
              <w:end w:w="90" w:type="dxa"/>
            </w:tcMar>
            <w:vAlign w:val="center"/>
          </w:tcPr>
          <w:p>
            <w:r>
              <w:rPr>
                <w:b/>
                <w:color w:val="FFFFFF"/>
                <w:sz w:val="15"/>
              </w:rPr>
              <w:t>Why it matters</w:t>
            </w:r>
          </w:p>
        </w:tc>
      </w:tr>
      <w:tr>
        <w:tc>
          <w:tcPr>
            <w:tcW w:type="dxa" w:w="792"/>
            <w:shd w:fill="FFFFFF"/>
            <w:tcMar>
              <w:top w:w="65" w:type="dxa"/>
              <w:start w:w="90" w:type="dxa"/>
              <w:bottom w:w="65" w:type="dxa"/>
              <w:end w:w="90" w:type="dxa"/>
            </w:tcMar>
            <w:vAlign w:val="center"/>
          </w:tcPr>
          <w:p>
            <w:pPr>
              <w:spacing w:after="0" w:line="240" w:lineRule="auto"/>
            </w:pPr>
            <w:r>
              <w:rPr>
                <w:sz w:val="15"/>
              </w:rPr>
              <w:t>Q-011</w:t>
            </w:r>
          </w:p>
        </w:tc>
        <w:tc>
          <w:tcPr>
            <w:tcW w:type="dxa" w:w="1584"/>
            <w:shd w:fill="FFFFFF"/>
            <w:tcMar>
              <w:top w:w="65" w:type="dxa"/>
              <w:start w:w="90" w:type="dxa"/>
              <w:bottom w:w="65" w:type="dxa"/>
              <w:end w:w="90" w:type="dxa"/>
            </w:tcMar>
            <w:vAlign w:val="center"/>
          </w:tcPr>
          <w:p>
            <w:pPr>
              <w:spacing w:after="0" w:line="240" w:lineRule="auto"/>
            </w:pPr>
            <w:r>
              <w:rPr>
                <w:sz w:val="15"/>
              </w:rPr>
              <w:t>Current process</w:t>
            </w:r>
          </w:p>
        </w:tc>
        <w:tc>
          <w:tcPr>
            <w:tcW w:type="dxa" w:w="4896"/>
            <w:shd w:fill="FFFFFF"/>
            <w:tcMar>
              <w:top w:w="65" w:type="dxa"/>
              <w:start w:w="90" w:type="dxa"/>
              <w:bottom w:w="65" w:type="dxa"/>
              <w:end w:w="90" w:type="dxa"/>
            </w:tcMar>
            <w:vAlign w:val="center"/>
          </w:tcPr>
          <w:p>
            <w:pPr>
              <w:spacing w:after="0" w:line="240" w:lineRule="auto"/>
            </w:pPr>
            <w:r>
              <w:rPr>
                <w:sz w:val="15"/>
              </w:rPr>
              <w:t>What steps, systems, files and manual checks are used from data receipt to publication?</w:t>
            </w:r>
          </w:p>
        </w:tc>
        <w:tc>
          <w:tcPr>
            <w:tcW w:type="dxa" w:w="2664"/>
            <w:shd w:fill="FFFFFF"/>
            <w:tcMar>
              <w:top w:w="65" w:type="dxa"/>
              <w:start w:w="90" w:type="dxa"/>
              <w:bottom w:w="65" w:type="dxa"/>
              <w:end w:w="90" w:type="dxa"/>
            </w:tcMar>
            <w:vAlign w:val="center"/>
          </w:tcPr>
          <w:p>
            <w:pPr>
              <w:spacing w:after="0" w:line="240" w:lineRule="auto"/>
            </w:pPr>
            <w:r>
              <w:rPr>
                <w:sz w:val="15"/>
              </w:rPr>
              <w:t>Identifies process gaps, handoffs and automation opportunities.</w:t>
            </w:r>
          </w:p>
        </w:tc>
      </w:tr>
      <w:tr>
        <w:tc>
          <w:tcPr>
            <w:tcW w:type="dxa" w:w="792"/>
            <w:shd w:fill="EAF2F8"/>
            <w:tcMar>
              <w:top w:w="65" w:type="dxa"/>
              <w:start w:w="90" w:type="dxa"/>
              <w:bottom w:w="65" w:type="dxa"/>
              <w:end w:w="90" w:type="dxa"/>
            </w:tcMar>
            <w:vAlign w:val="center"/>
          </w:tcPr>
          <w:p>
            <w:pPr>
              <w:spacing w:after="0" w:line="240" w:lineRule="auto"/>
            </w:pPr>
            <w:r>
              <w:rPr>
                <w:sz w:val="15"/>
              </w:rPr>
              <w:t>Q-012</w:t>
            </w:r>
          </w:p>
        </w:tc>
        <w:tc>
          <w:tcPr>
            <w:tcW w:type="dxa" w:w="1584"/>
            <w:shd w:fill="EAF2F8"/>
            <w:tcMar>
              <w:top w:w="65" w:type="dxa"/>
              <w:start w:w="90" w:type="dxa"/>
              <w:bottom w:w="65" w:type="dxa"/>
              <w:end w:w="90" w:type="dxa"/>
            </w:tcMar>
            <w:vAlign w:val="center"/>
          </w:tcPr>
          <w:p>
            <w:pPr>
              <w:spacing w:after="0" w:line="240" w:lineRule="auto"/>
            </w:pPr>
            <w:r>
              <w:rPr>
                <w:sz w:val="15"/>
              </w:rPr>
              <w:t>Operational controls</w:t>
            </w:r>
          </w:p>
        </w:tc>
        <w:tc>
          <w:tcPr>
            <w:tcW w:type="dxa" w:w="4896"/>
            <w:shd w:fill="EAF2F8"/>
            <w:tcMar>
              <w:top w:w="65" w:type="dxa"/>
              <w:start w:w="90" w:type="dxa"/>
              <w:bottom w:w="65" w:type="dxa"/>
              <w:end w:w="90" w:type="dxa"/>
            </w:tcMar>
            <w:vAlign w:val="center"/>
          </w:tcPr>
          <w:p>
            <w:pPr>
              <w:spacing w:after="0" w:line="240" w:lineRule="auto"/>
            </w:pPr>
            <w:r>
              <w:rPr>
                <w:sz w:val="15"/>
              </w:rPr>
              <w:t>Which reconciliations and review checkpoints are required during each reporting cycle?</w:t>
            </w:r>
          </w:p>
        </w:tc>
        <w:tc>
          <w:tcPr>
            <w:tcW w:type="dxa" w:w="2664"/>
            <w:shd w:fill="EAF2F8"/>
            <w:tcMar>
              <w:top w:w="65" w:type="dxa"/>
              <w:start w:w="90" w:type="dxa"/>
              <w:bottom w:w="65" w:type="dxa"/>
              <w:end w:w="90" w:type="dxa"/>
            </w:tcMar>
            <w:vAlign w:val="center"/>
          </w:tcPr>
          <w:p>
            <w:pPr>
              <w:spacing w:after="0" w:line="240" w:lineRule="auto"/>
            </w:pPr>
            <w:r>
              <w:rPr>
                <w:sz w:val="15"/>
              </w:rPr>
              <w:t>Defines operational control requirements.</w:t>
            </w:r>
          </w:p>
        </w:tc>
      </w:tr>
      <w:tr>
        <w:tc>
          <w:tcPr>
            <w:tcW w:type="dxa" w:w="792"/>
            <w:shd w:fill="FFFFFF"/>
            <w:tcMar>
              <w:top w:w="65" w:type="dxa"/>
              <w:start w:w="90" w:type="dxa"/>
              <w:bottom w:w="65" w:type="dxa"/>
              <w:end w:w="90" w:type="dxa"/>
            </w:tcMar>
            <w:vAlign w:val="center"/>
          </w:tcPr>
          <w:p>
            <w:pPr>
              <w:spacing w:after="0" w:line="240" w:lineRule="auto"/>
            </w:pPr>
            <w:r>
              <w:rPr>
                <w:sz w:val="15"/>
              </w:rPr>
              <w:t>Q-013</w:t>
            </w:r>
          </w:p>
        </w:tc>
        <w:tc>
          <w:tcPr>
            <w:tcW w:type="dxa" w:w="1584"/>
            <w:shd w:fill="FFFFFF"/>
            <w:tcMar>
              <w:top w:w="65" w:type="dxa"/>
              <w:start w:w="90" w:type="dxa"/>
              <w:bottom w:w="65" w:type="dxa"/>
              <w:end w:w="90" w:type="dxa"/>
            </w:tcMar>
            <w:vAlign w:val="center"/>
          </w:tcPr>
          <w:p>
            <w:pPr>
              <w:spacing w:after="0" w:line="240" w:lineRule="auto"/>
            </w:pPr>
            <w:r>
              <w:rPr>
                <w:sz w:val="15"/>
              </w:rPr>
              <w:t>Exception usability</w:t>
            </w:r>
          </w:p>
        </w:tc>
        <w:tc>
          <w:tcPr>
            <w:tcW w:type="dxa" w:w="4896"/>
            <w:shd w:fill="FFFFFF"/>
            <w:tcMar>
              <w:top w:w="65" w:type="dxa"/>
              <w:start w:w="90" w:type="dxa"/>
              <w:bottom w:w="65" w:type="dxa"/>
              <w:end w:w="90" w:type="dxa"/>
            </w:tcMar>
            <w:vAlign w:val="center"/>
          </w:tcPr>
          <w:p>
            <w:pPr>
              <w:spacing w:after="0" w:line="240" w:lineRule="auto"/>
            </w:pPr>
            <w:r>
              <w:rPr>
                <w:sz w:val="15"/>
              </w:rPr>
              <w:t>Which fields, filters, comments and bulk actions are needed to investigate exceptions?</w:t>
            </w:r>
          </w:p>
        </w:tc>
        <w:tc>
          <w:tcPr>
            <w:tcW w:type="dxa" w:w="2664"/>
            <w:shd w:fill="FFFFFF"/>
            <w:tcMar>
              <w:top w:w="65" w:type="dxa"/>
              <w:start w:w="90" w:type="dxa"/>
              <w:bottom w:w="65" w:type="dxa"/>
              <w:end w:w="90" w:type="dxa"/>
            </w:tcMar>
            <w:vAlign w:val="center"/>
          </w:tcPr>
          <w:p>
            <w:pPr>
              <w:spacing w:after="0" w:line="240" w:lineRule="auto"/>
            </w:pPr>
            <w:r>
              <w:rPr>
                <w:sz w:val="15"/>
              </w:rPr>
              <w:t>Shapes the exception-management interface.</w:t>
            </w:r>
          </w:p>
        </w:tc>
      </w:tr>
      <w:tr>
        <w:tc>
          <w:tcPr>
            <w:tcW w:type="dxa" w:w="792"/>
            <w:shd w:fill="EAF2F8"/>
            <w:tcMar>
              <w:top w:w="65" w:type="dxa"/>
              <w:start w:w="90" w:type="dxa"/>
              <w:bottom w:w="65" w:type="dxa"/>
              <w:end w:w="90" w:type="dxa"/>
            </w:tcMar>
            <w:vAlign w:val="center"/>
          </w:tcPr>
          <w:p>
            <w:pPr>
              <w:spacing w:after="0" w:line="240" w:lineRule="auto"/>
            </w:pPr>
            <w:r>
              <w:rPr>
                <w:sz w:val="15"/>
              </w:rPr>
              <w:t>Q-014</w:t>
            </w:r>
          </w:p>
        </w:tc>
        <w:tc>
          <w:tcPr>
            <w:tcW w:type="dxa" w:w="1584"/>
            <w:shd w:fill="EAF2F8"/>
            <w:tcMar>
              <w:top w:w="65" w:type="dxa"/>
              <w:start w:w="90" w:type="dxa"/>
              <w:bottom w:w="65" w:type="dxa"/>
              <w:end w:w="90" w:type="dxa"/>
            </w:tcMar>
            <w:vAlign w:val="center"/>
          </w:tcPr>
          <w:p>
            <w:pPr>
              <w:spacing w:after="0" w:line="240" w:lineRule="auto"/>
            </w:pPr>
            <w:r>
              <w:rPr>
                <w:sz w:val="15"/>
              </w:rPr>
              <w:t>Refresh and cut-off</w:t>
            </w:r>
          </w:p>
        </w:tc>
        <w:tc>
          <w:tcPr>
            <w:tcW w:type="dxa" w:w="4896"/>
            <w:shd w:fill="EAF2F8"/>
            <w:tcMar>
              <w:top w:w="65" w:type="dxa"/>
              <w:start w:w="90" w:type="dxa"/>
              <w:bottom w:w="65" w:type="dxa"/>
              <w:end w:w="90" w:type="dxa"/>
            </w:tcMar>
            <w:vAlign w:val="center"/>
          </w:tcPr>
          <w:p>
            <w:pPr>
              <w:spacing w:after="0" w:line="240" w:lineRule="auto"/>
            </w:pPr>
            <w:r>
              <w:rPr>
                <w:sz w:val="15"/>
              </w:rPr>
              <w:t>What cut-off dates, refresh frequency and rerun process are required?</w:t>
            </w:r>
          </w:p>
        </w:tc>
        <w:tc>
          <w:tcPr>
            <w:tcW w:type="dxa" w:w="2664"/>
            <w:shd w:fill="EAF2F8"/>
            <w:tcMar>
              <w:top w:w="65" w:type="dxa"/>
              <w:start w:w="90" w:type="dxa"/>
              <w:bottom w:w="65" w:type="dxa"/>
              <w:end w:w="90" w:type="dxa"/>
            </w:tcMar>
            <w:vAlign w:val="center"/>
          </w:tcPr>
          <w:p>
            <w:pPr>
              <w:spacing w:after="0" w:line="240" w:lineRule="auto"/>
            </w:pPr>
            <w:r>
              <w:rPr>
                <w:sz w:val="15"/>
              </w:rPr>
              <w:t>Defines the reporting timetable and data availability.</w:t>
            </w:r>
          </w:p>
        </w:tc>
      </w:tr>
      <w:tr>
        <w:tc>
          <w:tcPr>
            <w:tcW w:type="dxa" w:w="792"/>
            <w:shd w:fill="FFFFFF"/>
            <w:tcMar>
              <w:top w:w="65" w:type="dxa"/>
              <w:start w:w="90" w:type="dxa"/>
              <w:bottom w:w="65" w:type="dxa"/>
              <w:end w:w="90" w:type="dxa"/>
            </w:tcMar>
            <w:vAlign w:val="center"/>
          </w:tcPr>
          <w:p>
            <w:pPr>
              <w:spacing w:after="0" w:line="240" w:lineRule="auto"/>
            </w:pPr>
            <w:r>
              <w:rPr>
                <w:sz w:val="15"/>
              </w:rPr>
              <w:t>Q-015</w:t>
            </w:r>
          </w:p>
        </w:tc>
        <w:tc>
          <w:tcPr>
            <w:tcW w:type="dxa" w:w="1584"/>
            <w:shd w:fill="FFFFFF"/>
            <w:tcMar>
              <w:top w:w="65" w:type="dxa"/>
              <w:start w:w="90" w:type="dxa"/>
              <w:bottom w:w="65" w:type="dxa"/>
              <w:end w:w="90" w:type="dxa"/>
            </w:tcMar>
            <w:vAlign w:val="center"/>
          </w:tcPr>
          <w:p>
            <w:pPr>
              <w:spacing w:after="0" w:line="240" w:lineRule="auto"/>
            </w:pPr>
            <w:r>
              <w:rPr>
                <w:sz w:val="15"/>
              </w:rPr>
              <w:t>Output preparation</w:t>
            </w:r>
          </w:p>
        </w:tc>
        <w:tc>
          <w:tcPr>
            <w:tcW w:type="dxa" w:w="4896"/>
            <w:shd w:fill="FFFFFF"/>
            <w:tcMar>
              <w:top w:w="65" w:type="dxa"/>
              <w:start w:w="90" w:type="dxa"/>
              <w:bottom w:w="65" w:type="dxa"/>
              <w:end w:w="90" w:type="dxa"/>
            </w:tcMar>
            <w:vAlign w:val="center"/>
          </w:tcPr>
          <w:p>
            <w:pPr>
              <w:spacing w:after="0" w:line="240" w:lineRule="auto"/>
            </w:pPr>
            <w:r>
              <w:rPr>
                <w:sz w:val="15"/>
              </w:rPr>
              <w:t>Which extracts, narratives and review packs must be produced?</w:t>
            </w:r>
          </w:p>
        </w:tc>
        <w:tc>
          <w:tcPr>
            <w:tcW w:type="dxa" w:w="2664"/>
            <w:shd w:fill="FFFFFF"/>
            <w:tcMar>
              <w:top w:w="65" w:type="dxa"/>
              <w:start w:w="90" w:type="dxa"/>
              <w:bottom w:w="65" w:type="dxa"/>
              <w:end w:w="90" w:type="dxa"/>
            </w:tcMar>
            <w:vAlign w:val="center"/>
          </w:tcPr>
          <w:p>
            <w:pPr>
              <w:spacing w:after="0" w:line="240" w:lineRule="auto"/>
            </w:pPr>
            <w:r>
              <w:rPr>
                <w:sz w:val="15"/>
              </w:rPr>
              <w:t>Defines operational exports and handover outputs.</w:t>
            </w:r>
          </w:p>
        </w:tc>
      </w:tr>
    </w:tbl>
    <w:p>
      <w:pPr>
        <w:spacing w:after="0"/>
      </w:pPr>
    </w:p>
    <w:p>
      <w:pPr>
        <w:pStyle w:val="Heading2"/>
      </w:pPr>
      <w:r>
        <w:t>Proposed answers</w:t>
      </w:r>
    </w:p>
    <w:p>
      <w:pPr>
        <w:pStyle w:val="ListBullet"/>
        <w:spacing w:after="40"/>
      </w:pPr>
      <w:r>
        <w:t>Maintain a visible workflow from received data through validation, calculation, review and publication.</w:t>
      </w:r>
    </w:p>
    <w:p>
      <w:pPr>
        <w:pStyle w:val="ListBullet"/>
        <w:spacing w:after="40"/>
      </w:pPr>
      <w:r>
        <w:t>Reconcile record counts and exposure totals to source systems at each reporting snapshot.</w:t>
      </w:r>
    </w:p>
    <w:p>
      <w:pPr>
        <w:pStyle w:val="ListBullet"/>
        <w:spacing w:after="40"/>
      </w:pPr>
      <w:r>
        <w:t>Allow exception filtering by owner, severity, status, age, counterparty and affected exposure.</w:t>
      </w:r>
    </w:p>
    <w:p>
      <w:pPr>
        <w:pStyle w:val="ListBullet"/>
        <w:spacing w:after="40"/>
      </w:pPr>
      <w:r>
        <w:t>Support controlled reruns after validated corrections without overwriting earlier reporting snapshots.</w:t>
      </w:r>
    </w:p>
    <w:p>
      <w:pPr>
        <w:pStyle w:val="ListBullet"/>
        <w:spacing w:after="40"/>
      </w:pPr>
      <w:r>
        <w:t>Provide exportable review packs with KPI definitions, coverage, exceptions and period-on-period movements.</w:t>
      </w:r>
    </w:p>
    <w:p>
      <w:pPr>
        <w:pStyle w:val="Heading2"/>
      </w:pPr>
      <w:r>
        <w:t>Draft requirements</w:t>
      </w:r>
    </w:p>
    <w:p>
      <w:pPr>
        <w:spacing w:before="80" w:after="40"/>
      </w:pPr>
      <w:r>
        <w:rPr>
          <w:b/>
        </w:rPr>
        <w:t>BR-011  Process visibility</w:t>
      </w:r>
    </w:p>
    <w:p>
      <w:pPr>
        <w:spacing w:after="80"/>
        <w:ind w:left="259"/>
      </w:pPr>
      <w:r>
        <w:t>The solution shall show the reporting-cycle status and completion of required control steps.</w:t>
      </w:r>
    </w:p>
    <w:p>
      <w:pPr>
        <w:spacing w:before="80" w:after="40"/>
      </w:pPr>
      <w:r>
        <w:rPr>
          <w:b/>
        </w:rPr>
        <w:t>BR-012  Reconciliation</w:t>
      </w:r>
    </w:p>
    <w:p>
      <w:pPr>
        <w:spacing w:after="80"/>
        <w:ind w:left="259"/>
      </w:pPr>
      <w:r>
        <w:t>The solution shall reconcile source counts and exposure totals with processed and reported totals.</w:t>
      </w:r>
    </w:p>
    <w:p>
      <w:pPr>
        <w:spacing w:before="80" w:after="40"/>
      </w:pPr>
      <w:r>
        <w:rPr>
          <w:b/>
        </w:rPr>
        <w:t>BR-013  Operational usability</w:t>
      </w:r>
    </w:p>
    <w:p>
      <w:pPr>
        <w:spacing w:after="80"/>
        <w:ind w:left="259"/>
      </w:pPr>
      <w:r>
        <w:t>The solution shall support filters, comments, assignments and authorized bulk actions for exception management.</w:t>
      </w:r>
    </w:p>
    <w:p>
      <w:pPr>
        <w:spacing w:before="80" w:after="40"/>
      </w:pPr>
      <w:r>
        <w:rPr>
          <w:b/>
        </w:rPr>
        <w:t>BR-014  Cut-off and reruns</w:t>
      </w:r>
    </w:p>
    <w:p>
      <w:pPr>
        <w:spacing w:after="80"/>
        <w:ind w:left="259"/>
      </w:pPr>
      <w:r>
        <w:t>The solution shall support defined cut-off dates, controlled reruns and immutable published snapshots.</w:t>
      </w:r>
    </w:p>
    <w:p>
      <w:pPr>
        <w:spacing w:before="80" w:after="40"/>
      </w:pPr>
      <w:r>
        <w:rPr>
          <w:b/>
        </w:rPr>
        <w:t>BR-015  Reporting packs</w:t>
      </w:r>
    </w:p>
    <w:p>
      <w:pPr>
        <w:spacing w:after="80"/>
        <w:ind w:left="259"/>
      </w:pPr>
      <w:r>
        <w:t>The solution shall generate approved operational review outputs and exports.</w:t>
      </w:r>
    </w:p>
    <w:p>
      <w:r>
        <w:br w:type="page"/>
      </w:r>
    </w:p>
    <w:p>
      <w:pPr>
        <w:pStyle w:val="Heading1"/>
      </w:pPr>
      <w:r>
        <w:t>5 Data Warehouse team</w:t>
      </w:r>
    </w:p>
    <w:p>
      <w:r>
        <w:t>Role: integrate source data, implement transformations, preserve history and operate reliable data pipelines.</w:t>
      </w:r>
    </w:p>
    <w:p>
      <w:pPr>
        <w:pStyle w:val="Heading2"/>
      </w:pPr>
      <w:r>
        <w:t>Assumptions to validate</w:t>
      </w:r>
    </w:p>
    <w:p>
      <w:pPr>
        <w:pStyle w:val="ListBullet"/>
        <w:spacing w:after="40"/>
      </w:pPr>
      <w:r>
        <w:t>Six principal source domains will be integrated: loans, counterparties, emissions, FX, sector factors and Taxonomy mappings.</w:t>
      </w:r>
    </w:p>
    <w:p>
      <w:pPr>
        <w:pStyle w:val="ListBullet"/>
        <w:spacing w:after="40"/>
      </w:pPr>
      <w:r>
        <w:t>Raw source data must remain unchanged.</w:t>
      </w:r>
    </w:p>
    <w:p>
      <w:pPr>
        <w:pStyle w:val="ListBullet"/>
        <w:spacing w:after="40"/>
      </w:pPr>
      <w:r>
        <w:t>Selected and calculation-ready layers must be unique at the required business grain.</w:t>
      </w:r>
    </w:p>
    <w:p>
      <w:pPr>
        <w:pStyle w:val="ListBullet"/>
        <w:spacing w:after="40"/>
      </w:pPr>
      <w:r>
        <w:t>Historical reporting snapshots and rule versions must be retained.</w:t>
      </w:r>
    </w:p>
    <w:p>
      <w:pPr>
        <w:pStyle w:val="Heading2"/>
      </w:pPr>
      <w:r>
        <w:t>Role specific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864"/>
            <w:shd w:fill="1F4E78"/>
            <w:tcMar>
              <w:top w:w="65" w:type="dxa"/>
              <w:start w:w="90" w:type="dxa"/>
              <w:bottom w:w="65" w:type="dxa"/>
              <w:end w:w="90" w:type="dxa"/>
            </w:tcMar>
            <w:vAlign w:val="center"/>
          </w:tcPr>
          <w:p>
            <w:r>
              <w:rPr>
                <w:b/>
                <w:color w:val="FFFFFF"/>
                <w:sz w:val="16"/>
              </w:rPr>
              <w:t>ID</w:t>
            </w:r>
          </w:p>
        </w:tc>
        <w:tc>
          <w:tcPr>
            <w:tcW w:type="dxa" w:w="1800"/>
            <w:shd w:fill="1F4E78"/>
            <w:tcMar>
              <w:top w:w="65" w:type="dxa"/>
              <w:start w:w="90" w:type="dxa"/>
              <w:bottom w:w="65" w:type="dxa"/>
              <w:end w:w="90" w:type="dxa"/>
            </w:tcMar>
            <w:vAlign w:val="center"/>
          </w:tcPr>
          <w:p>
            <w:r>
              <w:rPr>
                <w:b/>
                <w:color w:val="FFFFFF"/>
                <w:sz w:val="16"/>
              </w:rPr>
              <w:t>Area</w:t>
            </w:r>
          </w:p>
        </w:tc>
        <w:tc>
          <w:tcPr>
            <w:tcW w:type="dxa" w:w="7560"/>
            <w:shd w:fill="1F4E78"/>
            <w:tcMar>
              <w:top w:w="65" w:type="dxa"/>
              <w:start w:w="90" w:type="dxa"/>
              <w:bottom w:w="65" w:type="dxa"/>
              <w:end w:w="90" w:type="dxa"/>
            </w:tcMar>
            <w:vAlign w:val="center"/>
          </w:tcPr>
          <w:p>
            <w:r>
              <w:rPr>
                <w:b/>
                <w:color w:val="FFFFFF"/>
                <w:sz w:val="16"/>
              </w:rPr>
              <w:t>Interview question</w:t>
            </w:r>
          </w:p>
        </w:tc>
      </w:tr>
      <w:tr>
        <w:tc>
          <w:tcPr>
            <w:tcW w:type="dxa" w:w="864"/>
            <w:shd w:fill="FFFFFF"/>
            <w:tcMar>
              <w:top w:w="65" w:type="dxa"/>
              <w:start w:w="90" w:type="dxa"/>
              <w:bottom w:w="65" w:type="dxa"/>
              <w:end w:w="90" w:type="dxa"/>
            </w:tcMar>
            <w:vAlign w:val="center"/>
          </w:tcPr>
          <w:p>
            <w:pPr>
              <w:spacing w:after="0" w:line="240" w:lineRule="auto"/>
            </w:pPr>
            <w:r>
              <w:rPr>
                <w:sz w:val="16"/>
              </w:rPr>
              <w:t>Q-016</w:t>
            </w:r>
          </w:p>
        </w:tc>
        <w:tc>
          <w:tcPr>
            <w:tcW w:type="dxa" w:w="1800"/>
            <w:shd w:fill="FFFFFF"/>
            <w:tcMar>
              <w:top w:w="65" w:type="dxa"/>
              <w:start w:w="90" w:type="dxa"/>
              <w:bottom w:w="65" w:type="dxa"/>
              <w:end w:w="90" w:type="dxa"/>
            </w:tcMar>
            <w:vAlign w:val="center"/>
          </w:tcPr>
          <w:p>
            <w:pPr>
              <w:spacing w:after="0" w:line="240" w:lineRule="auto"/>
            </w:pPr>
            <w:r>
              <w:rPr>
                <w:sz w:val="16"/>
              </w:rPr>
              <w:t>Sources</w:t>
            </w:r>
          </w:p>
        </w:tc>
        <w:tc>
          <w:tcPr>
            <w:tcW w:type="dxa" w:w="7560"/>
            <w:shd w:fill="FFFFFF"/>
            <w:tcMar>
              <w:top w:w="65" w:type="dxa"/>
              <w:start w:w="90" w:type="dxa"/>
              <w:bottom w:w="65" w:type="dxa"/>
              <w:end w:w="90" w:type="dxa"/>
            </w:tcMar>
            <w:vAlign w:val="center"/>
          </w:tcPr>
          <w:p>
            <w:pPr>
              <w:spacing w:after="0" w:line="240" w:lineRule="auto"/>
            </w:pPr>
            <w:r>
              <w:rPr>
                <w:sz w:val="16"/>
              </w:rPr>
              <w:t>How are each source's owner, interface, schema, delivery method and refresh schedule defined?</w:t>
            </w:r>
          </w:p>
        </w:tc>
      </w:tr>
      <w:tr>
        <w:tc>
          <w:tcPr>
            <w:tcW w:type="dxa" w:w="864"/>
            <w:shd w:fill="EAF2F8"/>
            <w:tcMar>
              <w:top w:w="65" w:type="dxa"/>
              <w:start w:w="90" w:type="dxa"/>
              <w:bottom w:w="65" w:type="dxa"/>
              <w:end w:w="90" w:type="dxa"/>
            </w:tcMar>
            <w:vAlign w:val="center"/>
          </w:tcPr>
          <w:p>
            <w:pPr>
              <w:spacing w:after="0" w:line="240" w:lineRule="auto"/>
            </w:pPr>
            <w:r>
              <w:rPr>
                <w:sz w:val="16"/>
              </w:rPr>
              <w:t>Q-017</w:t>
            </w:r>
          </w:p>
        </w:tc>
        <w:tc>
          <w:tcPr>
            <w:tcW w:type="dxa" w:w="1800"/>
            <w:shd w:fill="EAF2F8"/>
            <w:tcMar>
              <w:top w:w="65" w:type="dxa"/>
              <w:start w:w="90" w:type="dxa"/>
              <w:bottom w:w="65" w:type="dxa"/>
              <w:end w:w="90" w:type="dxa"/>
            </w:tcMar>
            <w:vAlign w:val="center"/>
          </w:tcPr>
          <w:p>
            <w:pPr>
              <w:spacing w:after="0" w:line="240" w:lineRule="auto"/>
            </w:pPr>
            <w:r>
              <w:rPr>
                <w:sz w:val="16"/>
              </w:rPr>
              <w:t>Architecture</w:t>
            </w:r>
          </w:p>
        </w:tc>
        <w:tc>
          <w:tcPr>
            <w:tcW w:type="dxa" w:w="7560"/>
            <w:shd w:fill="EAF2F8"/>
            <w:tcMar>
              <w:top w:w="65" w:type="dxa"/>
              <w:start w:w="90" w:type="dxa"/>
              <w:bottom w:w="65" w:type="dxa"/>
              <w:end w:w="90" w:type="dxa"/>
            </w:tcMar>
            <w:vAlign w:val="center"/>
          </w:tcPr>
          <w:p>
            <w:pPr>
              <w:spacing w:after="0" w:line="240" w:lineRule="auto"/>
            </w:pPr>
            <w:r>
              <w:rPr>
                <w:sz w:val="16"/>
              </w:rPr>
              <w:t>Which raw, standardized, validated, selected and reporting layers are required?</w:t>
            </w:r>
          </w:p>
        </w:tc>
      </w:tr>
      <w:tr>
        <w:tc>
          <w:tcPr>
            <w:tcW w:type="dxa" w:w="864"/>
            <w:shd w:fill="FFFFFF"/>
            <w:tcMar>
              <w:top w:w="65" w:type="dxa"/>
              <w:start w:w="90" w:type="dxa"/>
              <w:bottom w:w="65" w:type="dxa"/>
              <w:end w:w="90" w:type="dxa"/>
            </w:tcMar>
            <w:vAlign w:val="center"/>
          </w:tcPr>
          <w:p>
            <w:pPr>
              <w:spacing w:after="0" w:line="240" w:lineRule="auto"/>
            </w:pPr>
            <w:r>
              <w:rPr>
                <w:sz w:val="16"/>
              </w:rPr>
              <w:t>Q-018</w:t>
            </w:r>
          </w:p>
        </w:tc>
        <w:tc>
          <w:tcPr>
            <w:tcW w:type="dxa" w:w="1800"/>
            <w:shd w:fill="FFFFFF"/>
            <w:tcMar>
              <w:top w:w="65" w:type="dxa"/>
              <w:start w:w="90" w:type="dxa"/>
              <w:bottom w:w="65" w:type="dxa"/>
              <w:end w:w="90" w:type="dxa"/>
            </w:tcMar>
            <w:vAlign w:val="center"/>
          </w:tcPr>
          <w:p>
            <w:pPr>
              <w:spacing w:after="0" w:line="240" w:lineRule="auto"/>
            </w:pPr>
            <w:r>
              <w:rPr>
                <w:sz w:val="16"/>
              </w:rPr>
              <w:t>History</w:t>
            </w:r>
          </w:p>
        </w:tc>
        <w:tc>
          <w:tcPr>
            <w:tcW w:type="dxa" w:w="7560"/>
            <w:shd w:fill="FFFFFF"/>
            <w:tcMar>
              <w:top w:w="65" w:type="dxa"/>
              <w:start w:w="90" w:type="dxa"/>
              <w:bottom w:w="65" w:type="dxa"/>
              <w:end w:w="90" w:type="dxa"/>
            </w:tcMar>
            <w:vAlign w:val="center"/>
          </w:tcPr>
          <w:p>
            <w:pPr>
              <w:spacing w:after="0" w:line="240" w:lineRule="auto"/>
            </w:pPr>
            <w:r>
              <w:rPr>
                <w:sz w:val="16"/>
              </w:rPr>
              <w:t>How will effective dates, late-arriving data, restatements and reporting snapshots be retained?</w:t>
            </w:r>
          </w:p>
        </w:tc>
      </w:tr>
      <w:tr>
        <w:tc>
          <w:tcPr>
            <w:tcW w:type="dxa" w:w="864"/>
            <w:shd w:fill="EAF2F8"/>
            <w:tcMar>
              <w:top w:w="65" w:type="dxa"/>
              <w:start w:w="90" w:type="dxa"/>
              <w:bottom w:w="65" w:type="dxa"/>
              <w:end w:w="90" w:type="dxa"/>
            </w:tcMar>
            <w:vAlign w:val="center"/>
          </w:tcPr>
          <w:p>
            <w:pPr>
              <w:spacing w:after="0" w:line="240" w:lineRule="auto"/>
            </w:pPr>
            <w:r>
              <w:rPr>
                <w:sz w:val="16"/>
              </w:rPr>
              <w:t>Q-019</w:t>
            </w:r>
          </w:p>
        </w:tc>
        <w:tc>
          <w:tcPr>
            <w:tcW w:type="dxa" w:w="1800"/>
            <w:shd w:fill="EAF2F8"/>
            <w:tcMar>
              <w:top w:w="65" w:type="dxa"/>
              <w:start w:w="90" w:type="dxa"/>
              <w:bottom w:w="65" w:type="dxa"/>
              <w:end w:w="90" w:type="dxa"/>
            </w:tcMar>
            <w:vAlign w:val="center"/>
          </w:tcPr>
          <w:p>
            <w:pPr>
              <w:spacing w:after="0" w:line="240" w:lineRule="auto"/>
            </w:pPr>
            <w:r>
              <w:rPr>
                <w:sz w:val="16"/>
              </w:rPr>
              <w:t>Controls</w:t>
            </w:r>
          </w:p>
        </w:tc>
        <w:tc>
          <w:tcPr>
            <w:tcW w:type="dxa" w:w="7560"/>
            <w:shd w:fill="EAF2F8"/>
            <w:tcMar>
              <w:top w:w="65" w:type="dxa"/>
              <w:start w:w="90" w:type="dxa"/>
              <w:bottom w:w="65" w:type="dxa"/>
              <w:end w:w="90" w:type="dxa"/>
            </w:tcMar>
            <w:vAlign w:val="center"/>
          </w:tcPr>
          <w:p>
            <w:pPr>
              <w:spacing w:after="0" w:line="240" w:lineRule="auto"/>
            </w:pPr>
            <w:r>
              <w:rPr>
                <w:sz w:val="16"/>
              </w:rPr>
              <w:t>Which automated completeness, uniqueness, referential-integrity and reconciliation checks are required?</w:t>
            </w:r>
          </w:p>
        </w:tc>
      </w:tr>
      <w:tr>
        <w:tc>
          <w:tcPr>
            <w:tcW w:type="dxa" w:w="864"/>
            <w:shd w:fill="FFFFFF"/>
            <w:tcMar>
              <w:top w:w="65" w:type="dxa"/>
              <w:start w:w="90" w:type="dxa"/>
              <w:bottom w:w="65" w:type="dxa"/>
              <w:end w:w="90" w:type="dxa"/>
            </w:tcMar>
            <w:vAlign w:val="center"/>
          </w:tcPr>
          <w:p>
            <w:pPr>
              <w:spacing w:after="0" w:line="240" w:lineRule="auto"/>
            </w:pPr>
            <w:r>
              <w:rPr>
                <w:sz w:val="16"/>
              </w:rPr>
              <w:t>Q-020</w:t>
            </w:r>
          </w:p>
        </w:tc>
        <w:tc>
          <w:tcPr>
            <w:tcW w:type="dxa" w:w="1800"/>
            <w:shd w:fill="FFFFFF"/>
            <w:tcMar>
              <w:top w:w="65" w:type="dxa"/>
              <w:start w:w="90" w:type="dxa"/>
              <w:bottom w:w="65" w:type="dxa"/>
              <w:end w:w="90" w:type="dxa"/>
            </w:tcMar>
            <w:vAlign w:val="center"/>
          </w:tcPr>
          <w:p>
            <w:pPr>
              <w:spacing w:after="0" w:line="240" w:lineRule="auto"/>
            </w:pPr>
            <w:r>
              <w:rPr>
                <w:sz w:val="16"/>
              </w:rPr>
              <w:t>Operations</w:t>
            </w:r>
          </w:p>
        </w:tc>
        <w:tc>
          <w:tcPr>
            <w:tcW w:type="dxa" w:w="7560"/>
            <w:shd w:fill="FFFFFF"/>
            <w:tcMar>
              <w:top w:w="65" w:type="dxa"/>
              <w:start w:w="90" w:type="dxa"/>
              <w:bottom w:w="65" w:type="dxa"/>
              <w:end w:w="90" w:type="dxa"/>
            </w:tcMar>
            <w:vAlign w:val="center"/>
          </w:tcPr>
          <w:p>
            <w:pPr>
              <w:spacing w:after="0" w:line="240" w:lineRule="auto"/>
            </w:pPr>
            <w:r>
              <w:rPr>
                <w:sz w:val="16"/>
              </w:rPr>
              <w:t>What monitoring, restart, incident, performance and recovery requirements apply to the pipeline?</w:t>
            </w:r>
          </w:p>
        </w:tc>
      </w:tr>
    </w:tbl>
    <w:p>
      <w:pPr>
        <w:spacing w:after="0"/>
      </w:pPr>
    </w:p>
    <w:p>
      <w:pPr>
        <w:pStyle w:val="Heading2"/>
      </w:pPr>
      <w:r>
        <w:t>Proposed target flow</w:t>
      </w:r>
    </w:p>
    <w:p>
      <w:r>
        <w:t>Source extraction -&gt; immutable raw layer -&gt; standardized layer -&gt; validation and exception layer -&gt; selected reference and emissions records -&gt; calculation layer -&gt; semantic model -&gt; Power BI</w:t>
      </w:r>
    </w:p>
    <w:p>
      <w:pPr>
        <w:pStyle w:val="Heading2"/>
      </w:pPr>
      <w:r>
        <w:t>Draft requirements</w:t>
      </w:r>
    </w:p>
    <w:p>
      <w:pPr>
        <w:spacing w:before="80" w:after="40"/>
      </w:pPr>
      <w:r>
        <w:rPr>
          <w:b/>
        </w:rPr>
        <w:t>BR-016  Source contracts</w:t>
      </w:r>
    </w:p>
    <w:p>
      <w:pPr>
        <w:spacing w:after="80"/>
        <w:ind w:left="259"/>
      </w:pPr>
      <w:r>
        <w:t>Each source shall have a documented owner, schema, delivery mechanism, frequency and quality expectation.</w:t>
      </w:r>
    </w:p>
    <w:p>
      <w:pPr>
        <w:spacing w:before="80" w:after="40"/>
      </w:pPr>
      <w:r>
        <w:rPr>
          <w:b/>
        </w:rPr>
        <w:t>BR-017  Layered architecture</w:t>
      </w:r>
    </w:p>
    <w:p>
      <w:pPr>
        <w:spacing w:after="80"/>
        <w:ind w:left="259"/>
      </w:pPr>
      <w:r>
        <w:t>The warehouse shall separate raw, standardized, validated, selected and reporting-ready data.</w:t>
      </w:r>
    </w:p>
    <w:p>
      <w:pPr>
        <w:spacing w:before="80" w:after="40"/>
      </w:pPr>
      <w:r>
        <w:rPr>
          <w:b/>
        </w:rPr>
        <w:t>BR-018  History</w:t>
      </w:r>
    </w:p>
    <w:p>
      <w:pPr>
        <w:spacing w:after="80"/>
        <w:ind w:left="259"/>
      </w:pPr>
      <w:r>
        <w:t>The warehouse shall preserve effective dates, source timestamps, snapshot dates and prior published results.</w:t>
      </w:r>
    </w:p>
    <w:p>
      <w:pPr>
        <w:spacing w:before="80" w:after="40"/>
      </w:pPr>
      <w:r>
        <w:rPr>
          <w:b/>
        </w:rPr>
        <w:t>BR-019  Automated controls</w:t>
      </w:r>
    </w:p>
    <w:p>
      <w:pPr>
        <w:spacing w:after="80"/>
        <w:ind w:left="259"/>
      </w:pPr>
      <w:r>
        <w:t>The pipeline shall execute completeness, uniqueness, referential-integrity and reconciliation rules and write failures to the exception layer.</w:t>
      </w:r>
    </w:p>
    <w:p>
      <w:pPr>
        <w:spacing w:before="80" w:after="40"/>
      </w:pPr>
      <w:r>
        <w:rPr>
          <w:b/>
        </w:rPr>
        <w:t>BR-020  Pipeline monitoring</w:t>
      </w:r>
    </w:p>
    <w:p>
      <w:pPr>
        <w:spacing w:after="80"/>
        <w:ind w:left="259"/>
      </w:pPr>
      <w:r>
        <w:t>The solution shall record load status, row counts, failures, retries, processing times and recovery outcomes.</w:t>
      </w:r>
    </w:p>
    <w:p>
      <w:r>
        <w:br w:type="page"/>
      </w:r>
    </w:p>
    <w:p>
      <w:pPr>
        <w:pStyle w:val="Heading1"/>
      </w:pPr>
      <w:r>
        <w:t>6 Risk Management</w:t>
      </w:r>
    </w:p>
    <w:p>
      <w:r>
        <w:t>Role: analyse emissions exposure and concentration, understand uncertainty and incorporate results into portfolio risk discussions.</w:t>
      </w:r>
    </w:p>
    <w:p>
      <w:pPr>
        <w:pStyle w:val="Heading2"/>
      </w:pPr>
      <w:r>
        <w:t>Role specific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864"/>
            <w:shd w:fill="1F4E78"/>
            <w:tcMar>
              <w:top w:w="65" w:type="dxa"/>
              <w:start w:w="90" w:type="dxa"/>
              <w:bottom w:w="65" w:type="dxa"/>
              <w:end w:w="90" w:type="dxa"/>
            </w:tcMar>
            <w:vAlign w:val="center"/>
          </w:tcPr>
          <w:p>
            <w:r>
              <w:rPr>
                <w:b/>
                <w:color w:val="FFFFFF"/>
                <w:sz w:val="16"/>
              </w:rPr>
              <w:t>ID</w:t>
            </w:r>
          </w:p>
        </w:tc>
        <w:tc>
          <w:tcPr>
            <w:tcW w:type="dxa" w:w="1872"/>
            <w:shd w:fill="1F4E78"/>
            <w:tcMar>
              <w:top w:w="65" w:type="dxa"/>
              <w:start w:w="90" w:type="dxa"/>
              <w:bottom w:w="65" w:type="dxa"/>
              <w:end w:w="90" w:type="dxa"/>
            </w:tcMar>
            <w:vAlign w:val="center"/>
          </w:tcPr>
          <w:p>
            <w:r>
              <w:rPr>
                <w:b/>
                <w:color w:val="FFFFFF"/>
                <w:sz w:val="16"/>
              </w:rPr>
              <w:t>Area</w:t>
            </w:r>
          </w:p>
        </w:tc>
        <w:tc>
          <w:tcPr>
            <w:tcW w:type="dxa" w:w="7488"/>
            <w:shd w:fill="1F4E78"/>
            <w:tcMar>
              <w:top w:w="65" w:type="dxa"/>
              <w:start w:w="90" w:type="dxa"/>
              <w:bottom w:w="65" w:type="dxa"/>
              <w:end w:w="90" w:type="dxa"/>
            </w:tcMar>
            <w:vAlign w:val="center"/>
          </w:tcPr>
          <w:p>
            <w:r>
              <w:rPr>
                <w:b/>
                <w:color w:val="FFFFFF"/>
                <w:sz w:val="16"/>
              </w:rPr>
              <w:t>Interview question</w:t>
            </w:r>
          </w:p>
        </w:tc>
      </w:tr>
      <w:tr>
        <w:tc>
          <w:tcPr>
            <w:tcW w:type="dxa" w:w="864"/>
            <w:shd w:fill="FFFFFF"/>
            <w:tcMar>
              <w:top w:w="65" w:type="dxa"/>
              <w:start w:w="90" w:type="dxa"/>
              <w:bottom w:w="65" w:type="dxa"/>
              <w:end w:w="90" w:type="dxa"/>
            </w:tcMar>
            <w:vAlign w:val="center"/>
          </w:tcPr>
          <w:p>
            <w:pPr>
              <w:spacing w:after="0" w:line="240" w:lineRule="auto"/>
            </w:pPr>
            <w:r>
              <w:rPr>
                <w:sz w:val="16"/>
              </w:rPr>
              <w:t>Q-021</w:t>
            </w:r>
          </w:p>
        </w:tc>
        <w:tc>
          <w:tcPr>
            <w:tcW w:type="dxa" w:w="1872"/>
            <w:shd w:fill="FFFFFF"/>
            <w:tcMar>
              <w:top w:w="65" w:type="dxa"/>
              <w:start w:w="90" w:type="dxa"/>
              <w:bottom w:w="65" w:type="dxa"/>
              <w:end w:w="90" w:type="dxa"/>
            </w:tcMar>
            <w:vAlign w:val="center"/>
          </w:tcPr>
          <w:p>
            <w:pPr>
              <w:spacing w:after="0" w:line="240" w:lineRule="auto"/>
            </w:pPr>
            <w:r>
              <w:rPr>
                <w:sz w:val="16"/>
              </w:rPr>
              <w:t>Risk decisions</w:t>
            </w:r>
          </w:p>
        </w:tc>
        <w:tc>
          <w:tcPr>
            <w:tcW w:type="dxa" w:w="7488"/>
            <w:shd w:fill="FFFFFF"/>
            <w:tcMar>
              <w:top w:w="65" w:type="dxa"/>
              <w:start w:w="90" w:type="dxa"/>
              <w:bottom w:w="65" w:type="dxa"/>
              <w:end w:w="90" w:type="dxa"/>
            </w:tcMar>
            <w:vAlign w:val="center"/>
          </w:tcPr>
          <w:p>
            <w:pPr>
              <w:spacing w:after="0" w:line="240" w:lineRule="auto"/>
            </w:pPr>
            <w:r>
              <w:rPr>
                <w:sz w:val="16"/>
              </w:rPr>
              <w:t>Which portfolio decisions should financed emissions information support?</w:t>
            </w:r>
          </w:p>
        </w:tc>
      </w:tr>
      <w:tr>
        <w:tc>
          <w:tcPr>
            <w:tcW w:type="dxa" w:w="864"/>
            <w:shd w:fill="EAF2F8"/>
            <w:tcMar>
              <w:top w:w="65" w:type="dxa"/>
              <w:start w:w="90" w:type="dxa"/>
              <w:bottom w:w="65" w:type="dxa"/>
              <w:end w:w="90" w:type="dxa"/>
            </w:tcMar>
            <w:vAlign w:val="center"/>
          </w:tcPr>
          <w:p>
            <w:pPr>
              <w:spacing w:after="0" w:line="240" w:lineRule="auto"/>
            </w:pPr>
            <w:r>
              <w:rPr>
                <w:sz w:val="16"/>
              </w:rPr>
              <w:t>Q-022</w:t>
            </w:r>
          </w:p>
        </w:tc>
        <w:tc>
          <w:tcPr>
            <w:tcW w:type="dxa" w:w="1872"/>
            <w:shd w:fill="EAF2F8"/>
            <w:tcMar>
              <w:top w:w="65" w:type="dxa"/>
              <w:start w:w="90" w:type="dxa"/>
              <w:bottom w:w="65" w:type="dxa"/>
              <w:end w:w="90" w:type="dxa"/>
            </w:tcMar>
            <w:vAlign w:val="center"/>
          </w:tcPr>
          <w:p>
            <w:pPr>
              <w:spacing w:after="0" w:line="240" w:lineRule="auto"/>
            </w:pPr>
            <w:r>
              <w:rPr>
                <w:sz w:val="16"/>
              </w:rPr>
              <w:t>Dimensions</w:t>
            </w:r>
          </w:p>
        </w:tc>
        <w:tc>
          <w:tcPr>
            <w:tcW w:type="dxa" w:w="7488"/>
            <w:shd w:fill="EAF2F8"/>
            <w:tcMar>
              <w:top w:w="65" w:type="dxa"/>
              <w:start w:w="90" w:type="dxa"/>
              <w:bottom w:w="65" w:type="dxa"/>
              <w:end w:w="90" w:type="dxa"/>
            </w:tcMar>
            <w:vAlign w:val="center"/>
          </w:tcPr>
          <w:p>
            <w:pPr>
              <w:spacing w:after="0" w:line="240" w:lineRule="auto"/>
            </w:pPr>
            <w:r>
              <w:rPr>
                <w:sz w:val="16"/>
              </w:rPr>
              <w:t>Which sector, geography, product, counterparty and maturity breakdowns are required?</w:t>
            </w:r>
          </w:p>
        </w:tc>
      </w:tr>
      <w:tr>
        <w:tc>
          <w:tcPr>
            <w:tcW w:type="dxa" w:w="864"/>
            <w:shd w:fill="FFFFFF"/>
            <w:tcMar>
              <w:top w:w="65" w:type="dxa"/>
              <w:start w:w="90" w:type="dxa"/>
              <w:bottom w:w="65" w:type="dxa"/>
              <w:end w:w="90" w:type="dxa"/>
            </w:tcMar>
            <w:vAlign w:val="center"/>
          </w:tcPr>
          <w:p>
            <w:pPr>
              <w:spacing w:after="0" w:line="240" w:lineRule="auto"/>
            </w:pPr>
            <w:r>
              <w:rPr>
                <w:sz w:val="16"/>
              </w:rPr>
              <w:t>Q-023</w:t>
            </w:r>
          </w:p>
        </w:tc>
        <w:tc>
          <w:tcPr>
            <w:tcW w:type="dxa" w:w="1872"/>
            <w:shd w:fill="FFFFFF"/>
            <w:tcMar>
              <w:top w:w="65" w:type="dxa"/>
              <w:start w:w="90" w:type="dxa"/>
              <w:bottom w:w="65" w:type="dxa"/>
              <w:end w:w="90" w:type="dxa"/>
            </w:tcMar>
            <w:vAlign w:val="center"/>
          </w:tcPr>
          <w:p>
            <w:pPr>
              <w:spacing w:after="0" w:line="240" w:lineRule="auto"/>
            </w:pPr>
            <w:r>
              <w:rPr>
                <w:sz w:val="16"/>
              </w:rPr>
              <w:t>Materiality</w:t>
            </w:r>
          </w:p>
        </w:tc>
        <w:tc>
          <w:tcPr>
            <w:tcW w:type="dxa" w:w="7488"/>
            <w:shd w:fill="FFFFFF"/>
            <w:tcMar>
              <w:top w:w="65" w:type="dxa"/>
              <w:start w:w="90" w:type="dxa"/>
              <w:bottom w:w="65" w:type="dxa"/>
              <w:end w:w="90" w:type="dxa"/>
            </w:tcMar>
            <w:vAlign w:val="center"/>
          </w:tcPr>
          <w:p>
            <w:pPr>
              <w:spacing w:after="0" w:line="240" w:lineRule="auto"/>
            </w:pPr>
            <w:r>
              <w:rPr>
                <w:sz w:val="16"/>
              </w:rPr>
              <w:t>Which exposure or KPI thresholds identify a material concentration or data gap?</w:t>
            </w:r>
          </w:p>
        </w:tc>
      </w:tr>
      <w:tr>
        <w:tc>
          <w:tcPr>
            <w:tcW w:type="dxa" w:w="864"/>
            <w:shd w:fill="EAF2F8"/>
            <w:tcMar>
              <w:top w:w="65" w:type="dxa"/>
              <w:start w:w="90" w:type="dxa"/>
              <w:bottom w:w="65" w:type="dxa"/>
              <w:end w:w="90" w:type="dxa"/>
            </w:tcMar>
            <w:vAlign w:val="center"/>
          </w:tcPr>
          <w:p>
            <w:pPr>
              <w:spacing w:after="0" w:line="240" w:lineRule="auto"/>
            </w:pPr>
            <w:r>
              <w:rPr>
                <w:sz w:val="16"/>
              </w:rPr>
              <w:t>Q-024</w:t>
            </w:r>
          </w:p>
        </w:tc>
        <w:tc>
          <w:tcPr>
            <w:tcW w:type="dxa" w:w="1872"/>
            <w:shd w:fill="EAF2F8"/>
            <w:tcMar>
              <w:top w:w="65" w:type="dxa"/>
              <w:start w:w="90" w:type="dxa"/>
              <w:bottom w:w="65" w:type="dxa"/>
              <w:end w:w="90" w:type="dxa"/>
            </w:tcMar>
            <w:vAlign w:val="center"/>
          </w:tcPr>
          <w:p>
            <w:pPr>
              <w:spacing w:after="0" w:line="240" w:lineRule="auto"/>
            </w:pPr>
            <w:r>
              <w:rPr>
                <w:sz w:val="16"/>
              </w:rPr>
              <w:t>Uncertainty</w:t>
            </w:r>
          </w:p>
        </w:tc>
        <w:tc>
          <w:tcPr>
            <w:tcW w:type="dxa" w:w="7488"/>
            <w:shd w:fill="EAF2F8"/>
            <w:tcMar>
              <w:top w:w="65" w:type="dxa"/>
              <w:start w:w="90" w:type="dxa"/>
              <w:bottom w:w="65" w:type="dxa"/>
              <w:end w:w="90" w:type="dxa"/>
            </w:tcMar>
            <w:vAlign w:val="center"/>
          </w:tcPr>
          <w:p>
            <w:pPr>
              <w:spacing w:after="0" w:line="240" w:lineRule="auto"/>
            </w:pPr>
            <w:r>
              <w:rPr>
                <w:sz w:val="16"/>
              </w:rPr>
              <w:t>How should reported, estimated, stale and not-calculable results be presented and interpreted?</w:t>
            </w:r>
          </w:p>
        </w:tc>
      </w:tr>
      <w:tr>
        <w:tc>
          <w:tcPr>
            <w:tcW w:type="dxa" w:w="864"/>
            <w:shd w:fill="FFFFFF"/>
            <w:tcMar>
              <w:top w:w="65" w:type="dxa"/>
              <w:start w:w="90" w:type="dxa"/>
              <w:bottom w:w="65" w:type="dxa"/>
              <w:end w:w="90" w:type="dxa"/>
            </w:tcMar>
            <w:vAlign w:val="center"/>
          </w:tcPr>
          <w:p>
            <w:pPr>
              <w:spacing w:after="0" w:line="240" w:lineRule="auto"/>
            </w:pPr>
            <w:r>
              <w:rPr>
                <w:sz w:val="16"/>
              </w:rPr>
              <w:t>Q-025</w:t>
            </w:r>
          </w:p>
        </w:tc>
        <w:tc>
          <w:tcPr>
            <w:tcW w:type="dxa" w:w="1872"/>
            <w:shd w:fill="FFFFFF"/>
            <w:tcMar>
              <w:top w:w="65" w:type="dxa"/>
              <w:start w:w="90" w:type="dxa"/>
              <w:bottom w:w="65" w:type="dxa"/>
              <w:end w:w="90" w:type="dxa"/>
            </w:tcMar>
            <w:vAlign w:val="center"/>
          </w:tcPr>
          <w:p>
            <w:pPr>
              <w:spacing w:after="0" w:line="240" w:lineRule="auto"/>
            </w:pPr>
            <w:r>
              <w:rPr>
                <w:sz w:val="16"/>
              </w:rPr>
              <w:t>Comparison</w:t>
            </w:r>
          </w:p>
        </w:tc>
        <w:tc>
          <w:tcPr>
            <w:tcW w:type="dxa" w:w="7488"/>
            <w:shd w:fill="FFFFFF"/>
            <w:tcMar>
              <w:top w:w="65" w:type="dxa"/>
              <w:start w:w="90" w:type="dxa"/>
              <w:bottom w:w="65" w:type="dxa"/>
              <w:end w:w="90" w:type="dxa"/>
            </w:tcMar>
            <w:vAlign w:val="center"/>
          </w:tcPr>
          <w:p>
            <w:pPr>
              <w:spacing w:after="0" w:line="240" w:lineRule="auto"/>
            </w:pPr>
            <w:r>
              <w:rPr>
                <w:sz w:val="16"/>
              </w:rPr>
              <w:t>Which period, target, scenario or benchmark comparisons are required?</w:t>
            </w:r>
          </w:p>
        </w:tc>
      </w:tr>
    </w:tbl>
    <w:p>
      <w:pPr>
        <w:spacing w:after="0"/>
      </w:pPr>
    </w:p>
    <w:p>
      <w:pPr>
        <w:pStyle w:val="Heading2"/>
      </w:pPr>
      <w:r>
        <w:t>Proposed answers</w:t>
      </w:r>
    </w:p>
    <w:p>
      <w:pPr>
        <w:pStyle w:val="ListBullet"/>
        <w:spacing w:after="40"/>
      </w:pPr>
      <w:r>
        <w:t>Allow analysis by sector, country, product, counterparty, calculation method and quality status.</w:t>
      </w:r>
    </w:p>
    <w:p>
      <w:pPr>
        <w:pStyle w:val="ListBullet"/>
        <w:spacing w:after="40"/>
      </w:pPr>
      <w:r>
        <w:t>Show absolute emissions, exposure, intensity, concentration and coverage together.</w:t>
      </w:r>
    </w:p>
    <w:p>
      <w:pPr>
        <w:pStyle w:val="ListBullet"/>
        <w:spacing w:after="40"/>
      </w:pPr>
      <w:r>
        <w:t>Keep estimated and not-calculable exposure visible rather than treating missing information as zero.</w:t>
      </w:r>
    </w:p>
    <w:p>
      <w:pPr>
        <w:pStyle w:val="ListBullet"/>
        <w:spacing w:after="40"/>
      </w:pPr>
      <w:r>
        <w:t>Support period comparison with explanations for perimeter, source and methodology changes.</w:t>
      </w:r>
    </w:p>
    <w:p>
      <w:pPr>
        <w:pStyle w:val="Heading2"/>
      </w:pPr>
      <w:r>
        <w:t>Draft requirements</w:t>
      </w:r>
    </w:p>
    <w:p>
      <w:pPr>
        <w:spacing w:before="80" w:after="40"/>
      </w:pPr>
      <w:r>
        <w:rPr>
          <w:b/>
        </w:rPr>
        <w:t>BR-021  Risk analysis</w:t>
      </w:r>
    </w:p>
    <w:p>
      <w:pPr>
        <w:spacing w:after="80"/>
        <w:ind w:left="259"/>
      </w:pPr>
      <w:r>
        <w:t>The solution shall support approved portfolio dimensions and concentration views.</w:t>
      </w:r>
    </w:p>
    <w:p>
      <w:pPr>
        <w:spacing w:before="80" w:after="40"/>
      </w:pPr>
      <w:r>
        <w:rPr>
          <w:b/>
        </w:rPr>
        <w:t>BR-022  Materiality</w:t>
      </w:r>
    </w:p>
    <w:p>
      <w:pPr>
        <w:spacing w:after="80"/>
        <w:ind w:left="259"/>
      </w:pPr>
      <w:r>
        <w:t>The solution shall apply approved thresholds and highlight material concentrations and data gaps.</w:t>
      </w:r>
    </w:p>
    <w:p>
      <w:pPr>
        <w:spacing w:before="80" w:after="40"/>
      </w:pPr>
      <w:r>
        <w:rPr>
          <w:b/>
        </w:rPr>
        <w:t>BR-023  Uncertainty</w:t>
      </w:r>
    </w:p>
    <w:p>
      <w:pPr>
        <w:spacing w:after="80"/>
        <w:ind w:left="259"/>
      </w:pPr>
      <w:r>
        <w:t>Reported, estimated, stale and not-calculable results shall remain separately identifiable.</w:t>
      </w:r>
    </w:p>
    <w:p>
      <w:pPr>
        <w:spacing w:before="80" w:after="40"/>
      </w:pPr>
      <w:r>
        <w:rPr>
          <w:b/>
        </w:rPr>
        <w:t>BR-024  Comparability</w:t>
      </w:r>
    </w:p>
    <w:p>
      <w:pPr>
        <w:spacing w:after="80"/>
        <w:ind w:left="259"/>
      </w:pPr>
      <w:r>
        <w:t>Period comparisons shall distinguish genuine portfolio movement from methodology, perimeter and data-quality changes.</w:t>
      </w:r>
    </w:p>
    <w:p>
      <w:r>
        <w:br w:type="page"/>
      </w:r>
    </w:p>
    <w:p>
      <w:pPr>
        <w:pStyle w:val="Heading1"/>
      </w:pPr>
      <w:r>
        <w:t>7 Internal Audit</w:t>
      </w:r>
    </w:p>
    <w:p>
      <w:r>
        <w:t>Role: assess whether the process, calculations, controls and evidence are appropriately designed and consistently operated.</w:t>
      </w:r>
    </w:p>
    <w:p>
      <w:pPr>
        <w:pStyle w:val="Heading2"/>
      </w:pPr>
      <w:r>
        <w:t>Role specific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864"/>
            <w:shd w:fill="1F4E78"/>
            <w:tcMar>
              <w:top w:w="65" w:type="dxa"/>
              <w:start w:w="90" w:type="dxa"/>
              <w:bottom w:w="65" w:type="dxa"/>
              <w:end w:w="90" w:type="dxa"/>
            </w:tcMar>
            <w:vAlign w:val="center"/>
          </w:tcPr>
          <w:p>
            <w:r>
              <w:rPr>
                <w:b/>
                <w:color w:val="FFFFFF"/>
                <w:sz w:val="16"/>
              </w:rPr>
              <w:t>ID</w:t>
            </w:r>
          </w:p>
        </w:tc>
        <w:tc>
          <w:tcPr>
            <w:tcW w:type="dxa" w:w="1944"/>
            <w:shd w:fill="1F4E78"/>
            <w:tcMar>
              <w:top w:w="65" w:type="dxa"/>
              <w:start w:w="90" w:type="dxa"/>
              <w:bottom w:w="65" w:type="dxa"/>
              <w:end w:w="90" w:type="dxa"/>
            </w:tcMar>
            <w:vAlign w:val="center"/>
          </w:tcPr>
          <w:p>
            <w:r>
              <w:rPr>
                <w:b/>
                <w:color w:val="FFFFFF"/>
                <w:sz w:val="16"/>
              </w:rPr>
              <w:t>Area</w:t>
            </w:r>
          </w:p>
        </w:tc>
        <w:tc>
          <w:tcPr>
            <w:tcW w:type="dxa" w:w="7416"/>
            <w:shd w:fill="1F4E78"/>
            <w:tcMar>
              <w:top w:w="65" w:type="dxa"/>
              <w:start w:w="90" w:type="dxa"/>
              <w:bottom w:w="65" w:type="dxa"/>
              <w:end w:w="90" w:type="dxa"/>
            </w:tcMar>
            <w:vAlign w:val="center"/>
          </w:tcPr>
          <w:p>
            <w:r>
              <w:rPr>
                <w:b/>
                <w:color w:val="FFFFFF"/>
                <w:sz w:val="16"/>
              </w:rPr>
              <w:t>Interview question</w:t>
            </w:r>
          </w:p>
        </w:tc>
      </w:tr>
      <w:tr>
        <w:tc>
          <w:tcPr>
            <w:tcW w:type="dxa" w:w="864"/>
            <w:shd w:fill="FFFFFF"/>
            <w:tcMar>
              <w:top w:w="65" w:type="dxa"/>
              <w:start w:w="90" w:type="dxa"/>
              <w:bottom w:w="65" w:type="dxa"/>
              <w:end w:w="90" w:type="dxa"/>
            </w:tcMar>
            <w:vAlign w:val="center"/>
          </w:tcPr>
          <w:p>
            <w:pPr>
              <w:spacing w:after="0" w:line="240" w:lineRule="auto"/>
            </w:pPr>
            <w:r>
              <w:rPr>
                <w:sz w:val="16"/>
              </w:rPr>
              <w:t>Q-026</w:t>
            </w:r>
          </w:p>
        </w:tc>
        <w:tc>
          <w:tcPr>
            <w:tcW w:type="dxa" w:w="1944"/>
            <w:shd w:fill="FFFFFF"/>
            <w:tcMar>
              <w:top w:w="65" w:type="dxa"/>
              <w:start w:w="90" w:type="dxa"/>
              <w:bottom w:w="65" w:type="dxa"/>
              <w:end w:w="90" w:type="dxa"/>
            </w:tcMar>
            <w:vAlign w:val="center"/>
          </w:tcPr>
          <w:p>
            <w:pPr>
              <w:spacing w:after="0" w:line="240" w:lineRule="auto"/>
            </w:pPr>
            <w:r>
              <w:rPr>
                <w:sz w:val="16"/>
              </w:rPr>
              <w:t>Reproducibility</w:t>
            </w:r>
          </w:p>
        </w:tc>
        <w:tc>
          <w:tcPr>
            <w:tcW w:type="dxa" w:w="7416"/>
            <w:shd w:fill="FFFFFF"/>
            <w:tcMar>
              <w:top w:w="65" w:type="dxa"/>
              <w:start w:w="90" w:type="dxa"/>
              <w:bottom w:w="65" w:type="dxa"/>
              <w:end w:w="90" w:type="dxa"/>
            </w:tcMar>
            <w:vAlign w:val="center"/>
          </w:tcPr>
          <w:p>
            <w:pPr>
              <w:spacing w:after="0" w:line="240" w:lineRule="auto"/>
            </w:pPr>
            <w:r>
              <w:rPr>
                <w:sz w:val="16"/>
              </w:rPr>
              <w:t>What evidence is required to reproduce a reported KPI and selected exposure result?</w:t>
            </w:r>
          </w:p>
        </w:tc>
      </w:tr>
      <w:tr>
        <w:tc>
          <w:tcPr>
            <w:tcW w:type="dxa" w:w="864"/>
            <w:shd w:fill="EAF2F8"/>
            <w:tcMar>
              <w:top w:w="65" w:type="dxa"/>
              <w:start w:w="90" w:type="dxa"/>
              <w:bottom w:w="65" w:type="dxa"/>
              <w:end w:w="90" w:type="dxa"/>
            </w:tcMar>
            <w:vAlign w:val="center"/>
          </w:tcPr>
          <w:p>
            <w:pPr>
              <w:spacing w:after="0" w:line="240" w:lineRule="auto"/>
            </w:pPr>
            <w:r>
              <w:rPr>
                <w:sz w:val="16"/>
              </w:rPr>
              <w:t>Q-027</w:t>
            </w:r>
          </w:p>
        </w:tc>
        <w:tc>
          <w:tcPr>
            <w:tcW w:type="dxa" w:w="1944"/>
            <w:shd w:fill="EAF2F8"/>
            <w:tcMar>
              <w:top w:w="65" w:type="dxa"/>
              <w:start w:w="90" w:type="dxa"/>
              <w:bottom w:w="65" w:type="dxa"/>
              <w:end w:w="90" w:type="dxa"/>
            </w:tcMar>
            <w:vAlign w:val="center"/>
          </w:tcPr>
          <w:p>
            <w:pPr>
              <w:spacing w:after="0" w:line="240" w:lineRule="auto"/>
            </w:pPr>
            <w:r>
              <w:rPr>
                <w:sz w:val="16"/>
              </w:rPr>
              <w:t>Control evidence</w:t>
            </w:r>
          </w:p>
        </w:tc>
        <w:tc>
          <w:tcPr>
            <w:tcW w:type="dxa" w:w="7416"/>
            <w:shd w:fill="EAF2F8"/>
            <w:tcMar>
              <w:top w:w="65" w:type="dxa"/>
              <w:start w:w="90" w:type="dxa"/>
              <w:bottom w:w="65" w:type="dxa"/>
              <w:end w:w="90" w:type="dxa"/>
            </w:tcMar>
            <w:vAlign w:val="center"/>
          </w:tcPr>
          <w:p>
            <w:pPr>
              <w:spacing w:after="0" w:line="240" w:lineRule="auto"/>
            </w:pPr>
            <w:r>
              <w:rPr>
                <w:sz w:val="16"/>
              </w:rPr>
              <w:t>Which validation, reconciliation, review and approval records must be retained?</w:t>
            </w:r>
          </w:p>
        </w:tc>
      </w:tr>
      <w:tr>
        <w:tc>
          <w:tcPr>
            <w:tcW w:type="dxa" w:w="864"/>
            <w:shd w:fill="FFFFFF"/>
            <w:tcMar>
              <w:top w:w="65" w:type="dxa"/>
              <w:start w:w="90" w:type="dxa"/>
              <w:bottom w:w="65" w:type="dxa"/>
              <w:end w:w="90" w:type="dxa"/>
            </w:tcMar>
            <w:vAlign w:val="center"/>
          </w:tcPr>
          <w:p>
            <w:pPr>
              <w:spacing w:after="0" w:line="240" w:lineRule="auto"/>
            </w:pPr>
            <w:r>
              <w:rPr>
                <w:sz w:val="16"/>
              </w:rPr>
              <w:t>Q-028</w:t>
            </w:r>
          </w:p>
        </w:tc>
        <w:tc>
          <w:tcPr>
            <w:tcW w:type="dxa" w:w="1944"/>
            <w:shd w:fill="FFFFFF"/>
            <w:tcMar>
              <w:top w:w="65" w:type="dxa"/>
              <w:start w:w="90" w:type="dxa"/>
              <w:bottom w:w="65" w:type="dxa"/>
              <w:end w:w="90" w:type="dxa"/>
            </w:tcMar>
            <w:vAlign w:val="center"/>
          </w:tcPr>
          <w:p>
            <w:pPr>
              <w:spacing w:after="0" w:line="240" w:lineRule="auto"/>
            </w:pPr>
            <w:r>
              <w:rPr>
                <w:sz w:val="16"/>
              </w:rPr>
              <w:t>Change control</w:t>
            </w:r>
          </w:p>
        </w:tc>
        <w:tc>
          <w:tcPr>
            <w:tcW w:type="dxa" w:w="7416"/>
            <w:shd w:fill="FFFFFF"/>
            <w:tcMar>
              <w:top w:w="65" w:type="dxa"/>
              <w:start w:w="90" w:type="dxa"/>
              <w:bottom w:w="65" w:type="dxa"/>
              <w:end w:w="90" w:type="dxa"/>
            </w:tcMar>
            <w:vAlign w:val="center"/>
          </w:tcPr>
          <w:p>
            <w:pPr>
              <w:spacing w:after="0" w:line="240" w:lineRule="auto"/>
            </w:pPr>
            <w:r>
              <w:rPr>
                <w:sz w:val="16"/>
              </w:rPr>
              <w:t>How should rule, mapping, factor and transformation changes be versioned and approved?</w:t>
            </w:r>
          </w:p>
        </w:tc>
      </w:tr>
      <w:tr>
        <w:tc>
          <w:tcPr>
            <w:tcW w:type="dxa" w:w="864"/>
            <w:shd w:fill="EAF2F8"/>
            <w:tcMar>
              <w:top w:w="65" w:type="dxa"/>
              <w:start w:w="90" w:type="dxa"/>
              <w:bottom w:w="65" w:type="dxa"/>
              <w:end w:w="90" w:type="dxa"/>
            </w:tcMar>
            <w:vAlign w:val="center"/>
          </w:tcPr>
          <w:p>
            <w:pPr>
              <w:spacing w:after="0" w:line="240" w:lineRule="auto"/>
            </w:pPr>
            <w:r>
              <w:rPr>
                <w:sz w:val="16"/>
              </w:rPr>
              <w:t>Q-029</w:t>
            </w:r>
          </w:p>
        </w:tc>
        <w:tc>
          <w:tcPr>
            <w:tcW w:type="dxa" w:w="1944"/>
            <w:shd w:fill="EAF2F8"/>
            <w:tcMar>
              <w:top w:w="65" w:type="dxa"/>
              <w:start w:w="90" w:type="dxa"/>
              <w:bottom w:w="65" w:type="dxa"/>
              <w:end w:w="90" w:type="dxa"/>
            </w:tcMar>
            <w:vAlign w:val="center"/>
          </w:tcPr>
          <w:p>
            <w:pPr>
              <w:spacing w:after="0" w:line="240" w:lineRule="auto"/>
            </w:pPr>
            <w:r>
              <w:rPr>
                <w:sz w:val="16"/>
              </w:rPr>
              <w:t>Access</w:t>
            </w:r>
          </w:p>
        </w:tc>
        <w:tc>
          <w:tcPr>
            <w:tcW w:type="dxa" w:w="7416"/>
            <w:shd w:fill="EAF2F8"/>
            <w:tcMar>
              <w:top w:w="65" w:type="dxa"/>
              <w:start w:w="90" w:type="dxa"/>
              <w:bottom w:w="65" w:type="dxa"/>
              <w:end w:w="90" w:type="dxa"/>
            </w:tcMar>
            <w:vAlign w:val="center"/>
          </w:tcPr>
          <w:p>
            <w:pPr>
              <w:spacing w:after="0" w:line="240" w:lineRule="auto"/>
            </w:pPr>
            <w:r>
              <w:rPr>
                <w:sz w:val="16"/>
              </w:rPr>
              <w:t>Which segregation-of-duties and access-review controls are required?</w:t>
            </w:r>
          </w:p>
        </w:tc>
      </w:tr>
      <w:tr>
        <w:tc>
          <w:tcPr>
            <w:tcW w:type="dxa" w:w="864"/>
            <w:shd w:fill="FFFFFF"/>
            <w:tcMar>
              <w:top w:w="65" w:type="dxa"/>
              <w:start w:w="90" w:type="dxa"/>
              <w:bottom w:w="65" w:type="dxa"/>
              <w:end w:w="90" w:type="dxa"/>
            </w:tcMar>
            <w:vAlign w:val="center"/>
          </w:tcPr>
          <w:p>
            <w:pPr>
              <w:spacing w:after="0" w:line="240" w:lineRule="auto"/>
            </w:pPr>
            <w:r>
              <w:rPr>
                <w:sz w:val="16"/>
              </w:rPr>
              <w:t>Q-030</w:t>
            </w:r>
          </w:p>
        </w:tc>
        <w:tc>
          <w:tcPr>
            <w:tcW w:type="dxa" w:w="1944"/>
            <w:shd w:fill="FFFFFF"/>
            <w:tcMar>
              <w:top w:w="65" w:type="dxa"/>
              <w:start w:w="90" w:type="dxa"/>
              <w:bottom w:w="65" w:type="dxa"/>
              <w:end w:w="90" w:type="dxa"/>
            </w:tcMar>
            <w:vAlign w:val="center"/>
          </w:tcPr>
          <w:p>
            <w:pPr>
              <w:spacing w:after="0" w:line="240" w:lineRule="auto"/>
            </w:pPr>
            <w:r>
              <w:rPr>
                <w:sz w:val="16"/>
              </w:rPr>
              <w:t>Retention</w:t>
            </w:r>
          </w:p>
        </w:tc>
        <w:tc>
          <w:tcPr>
            <w:tcW w:type="dxa" w:w="7416"/>
            <w:shd w:fill="FFFFFF"/>
            <w:tcMar>
              <w:top w:w="65" w:type="dxa"/>
              <w:start w:w="90" w:type="dxa"/>
              <w:bottom w:w="65" w:type="dxa"/>
              <w:end w:w="90" w:type="dxa"/>
            </w:tcMar>
            <w:vAlign w:val="center"/>
          </w:tcPr>
          <w:p>
            <w:pPr>
              <w:spacing w:after="0" w:line="240" w:lineRule="auto"/>
            </w:pPr>
            <w:r>
              <w:rPr>
                <w:sz w:val="16"/>
              </w:rPr>
              <w:t>How long must source snapshots, exceptions, approvals and published outputs be retained?</w:t>
            </w:r>
          </w:p>
        </w:tc>
      </w:tr>
    </w:tbl>
    <w:p>
      <w:pPr>
        <w:spacing w:after="0"/>
      </w:pPr>
    </w:p>
    <w:p>
      <w:pPr>
        <w:pStyle w:val="Heading2"/>
      </w:pPr>
      <w:r>
        <w:t>Minimum evidence chain</w:t>
      </w:r>
    </w:p>
    <w:p>
      <w:r>
        <w:t>Published KPI -&gt; portfolio result -&gt; exposure result -&gt; calculation inputs -&gt; selected records -&gt; source record IDs -&gt; validation outcomes -&gt; rule version -&gt; approval evidence</w:t>
      </w:r>
    </w:p>
    <w:p>
      <w:pPr>
        <w:pStyle w:val="Heading2"/>
      </w:pPr>
      <w:r>
        <w:t>Draft requirements</w:t>
      </w:r>
    </w:p>
    <w:p>
      <w:pPr>
        <w:spacing w:before="80" w:after="40"/>
      </w:pPr>
      <w:r>
        <w:rPr>
          <w:b/>
        </w:rPr>
        <w:t>BR-026  Reproducibility</w:t>
      </w:r>
    </w:p>
    <w:p>
      <w:pPr>
        <w:spacing w:after="80"/>
        <w:ind w:left="259"/>
      </w:pPr>
      <w:r>
        <w:t>Every published result shall be reproducible from retained source and transformation evidence.</w:t>
      </w:r>
    </w:p>
    <w:p>
      <w:pPr>
        <w:spacing w:before="80" w:after="40"/>
      </w:pPr>
      <w:r>
        <w:rPr>
          <w:b/>
        </w:rPr>
        <w:t>BR-027  Control log</w:t>
      </w:r>
    </w:p>
    <w:p>
      <w:pPr>
        <w:spacing w:after="80"/>
        <w:ind w:left="259"/>
      </w:pPr>
      <w:r>
        <w:t>The solution shall retain validation, reconciliation, review, approval and exception-resolution evidence.</w:t>
      </w:r>
    </w:p>
    <w:p>
      <w:pPr>
        <w:spacing w:before="80" w:after="40"/>
      </w:pPr>
      <w:r>
        <w:rPr>
          <w:b/>
        </w:rPr>
        <w:t>BR-028  Versioning</w:t>
      </w:r>
    </w:p>
    <w:p>
      <w:pPr>
        <w:spacing w:after="80"/>
        <w:ind w:left="259"/>
      </w:pPr>
      <w:r>
        <w:t>Rules, mappings, factors and transformations shall have effective dates, versions and approvals.</w:t>
      </w:r>
    </w:p>
    <w:p>
      <w:pPr>
        <w:spacing w:before="80" w:after="40"/>
      </w:pPr>
      <w:r>
        <w:rPr>
          <w:b/>
        </w:rPr>
        <w:t>BR-029  Access governance</w:t>
      </w:r>
    </w:p>
    <w:p>
      <w:pPr>
        <w:spacing w:after="80"/>
        <w:ind w:left="259"/>
      </w:pPr>
      <w:r>
        <w:t>Privileged access and conflicting duties shall be restricted and periodically reviewed.</w:t>
      </w:r>
    </w:p>
    <w:p>
      <w:pPr>
        <w:spacing w:before="80" w:after="40"/>
      </w:pPr>
      <w:r>
        <w:rPr>
          <w:b/>
        </w:rPr>
        <w:t>BR-030  Retention</w:t>
      </w:r>
    </w:p>
    <w:p>
      <w:pPr>
        <w:spacing w:after="80"/>
        <w:ind w:left="259"/>
      </w:pPr>
      <w:r>
        <w:t>Evidence shall be retained according to an approved retention schedule.</w:t>
      </w:r>
    </w:p>
    <w:p>
      <w:r>
        <w:br w:type="page"/>
      </w:r>
    </w:p>
    <w:p>
      <w:pPr>
        <w:pStyle w:val="Heading1"/>
      </w:pPr>
      <w:r>
        <w:t>8 Senior Management</w:t>
      </w:r>
    </w:p>
    <w:p>
      <w:r>
        <w:t>Role: use concise portfolio information to understand performance, exposure, material risks and unresolved reporting limitations.</w:t>
      </w:r>
    </w:p>
    <w:p>
      <w:pPr>
        <w:pStyle w:val="Heading2"/>
      </w:pPr>
      <w:r>
        <w:t>Role specific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864"/>
            <w:shd w:fill="1F4E78"/>
            <w:tcMar>
              <w:top w:w="65" w:type="dxa"/>
              <w:start w:w="90" w:type="dxa"/>
              <w:bottom w:w="65" w:type="dxa"/>
              <w:end w:w="90" w:type="dxa"/>
            </w:tcMar>
            <w:vAlign w:val="center"/>
          </w:tcPr>
          <w:p>
            <w:r>
              <w:rPr>
                <w:b/>
                <w:color w:val="FFFFFF"/>
                <w:sz w:val="16"/>
              </w:rPr>
              <w:t>ID</w:t>
            </w:r>
          </w:p>
        </w:tc>
        <w:tc>
          <w:tcPr>
            <w:tcW w:type="dxa" w:w="1872"/>
            <w:shd w:fill="1F4E78"/>
            <w:tcMar>
              <w:top w:w="65" w:type="dxa"/>
              <w:start w:w="90" w:type="dxa"/>
              <w:bottom w:w="65" w:type="dxa"/>
              <w:end w:w="90" w:type="dxa"/>
            </w:tcMar>
            <w:vAlign w:val="center"/>
          </w:tcPr>
          <w:p>
            <w:r>
              <w:rPr>
                <w:b/>
                <w:color w:val="FFFFFF"/>
                <w:sz w:val="16"/>
              </w:rPr>
              <w:t>Area</w:t>
            </w:r>
          </w:p>
        </w:tc>
        <w:tc>
          <w:tcPr>
            <w:tcW w:type="dxa" w:w="7488"/>
            <w:shd w:fill="1F4E78"/>
            <w:tcMar>
              <w:top w:w="65" w:type="dxa"/>
              <w:start w:w="90" w:type="dxa"/>
              <w:bottom w:w="65" w:type="dxa"/>
              <w:end w:w="90" w:type="dxa"/>
            </w:tcMar>
            <w:vAlign w:val="center"/>
          </w:tcPr>
          <w:p>
            <w:r>
              <w:rPr>
                <w:b/>
                <w:color w:val="FFFFFF"/>
                <w:sz w:val="16"/>
              </w:rPr>
              <w:t>Interview question</w:t>
            </w:r>
          </w:p>
        </w:tc>
      </w:tr>
      <w:tr>
        <w:tc>
          <w:tcPr>
            <w:tcW w:type="dxa" w:w="864"/>
            <w:shd w:fill="FFFFFF"/>
            <w:tcMar>
              <w:top w:w="65" w:type="dxa"/>
              <w:start w:w="90" w:type="dxa"/>
              <w:bottom w:w="65" w:type="dxa"/>
              <w:end w:w="90" w:type="dxa"/>
            </w:tcMar>
            <w:vAlign w:val="center"/>
          </w:tcPr>
          <w:p>
            <w:pPr>
              <w:spacing w:after="0" w:line="240" w:lineRule="auto"/>
            </w:pPr>
            <w:r>
              <w:rPr>
                <w:sz w:val="16"/>
              </w:rPr>
              <w:t>Q-031</w:t>
            </w:r>
          </w:p>
        </w:tc>
        <w:tc>
          <w:tcPr>
            <w:tcW w:type="dxa" w:w="1872"/>
            <w:shd w:fill="FFFFFF"/>
            <w:tcMar>
              <w:top w:w="65" w:type="dxa"/>
              <w:start w:w="90" w:type="dxa"/>
              <w:bottom w:w="65" w:type="dxa"/>
              <w:end w:w="90" w:type="dxa"/>
            </w:tcMar>
            <w:vAlign w:val="center"/>
          </w:tcPr>
          <w:p>
            <w:pPr>
              <w:spacing w:after="0" w:line="240" w:lineRule="auto"/>
            </w:pPr>
            <w:r>
              <w:rPr>
                <w:sz w:val="16"/>
              </w:rPr>
              <w:t>Decisions</w:t>
            </w:r>
          </w:p>
        </w:tc>
        <w:tc>
          <w:tcPr>
            <w:tcW w:type="dxa" w:w="7488"/>
            <w:shd w:fill="FFFFFF"/>
            <w:tcMar>
              <w:top w:w="65" w:type="dxa"/>
              <w:start w:w="90" w:type="dxa"/>
              <w:bottom w:w="65" w:type="dxa"/>
              <w:end w:w="90" w:type="dxa"/>
            </w:tcMar>
            <w:vAlign w:val="center"/>
          </w:tcPr>
          <w:p>
            <w:pPr>
              <w:spacing w:after="0" w:line="240" w:lineRule="auto"/>
            </w:pPr>
            <w:r>
              <w:rPr>
                <w:sz w:val="16"/>
              </w:rPr>
              <w:t>Which management decisions should the executive view support?</w:t>
            </w:r>
          </w:p>
        </w:tc>
      </w:tr>
      <w:tr>
        <w:tc>
          <w:tcPr>
            <w:tcW w:type="dxa" w:w="864"/>
            <w:shd w:fill="EAF2F8"/>
            <w:tcMar>
              <w:top w:w="65" w:type="dxa"/>
              <w:start w:w="90" w:type="dxa"/>
              <w:bottom w:w="65" w:type="dxa"/>
              <w:end w:w="90" w:type="dxa"/>
            </w:tcMar>
            <w:vAlign w:val="center"/>
          </w:tcPr>
          <w:p>
            <w:pPr>
              <w:spacing w:after="0" w:line="240" w:lineRule="auto"/>
            </w:pPr>
            <w:r>
              <w:rPr>
                <w:sz w:val="16"/>
              </w:rPr>
              <w:t>Q-032</w:t>
            </w:r>
          </w:p>
        </w:tc>
        <w:tc>
          <w:tcPr>
            <w:tcW w:type="dxa" w:w="1872"/>
            <w:shd w:fill="EAF2F8"/>
            <w:tcMar>
              <w:top w:w="65" w:type="dxa"/>
              <w:start w:w="90" w:type="dxa"/>
              <w:bottom w:w="65" w:type="dxa"/>
              <w:end w:w="90" w:type="dxa"/>
            </w:tcMar>
            <w:vAlign w:val="center"/>
          </w:tcPr>
          <w:p>
            <w:pPr>
              <w:spacing w:after="0" w:line="240" w:lineRule="auto"/>
            </w:pPr>
            <w:r>
              <w:rPr>
                <w:sz w:val="16"/>
              </w:rPr>
              <w:t>KPIs</w:t>
            </w:r>
          </w:p>
        </w:tc>
        <w:tc>
          <w:tcPr>
            <w:tcW w:type="dxa" w:w="7488"/>
            <w:shd w:fill="EAF2F8"/>
            <w:tcMar>
              <w:top w:w="65" w:type="dxa"/>
              <w:start w:w="90" w:type="dxa"/>
              <w:bottom w:w="65" w:type="dxa"/>
              <w:end w:w="90" w:type="dxa"/>
            </w:tcMar>
            <w:vAlign w:val="center"/>
          </w:tcPr>
          <w:p>
            <w:pPr>
              <w:spacing w:after="0" w:line="240" w:lineRule="auto"/>
            </w:pPr>
            <w:r>
              <w:rPr>
                <w:sz w:val="16"/>
              </w:rPr>
              <w:t>Which five to eight KPIs must appear on the first page?</w:t>
            </w:r>
          </w:p>
        </w:tc>
      </w:tr>
      <w:tr>
        <w:tc>
          <w:tcPr>
            <w:tcW w:type="dxa" w:w="864"/>
            <w:shd w:fill="FFFFFF"/>
            <w:tcMar>
              <w:top w:w="65" w:type="dxa"/>
              <w:start w:w="90" w:type="dxa"/>
              <w:bottom w:w="65" w:type="dxa"/>
              <w:end w:w="90" w:type="dxa"/>
            </w:tcMar>
            <w:vAlign w:val="center"/>
          </w:tcPr>
          <w:p>
            <w:pPr>
              <w:spacing w:after="0" w:line="240" w:lineRule="auto"/>
            </w:pPr>
            <w:r>
              <w:rPr>
                <w:sz w:val="16"/>
              </w:rPr>
              <w:t>Q-033</w:t>
            </w:r>
          </w:p>
        </w:tc>
        <w:tc>
          <w:tcPr>
            <w:tcW w:type="dxa" w:w="1872"/>
            <w:shd w:fill="FFFFFF"/>
            <w:tcMar>
              <w:top w:w="65" w:type="dxa"/>
              <w:start w:w="90" w:type="dxa"/>
              <w:bottom w:w="65" w:type="dxa"/>
              <w:end w:w="90" w:type="dxa"/>
            </w:tcMar>
            <w:vAlign w:val="center"/>
          </w:tcPr>
          <w:p>
            <w:pPr>
              <w:spacing w:after="0" w:line="240" w:lineRule="auto"/>
            </w:pPr>
            <w:r>
              <w:rPr>
                <w:sz w:val="16"/>
              </w:rPr>
              <w:t>Materiality</w:t>
            </w:r>
          </w:p>
        </w:tc>
        <w:tc>
          <w:tcPr>
            <w:tcW w:type="dxa" w:w="7488"/>
            <w:shd w:fill="FFFFFF"/>
            <w:tcMar>
              <w:top w:w="65" w:type="dxa"/>
              <w:start w:w="90" w:type="dxa"/>
              <w:bottom w:w="65" w:type="dxa"/>
              <w:end w:w="90" w:type="dxa"/>
            </w:tcMar>
            <w:vAlign w:val="center"/>
          </w:tcPr>
          <w:p>
            <w:pPr>
              <w:spacing w:after="0" w:line="240" w:lineRule="auto"/>
            </w:pPr>
            <w:r>
              <w:rPr>
                <w:sz w:val="16"/>
              </w:rPr>
              <w:t>Which movements or exceptions require executive attention?</w:t>
            </w:r>
          </w:p>
        </w:tc>
      </w:tr>
      <w:tr>
        <w:tc>
          <w:tcPr>
            <w:tcW w:type="dxa" w:w="864"/>
            <w:shd w:fill="EAF2F8"/>
            <w:tcMar>
              <w:top w:w="65" w:type="dxa"/>
              <w:start w:w="90" w:type="dxa"/>
              <w:bottom w:w="65" w:type="dxa"/>
              <w:end w:w="90" w:type="dxa"/>
            </w:tcMar>
            <w:vAlign w:val="center"/>
          </w:tcPr>
          <w:p>
            <w:pPr>
              <w:spacing w:after="0" w:line="240" w:lineRule="auto"/>
            </w:pPr>
            <w:r>
              <w:rPr>
                <w:sz w:val="16"/>
              </w:rPr>
              <w:t>Q-034</w:t>
            </w:r>
          </w:p>
        </w:tc>
        <w:tc>
          <w:tcPr>
            <w:tcW w:type="dxa" w:w="1872"/>
            <w:shd w:fill="EAF2F8"/>
            <w:tcMar>
              <w:top w:w="65" w:type="dxa"/>
              <w:start w:w="90" w:type="dxa"/>
              <w:bottom w:w="65" w:type="dxa"/>
              <w:end w:w="90" w:type="dxa"/>
            </w:tcMar>
            <w:vAlign w:val="center"/>
          </w:tcPr>
          <w:p>
            <w:pPr>
              <w:spacing w:after="0" w:line="240" w:lineRule="auto"/>
            </w:pPr>
            <w:r>
              <w:rPr>
                <w:sz w:val="16"/>
              </w:rPr>
              <w:t>Presentation</w:t>
            </w:r>
          </w:p>
        </w:tc>
        <w:tc>
          <w:tcPr>
            <w:tcW w:type="dxa" w:w="7488"/>
            <w:shd w:fill="EAF2F8"/>
            <w:tcMar>
              <w:top w:w="65" w:type="dxa"/>
              <w:start w:w="90" w:type="dxa"/>
              <w:bottom w:w="65" w:type="dxa"/>
              <w:end w:w="90" w:type="dxa"/>
            </w:tcMar>
            <w:vAlign w:val="center"/>
          </w:tcPr>
          <w:p>
            <w:pPr>
              <w:spacing w:after="0" w:line="240" w:lineRule="auto"/>
            </w:pPr>
            <w:r>
              <w:rPr>
                <w:sz w:val="16"/>
              </w:rPr>
              <w:t>What level of sector, geography and trend detail is useful without overwhelming the audience?</w:t>
            </w:r>
          </w:p>
        </w:tc>
      </w:tr>
      <w:tr>
        <w:tc>
          <w:tcPr>
            <w:tcW w:type="dxa" w:w="864"/>
            <w:shd w:fill="FFFFFF"/>
            <w:tcMar>
              <w:top w:w="65" w:type="dxa"/>
              <w:start w:w="90" w:type="dxa"/>
              <w:bottom w:w="65" w:type="dxa"/>
              <w:end w:w="90" w:type="dxa"/>
            </w:tcMar>
            <w:vAlign w:val="center"/>
          </w:tcPr>
          <w:p>
            <w:pPr>
              <w:spacing w:after="0" w:line="240" w:lineRule="auto"/>
            </w:pPr>
            <w:r>
              <w:rPr>
                <w:sz w:val="16"/>
              </w:rPr>
              <w:t>Q-035</w:t>
            </w:r>
          </w:p>
        </w:tc>
        <w:tc>
          <w:tcPr>
            <w:tcW w:type="dxa" w:w="1872"/>
            <w:shd w:fill="FFFFFF"/>
            <w:tcMar>
              <w:top w:w="65" w:type="dxa"/>
              <w:start w:w="90" w:type="dxa"/>
              <w:bottom w:w="65" w:type="dxa"/>
              <w:end w:w="90" w:type="dxa"/>
            </w:tcMar>
            <w:vAlign w:val="center"/>
          </w:tcPr>
          <w:p>
            <w:pPr>
              <w:spacing w:after="0" w:line="240" w:lineRule="auto"/>
            </w:pPr>
            <w:r>
              <w:rPr>
                <w:sz w:val="16"/>
              </w:rPr>
              <w:t>Frequency</w:t>
            </w:r>
          </w:p>
        </w:tc>
        <w:tc>
          <w:tcPr>
            <w:tcW w:type="dxa" w:w="7488"/>
            <w:shd w:fill="FFFFFF"/>
            <w:tcMar>
              <w:top w:w="65" w:type="dxa"/>
              <w:start w:w="90" w:type="dxa"/>
              <w:bottom w:w="65" w:type="dxa"/>
              <w:end w:w="90" w:type="dxa"/>
            </w:tcMar>
            <w:vAlign w:val="center"/>
          </w:tcPr>
          <w:p>
            <w:pPr>
              <w:spacing w:after="0" w:line="240" w:lineRule="auto"/>
            </w:pPr>
            <w:r>
              <w:rPr>
                <w:sz w:val="16"/>
              </w:rPr>
              <w:t>When and how should the executive report be delivered and approved?</w:t>
            </w:r>
          </w:p>
        </w:tc>
      </w:tr>
    </w:tbl>
    <w:p>
      <w:pPr>
        <w:spacing w:after="0"/>
      </w:pPr>
    </w:p>
    <w:p>
      <w:pPr>
        <w:pStyle w:val="Heading2"/>
      </w:pPr>
      <w:r>
        <w:t>Proposed executive KPIs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3816"/>
            <w:shd w:fill="1F4E78"/>
            <w:tcMar>
              <w:top w:w="65" w:type="dxa"/>
              <w:start w:w="90" w:type="dxa"/>
              <w:bottom w:w="65" w:type="dxa"/>
              <w:end w:w="90" w:type="dxa"/>
            </w:tcMar>
            <w:vAlign w:val="center"/>
          </w:tcPr>
          <w:p>
            <w:r>
              <w:rPr>
                <w:b/>
                <w:color w:val="FFFFFF"/>
                <w:sz w:val="17"/>
              </w:rPr>
              <w:t>KPI</w:t>
            </w:r>
          </w:p>
        </w:tc>
        <w:tc>
          <w:tcPr>
            <w:tcW w:type="dxa" w:w="6120"/>
            <w:shd w:fill="1F4E78"/>
            <w:tcMar>
              <w:top w:w="65" w:type="dxa"/>
              <w:start w:w="90" w:type="dxa"/>
              <w:bottom w:w="65" w:type="dxa"/>
              <w:end w:w="90" w:type="dxa"/>
            </w:tcMar>
            <w:vAlign w:val="center"/>
          </w:tcPr>
          <w:p>
            <w:r>
              <w:rPr>
                <w:b/>
                <w:color w:val="FFFFFF"/>
                <w:sz w:val="17"/>
              </w:rPr>
              <w:t>Management meaning</w:t>
            </w:r>
          </w:p>
        </w:tc>
      </w:tr>
      <w:tr>
        <w:tc>
          <w:tcPr>
            <w:tcW w:type="dxa" w:w="3816"/>
            <w:shd w:fill="FFFFFF"/>
            <w:tcMar>
              <w:top w:w="65" w:type="dxa"/>
              <w:start w:w="90" w:type="dxa"/>
              <w:bottom w:w="65" w:type="dxa"/>
              <w:end w:w="90" w:type="dxa"/>
            </w:tcMar>
            <w:vAlign w:val="center"/>
          </w:tcPr>
          <w:p>
            <w:pPr>
              <w:spacing w:after="0" w:line="240" w:lineRule="auto"/>
            </w:pPr>
            <w:r>
              <w:rPr>
                <w:sz w:val="17"/>
              </w:rPr>
              <w:t>Total valid exposure</w:t>
            </w:r>
          </w:p>
        </w:tc>
        <w:tc>
          <w:tcPr>
            <w:tcW w:type="dxa" w:w="6120"/>
            <w:shd w:fill="FFFFFF"/>
            <w:tcMar>
              <w:top w:w="65" w:type="dxa"/>
              <w:start w:w="90" w:type="dxa"/>
              <w:bottom w:w="65" w:type="dxa"/>
              <w:end w:w="90" w:type="dxa"/>
            </w:tcMar>
            <w:vAlign w:val="center"/>
          </w:tcPr>
          <w:p>
            <w:pPr>
              <w:spacing w:after="0" w:line="240" w:lineRule="auto"/>
            </w:pPr>
            <w:r>
              <w:rPr>
                <w:sz w:val="17"/>
              </w:rPr>
              <w:t>Portfolio value included in the reporting perimeter</w:t>
            </w:r>
          </w:p>
        </w:tc>
      </w:tr>
      <w:tr>
        <w:tc>
          <w:tcPr>
            <w:tcW w:type="dxa" w:w="3816"/>
            <w:shd w:fill="EAF2F8"/>
            <w:tcMar>
              <w:top w:w="65" w:type="dxa"/>
              <w:start w:w="90" w:type="dxa"/>
              <w:bottom w:w="65" w:type="dxa"/>
              <w:end w:w="90" w:type="dxa"/>
            </w:tcMar>
            <w:vAlign w:val="center"/>
          </w:tcPr>
          <w:p>
            <w:pPr>
              <w:spacing w:after="0" w:line="240" w:lineRule="auto"/>
            </w:pPr>
            <w:r>
              <w:rPr>
                <w:sz w:val="17"/>
              </w:rPr>
              <w:t>Financed Scope 1 and 2 emissions</w:t>
            </w:r>
          </w:p>
        </w:tc>
        <w:tc>
          <w:tcPr>
            <w:tcW w:type="dxa" w:w="6120"/>
            <w:shd w:fill="EAF2F8"/>
            <w:tcMar>
              <w:top w:w="65" w:type="dxa"/>
              <w:start w:w="90" w:type="dxa"/>
              <w:bottom w:w="65" w:type="dxa"/>
              <w:end w:w="90" w:type="dxa"/>
            </w:tcMar>
            <w:vAlign w:val="center"/>
          </w:tcPr>
          <w:p>
            <w:pPr>
              <w:spacing w:after="0" w:line="240" w:lineRule="auto"/>
            </w:pPr>
            <w:r>
              <w:rPr>
                <w:sz w:val="17"/>
              </w:rPr>
              <w:t>Absolute attributed emissions</w:t>
            </w:r>
          </w:p>
        </w:tc>
      </w:tr>
      <w:tr>
        <w:tc>
          <w:tcPr>
            <w:tcW w:type="dxa" w:w="3816"/>
            <w:shd w:fill="FFFFFF"/>
            <w:tcMar>
              <w:top w:w="65" w:type="dxa"/>
              <w:start w:w="90" w:type="dxa"/>
              <w:bottom w:w="65" w:type="dxa"/>
              <w:end w:w="90" w:type="dxa"/>
            </w:tcMar>
            <w:vAlign w:val="center"/>
          </w:tcPr>
          <w:p>
            <w:pPr>
              <w:spacing w:after="0" w:line="240" w:lineRule="auto"/>
            </w:pPr>
            <w:r>
              <w:rPr>
                <w:sz w:val="17"/>
              </w:rPr>
              <w:t>Financed emissions intensity</w:t>
            </w:r>
          </w:p>
        </w:tc>
        <w:tc>
          <w:tcPr>
            <w:tcW w:type="dxa" w:w="6120"/>
            <w:shd w:fill="FFFFFF"/>
            <w:tcMar>
              <w:top w:w="65" w:type="dxa"/>
              <w:start w:w="90" w:type="dxa"/>
              <w:bottom w:w="65" w:type="dxa"/>
              <w:end w:w="90" w:type="dxa"/>
            </w:tcMar>
            <w:vAlign w:val="center"/>
          </w:tcPr>
          <w:p>
            <w:pPr>
              <w:spacing w:after="0" w:line="240" w:lineRule="auto"/>
            </w:pPr>
            <w:r>
              <w:rPr>
                <w:sz w:val="17"/>
              </w:rPr>
              <w:t>Emissions relative to exposure</w:t>
            </w:r>
          </w:p>
        </w:tc>
      </w:tr>
      <w:tr>
        <w:tc>
          <w:tcPr>
            <w:tcW w:type="dxa" w:w="3816"/>
            <w:shd w:fill="EAF2F8"/>
            <w:tcMar>
              <w:top w:w="65" w:type="dxa"/>
              <w:start w:w="90" w:type="dxa"/>
              <w:bottom w:w="65" w:type="dxa"/>
              <w:end w:w="90" w:type="dxa"/>
            </w:tcMar>
            <w:vAlign w:val="center"/>
          </w:tcPr>
          <w:p>
            <w:pPr>
              <w:spacing w:after="0" w:line="240" w:lineRule="auto"/>
            </w:pPr>
            <w:r>
              <w:rPr>
                <w:sz w:val="17"/>
              </w:rPr>
              <w:t>Calculation coverage</w:t>
            </w:r>
          </w:p>
        </w:tc>
        <w:tc>
          <w:tcPr>
            <w:tcW w:type="dxa" w:w="6120"/>
            <w:shd w:fill="EAF2F8"/>
            <w:tcMar>
              <w:top w:w="65" w:type="dxa"/>
              <w:start w:w="90" w:type="dxa"/>
              <w:bottom w:w="65" w:type="dxa"/>
              <w:end w:w="90" w:type="dxa"/>
            </w:tcMar>
            <w:vAlign w:val="center"/>
          </w:tcPr>
          <w:p>
            <w:pPr>
              <w:spacing w:after="0" w:line="240" w:lineRule="auto"/>
            </w:pPr>
            <w:r>
              <w:rPr>
                <w:sz w:val="17"/>
              </w:rPr>
              <w:t>Share of valid exposure with calculated emissions</w:t>
            </w:r>
          </w:p>
        </w:tc>
      </w:tr>
      <w:tr>
        <w:tc>
          <w:tcPr>
            <w:tcW w:type="dxa" w:w="3816"/>
            <w:shd w:fill="FFFFFF"/>
            <w:tcMar>
              <w:top w:w="65" w:type="dxa"/>
              <w:start w:w="90" w:type="dxa"/>
              <w:bottom w:w="65" w:type="dxa"/>
              <w:end w:w="90" w:type="dxa"/>
            </w:tcMar>
            <w:vAlign w:val="center"/>
          </w:tcPr>
          <w:p>
            <w:pPr>
              <w:spacing w:after="0" w:line="240" w:lineRule="auto"/>
            </w:pPr>
            <w:r>
              <w:rPr>
                <w:sz w:val="17"/>
              </w:rPr>
              <w:t>Reported versus estimated coverage</w:t>
            </w:r>
          </w:p>
        </w:tc>
        <w:tc>
          <w:tcPr>
            <w:tcW w:type="dxa" w:w="6120"/>
            <w:shd w:fill="FFFFFF"/>
            <w:tcMar>
              <w:top w:w="65" w:type="dxa"/>
              <w:start w:w="90" w:type="dxa"/>
              <w:bottom w:w="65" w:type="dxa"/>
              <w:end w:w="90" w:type="dxa"/>
            </w:tcMar>
            <w:vAlign w:val="center"/>
          </w:tcPr>
          <w:p>
            <w:pPr>
              <w:spacing w:after="0" w:line="240" w:lineRule="auto"/>
            </w:pPr>
            <w:r>
              <w:rPr>
                <w:sz w:val="17"/>
              </w:rPr>
              <w:t>Reliance on reported and proxy data</w:t>
            </w:r>
          </w:p>
        </w:tc>
      </w:tr>
      <w:tr>
        <w:tc>
          <w:tcPr>
            <w:tcW w:type="dxa" w:w="3816"/>
            <w:shd w:fill="EAF2F8"/>
            <w:tcMar>
              <w:top w:w="65" w:type="dxa"/>
              <w:start w:w="90" w:type="dxa"/>
              <w:bottom w:w="65" w:type="dxa"/>
              <w:end w:w="90" w:type="dxa"/>
            </w:tcMar>
            <w:vAlign w:val="center"/>
          </w:tcPr>
          <w:p>
            <w:pPr>
              <w:spacing w:after="0" w:line="240" w:lineRule="auto"/>
            </w:pPr>
            <w:r>
              <w:rPr>
                <w:sz w:val="17"/>
              </w:rPr>
              <w:t>Not-calculable exposure</w:t>
            </w:r>
          </w:p>
        </w:tc>
        <w:tc>
          <w:tcPr>
            <w:tcW w:type="dxa" w:w="6120"/>
            <w:shd w:fill="EAF2F8"/>
            <w:tcMar>
              <w:top w:w="65" w:type="dxa"/>
              <w:start w:w="90" w:type="dxa"/>
              <w:bottom w:w="65" w:type="dxa"/>
              <w:end w:w="90" w:type="dxa"/>
            </w:tcMar>
            <w:vAlign w:val="center"/>
          </w:tcPr>
          <w:p>
            <w:pPr>
              <w:spacing w:after="0" w:line="240" w:lineRule="auto"/>
            </w:pPr>
            <w:r>
              <w:rPr>
                <w:sz w:val="17"/>
              </w:rPr>
              <w:t>Material reporting gap</w:t>
            </w:r>
          </w:p>
        </w:tc>
      </w:tr>
      <w:tr>
        <w:tc>
          <w:tcPr>
            <w:tcW w:type="dxa" w:w="3816"/>
            <w:shd w:fill="FFFFFF"/>
            <w:tcMar>
              <w:top w:w="65" w:type="dxa"/>
              <w:start w:w="90" w:type="dxa"/>
              <w:bottom w:w="65" w:type="dxa"/>
              <w:end w:w="90" w:type="dxa"/>
            </w:tcMar>
            <w:vAlign w:val="center"/>
          </w:tcPr>
          <w:p>
            <w:pPr>
              <w:spacing w:after="0" w:line="240" w:lineRule="auto"/>
            </w:pPr>
            <w:r>
              <w:rPr>
                <w:sz w:val="17"/>
              </w:rPr>
              <w:t>Top sector concentrations</w:t>
            </w:r>
          </w:p>
        </w:tc>
        <w:tc>
          <w:tcPr>
            <w:tcW w:type="dxa" w:w="6120"/>
            <w:shd w:fill="FFFFFF"/>
            <w:tcMar>
              <w:top w:w="65" w:type="dxa"/>
              <w:start w:w="90" w:type="dxa"/>
              <w:bottom w:w="65" w:type="dxa"/>
              <w:end w:w="90" w:type="dxa"/>
            </w:tcMar>
            <w:vAlign w:val="center"/>
          </w:tcPr>
          <w:p>
            <w:pPr>
              <w:spacing w:after="0" w:line="240" w:lineRule="auto"/>
            </w:pPr>
            <w:r>
              <w:rPr>
                <w:sz w:val="17"/>
              </w:rPr>
              <w:t>Areas driving emissions or exposure</w:t>
            </w:r>
          </w:p>
        </w:tc>
      </w:tr>
      <w:tr>
        <w:tc>
          <w:tcPr>
            <w:tcW w:type="dxa" w:w="3816"/>
            <w:shd w:fill="EAF2F8"/>
            <w:tcMar>
              <w:top w:w="65" w:type="dxa"/>
              <w:start w:w="90" w:type="dxa"/>
              <w:bottom w:w="65" w:type="dxa"/>
              <w:end w:w="90" w:type="dxa"/>
            </w:tcMar>
            <w:vAlign w:val="center"/>
          </w:tcPr>
          <w:p>
            <w:pPr>
              <w:spacing w:after="0" w:line="240" w:lineRule="auto"/>
            </w:pPr>
            <w:r>
              <w:rPr>
                <w:sz w:val="17"/>
              </w:rPr>
              <w:t>Critical unresolved exceptions</w:t>
            </w:r>
          </w:p>
        </w:tc>
        <w:tc>
          <w:tcPr>
            <w:tcW w:type="dxa" w:w="6120"/>
            <w:shd w:fill="EAF2F8"/>
            <w:tcMar>
              <w:top w:w="65" w:type="dxa"/>
              <w:start w:w="90" w:type="dxa"/>
              <w:bottom w:w="65" w:type="dxa"/>
              <w:end w:w="90" w:type="dxa"/>
            </w:tcMar>
            <w:vAlign w:val="center"/>
          </w:tcPr>
          <w:p>
            <w:pPr>
              <w:spacing w:after="0" w:line="240" w:lineRule="auto"/>
            </w:pPr>
            <w:r>
              <w:rPr>
                <w:sz w:val="17"/>
              </w:rPr>
              <w:t>Remaining publication or control risk</w:t>
            </w:r>
          </w:p>
        </w:tc>
      </w:tr>
    </w:tbl>
    <w:p>
      <w:pPr>
        <w:spacing w:after="0"/>
      </w:pPr>
    </w:p>
    <w:p>
      <w:pPr>
        <w:pStyle w:val="Heading2"/>
      </w:pPr>
      <w:r>
        <w:t>Draft requirements</w:t>
      </w:r>
    </w:p>
    <w:p>
      <w:pPr>
        <w:spacing w:before="80" w:after="40"/>
      </w:pPr>
      <w:r>
        <w:rPr>
          <w:b/>
        </w:rPr>
        <w:t>BR-031  Executive summary</w:t>
      </w:r>
    </w:p>
    <w:p>
      <w:pPr>
        <w:spacing w:after="80"/>
        <w:ind w:left="259"/>
      </w:pPr>
      <w:r>
        <w:t>The first page shall show a concise set of approved KPIs, trends and material warnings.</w:t>
      </w:r>
    </w:p>
    <w:p>
      <w:pPr>
        <w:spacing w:before="80" w:after="40"/>
      </w:pPr>
      <w:r>
        <w:rPr>
          <w:b/>
        </w:rPr>
        <w:t>BR-032  Material movements</w:t>
      </w:r>
    </w:p>
    <w:p>
      <w:pPr>
        <w:spacing w:after="80"/>
        <w:ind w:left="259"/>
      </w:pPr>
      <w:r>
        <w:t>The solution shall highlight material period changes and provide their principal drivers.</w:t>
      </w:r>
    </w:p>
    <w:p>
      <w:pPr>
        <w:spacing w:before="80" w:after="40"/>
      </w:pPr>
      <w:r>
        <w:rPr>
          <w:b/>
        </w:rPr>
        <w:t>BR-033  Limitations</w:t>
      </w:r>
    </w:p>
    <w:p>
      <w:pPr>
        <w:spacing w:after="80"/>
        <w:ind w:left="259"/>
      </w:pPr>
      <w:r>
        <w:t>The executive view shall disclose coverage limitations, estimation reliance and unresolved critical exceptions.</w:t>
      </w:r>
    </w:p>
    <w:p>
      <w:pPr>
        <w:spacing w:before="80" w:after="40"/>
      </w:pPr>
      <w:r>
        <w:rPr>
          <w:b/>
        </w:rPr>
        <w:t>BR-034  Controlled distribution</w:t>
      </w:r>
    </w:p>
    <w:p>
      <w:pPr>
        <w:spacing w:after="80"/>
        <w:ind w:left="259"/>
      </w:pPr>
      <w:r>
        <w:t>Executive outputs shall follow the approved reporting timetable, review process and access restrictions.</w:t>
      </w:r>
    </w:p>
    <w:p>
      <w:r>
        <w:br w:type="page"/>
      </w:r>
    </w:p>
    <w:p>
      <w:pPr>
        <w:pStyle w:val="Heading1"/>
      </w:pPr>
      <w:r>
        <w:t>9 Cross functional decisions and next steps</w:t>
      </w:r>
    </w:p>
    <w:p>
      <w:pPr>
        <w:pStyle w:val="Heading2"/>
      </w:pPr>
      <w:r>
        <w:t>Decision log for the joint workshop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2952"/>
            <w:shd w:fill="1F4E78"/>
            <w:tcMar>
              <w:top w:w="65" w:type="dxa"/>
              <w:start w:w="90" w:type="dxa"/>
              <w:bottom w:w="65" w:type="dxa"/>
              <w:end w:w="90" w:type="dxa"/>
            </w:tcMar>
            <w:vAlign w:val="center"/>
          </w:tcPr>
          <w:p>
            <w:r>
              <w:rPr>
                <w:b/>
                <w:color w:val="FFFFFF"/>
                <w:sz w:val="16"/>
              </w:rPr>
              <w:t>Decision</w:t>
            </w:r>
          </w:p>
        </w:tc>
        <w:tc>
          <w:tcPr>
            <w:tcW w:type="dxa" w:w="3672"/>
            <w:shd w:fill="1F4E78"/>
            <w:tcMar>
              <w:top w:w="65" w:type="dxa"/>
              <w:start w:w="90" w:type="dxa"/>
              <w:bottom w:w="65" w:type="dxa"/>
              <w:end w:w="90" w:type="dxa"/>
            </w:tcMar>
            <w:vAlign w:val="center"/>
          </w:tcPr>
          <w:p>
            <w:r>
              <w:rPr>
                <w:b/>
                <w:color w:val="FFFFFF"/>
                <w:sz w:val="16"/>
              </w:rPr>
              <w:t>Recommended participants</w:t>
            </w:r>
          </w:p>
        </w:tc>
        <w:tc>
          <w:tcPr>
            <w:tcW w:type="dxa" w:w="3312"/>
            <w:shd w:fill="1F4E78"/>
            <w:tcMar>
              <w:top w:w="65" w:type="dxa"/>
              <w:start w:w="90" w:type="dxa"/>
              <w:bottom w:w="65" w:type="dxa"/>
              <w:end w:w="90" w:type="dxa"/>
            </w:tcMar>
            <w:vAlign w:val="center"/>
          </w:tcPr>
          <w:p>
            <w:r>
              <w:rPr>
                <w:b/>
                <w:color w:val="FFFFFF"/>
                <w:sz w:val="16"/>
              </w:rPr>
              <w:t>Required outcome</w:t>
            </w:r>
          </w:p>
        </w:tc>
      </w:tr>
      <w:tr>
        <w:tc>
          <w:tcPr>
            <w:tcW w:type="dxa" w:w="2952"/>
            <w:shd w:fill="FFFFFF"/>
            <w:tcMar>
              <w:top w:w="65" w:type="dxa"/>
              <w:start w:w="90" w:type="dxa"/>
              <w:bottom w:w="65" w:type="dxa"/>
              <w:end w:w="90" w:type="dxa"/>
            </w:tcMar>
            <w:vAlign w:val="center"/>
          </w:tcPr>
          <w:p>
            <w:pPr>
              <w:spacing w:after="0" w:line="240" w:lineRule="auto"/>
            </w:pPr>
            <w:r>
              <w:rPr>
                <w:sz w:val="16"/>
              </w:rPr>
              <w:t>Materiality thresholds</w:t>
            </w:r>
          </w:p>
        </w:tc>
        <w:tc>
          <w:tcPr>
            <w:tcW w:type="dxa" w:w="3672"/>
            <w:shd w:fill="FFFFFF"/>
            <w:tcMar>
              <w:top w:w="65" w:type="dxa"/>
              <w:start w:w="90" w:type="dxa"/>
              <w:bottom w:w="65" w:type="dxa"/>
              <w:end w:w="90" w:type="dxa"/>
            </w:tcMar>
            <w:vAlign w:val="center"/>
          </w:tcPr>
          <w:p>
            <w:pPr>
              <w:spacing w:after="0" w:line="240" w:lineRule="auto"/>
            </w:pPr>
            <w:r>
              <w:rPr>
                <w:sz w:val="16"/>
              </w:rPr>
              <w:t>ESG Reporting, Risk, Audit</w:t>
            </w:r>
          </w:p>
        </w:tc>
        <w:tc>
          <w:tcPr>
            <w:tcW w:type="dxa" w:w="3312"/>
            <w:shd w:fill="FFFFFF"/>
            <w:tcMar>
              <w:top w:w="65" w:type="dxa"/>
              <w:start w:w="90" w:type="dxa"/>
              <w:bottom w:w="65" w:type="dxa"/>
              <w:end w:w="90" w:type="dxa"/>
            </w:tcMar>
            <w:vAlign w:val="center"/>
          </w:tcPr>
          <w:p>
            <w:pPr>
              <w:spacing w:after="0" w:line="240" w:lineRule="auto"/>
            </w:pPr>
            <w:r>
              <w:rPr>
                <w:sz w:val="16"/>
              </w:rPr>
              <w:t>Approved exposure and KPI impact thresholds</w:t>
            </w:r>
          </w:p>
        </w:tc>
      </w:tr>
      <w:tr>
        <w:tc>
          <w:tcPr>
            <w:tcW w:type="dxa" w:w="2952"/>
            <w:shd w:fill="EAF2F8"/>
            <w:tcMar>
              <w:top w:w="65" w:type="dxa"/>
              <w:start w:w="90" w:type="dxa"/>
              <w:bottom w:w="65" w:type="dxa"/>
              <w:end w:w="90" w:type="dxa"/>
            </w:tcMar>
            <w:vAlign w:val="center"/>
          </w:tcPr>
          <w:p>
            <w:pPr>
              <w:spacing w:after="0" w:line="240" w:lineRule="auto"/>
            </w:pPr>
            <w:r>
              <w:rPr>
                <w:sz w:val="16"/>
              </w:rPr>
              <w:t>Data staleness</w:t>
            </w:r>
          </w:p>
        </w:tc>
        <w:tc>
          <w:tcPr>
            <w:tcW w:type="dxa" w:w="3672"/>
            <w:shd w:fill="EAF2F8"/>
            <w:tcMar>
              <w:top w:w="65" w:type="dxa"/>
              <w:start w:w="90" w:type="dxa"/>
              <w:bottom w:w="65" w:type="dxa"/>
              <w:end w:w="90" w:type="dxa"/>
            </w:tcMar>
            <w:vAlign w:val="center"/>
          </w:tcPr>
          <w:p>
            <w:pPr>
              <w:spacing w:after="0" w:line="240" w:lineRule="auto"/>
            </w:pPr>
            <w:r>
              <w:rPr>
                <w:sz w:val="16"/>
              </w:rPr>
              <w:t>ESG methodology, Reporting, Risk</w:t>
            </w:r>
          </w:p>
        </w:tc>
        <w:tc>
          <w:tcPr>
            <w:tcW w:type="dxa" w:w="3312"/>
            <w:shd w:fill="EAF2F8"/>
            <w:tcMar>
              <w:top w:w="65" w:type="dxa"/>
              <w:start w:w="90" w:type="dxa"/>
              <w:bottom w:w="65" w:type="dxa"/>
              <w:end w:w="90" w:type="dxa"/>
            </w:tcMar>
            <w:vAlign w:val="center"/>
          </w:tcPr>
          <w:p>
            <w:pPr>
              <w:spacing w:after="0" w:line="240" w:lineRule="auto"/>
            </w:pPr>
            <w:r>
              <w:rPr>
                <w:sz w:val="16"/>
              </w:rPr>
              <w:t>Maximum acceptable emissions and factor age</w:t>
            </w:r>
          </w:p>
        </w:tc>
      </w:tr>
      <w:tr>
        <w:tc>
          <w:tcPr>
            <w:tcW w:type="dxa" w:w="2952"/>
            <w:shd w:fill="FFFFFF"/>
            <w:tcMar>
              <w:top w:w="65" w:type="dxa"/>
              <w:start w:w="90" w:type="dxa"/>
              <w:bottom w:w="65" w:type="dxa"/>
              <w:end w:w="90" w:type="dxa"/>
            </w:tcMar>
            <w:vAlign w:val="center"/>
          </w:tcPr>
          <w:p>
            <w:pPr>
              <w:spacing w:after="0" w:line="240" w:lineRule="auto"/>
            </w:pPr>
            <w:r>
              <w:rPr>
                <w:sz w:val="16"/>
              </w:rPr>
              <w:t>Alternative denominator</w:t>
            </w:r>
          </w:p>
        </w:tc>
        <w:tc>
          <w:tcPr>
            <w:tcW w:type="dxa" w:w="3672"/>
            <w:shd w:fill="FFFFFF"/>
            <w:tcMar>
              <w:top w:w="65" w:type="dxa"/>
              <w:start w:w="90" w:type="dxa"/>
              <w:bottom w:w="65" w:type="dxa"/>
              <w:end w:w="90" w:type="dxa"/>
            </w:tcMar>
            <w:vAlign w:val="center"/>
          </w:tcPr>
          <w:p>
            <w:pPr>
              <w:spacing w:after="0" w:line="240" w:lineRule="auto"/>
            </w:pPr>
            <w:r>
              <w:rPr>
                <w:sz w:val="16"/>
              </w:rPr>
              <w:t>ESG methodology, Finance, Audit</w:t>
            </w:r>
          </w:p>
        </w:tc>
        <w:tc>
          <w:tcPr>
            <w:tcW w:type="dxa" w:w="3312"/>
            <w:shd w:fill="FFFFFF"/>
            <w:tcMar>
              <w:top w:w="65" w:type="dxa"/>
              <w:start w:w="90" w:type="dxa"/>
              <w:bottom w:w="65" w:type="dxa"/>
              <w:end w:w="90" w:type="dxa"/>
            </w:tcMar>
            <w:vAlign w:val="center"/>
          </w:tcPr>
          <w:p>
            <w:pPr>
              <w:spacing w:after="0" w:line="240" w:lineRule="auto"/>
            </w:pPr>
            <w:r>
              <w:rPr>
                <w:sz w:val="16"/>
              </w:rPr>
              <w:t>Approved hierarchy when EVIC is unavailable</w:t>
            </w:r>
          </w:p>
        </w:tc>
      </w:tr>
      <w:tr>
        <w:tc>
          <w:tcPr>
            <w:tcW w:type="dxa" w:w="2952"/>
            <w:shd w:fill="EAF2F8"/>
            <w:tcMar>
              <w:top w:w="65" w:type="dxa"/>
              <w:start w:w="90" w:type="dxa"/>
              <w:bottom w:w="65" w:type="dxa"/>
              <w:end w:w="90" w:type="dxa"/>
            </w:tcMar>
            <w:vAlign w:val="center"/>
          </w:tcPr>
          <w:p>
            <w:pPr>
              <w:spacing w:after="0" w:line="240" w:lineRule="auto"/>
            </w:pPr>
            <w:r>
              <w:rPr>
                <w:sz w:val="16"/>
              </w:rPr>
              <w:t>Reporting blockers</w:t>
            </w:r>
          </w:p>
        </w:tc>
        <w:tc>
          <w:tcPr>
            <w:tcW w:type="dxa" w:w="3672"/>
            <w:shd w:fill="EAF2F8"/>
            <w:tcMar>
              <w:top w:w="65" w:type="dxa"/>
              <w:start w:w="90" w:type="dxa"/>
              <w:bottom w:w="65" w:type="dxa"/>
              <w:end w:w="90" w:type="dxa"/>
            </w:tcMar>
            <w:vAlign w:val="center"/>
          </w:tcPr>
          <w:p>
            <w:pPr>
              <w:spacing w:after="0" w:line="240" w:lineRule="auto"/>
            </w:pPr>
            <w:r>
              <w:rPr>
                <w:sz w:val="16"/>
              </w:rPr>
              <w:t>ESG Reporting, Data Governance, Audit</w:t>
            </w:r>
          </w:p>
        </w:tc>
        <w:tc>
          <w:tcPr>
            <w:tcW w:type="dxa" w:w="3312"/>
            <w:shd w:fill="EAF2F8"/>
            <w:tcMar>
              <w:top w:w="65" w:type="dxa"/>
              <w:start w:w="90" w:type="dxa"/>
              <w:bottom w:w="65" w:type="dxa"/>
              <w:end w:w="90" w:type="dxa"/>
            </w:tcMar>
            <w:vAlign w:val="center"/>
          </w:tcPr>
          <w:p>
            <w:pPr>
              <w:spacing w:after="0" w:line="240" w:lineRule="auto"/>
            </w:pPr>
            <w:r>
              <w:rPr>
                <w:sz w:val="16"/>
              </w:rPr>
              <w:t>Publication criteria and waiver authority</w:t>
            </w:r>
          </w:p>
        </w:tc>
      </w:tr>
      <w:tr>
        <w:tc>
          <w:tcPr>
            <w:tcW w:type="dxa" w:w="2952"/>
            <w:shd w:fill="FFFFFF"/>
            <w:tcMar>
              <w:top w:w="65" w:type="dxa"/>
              <w:start w:w="90" w:type="dxa"/>
              <w:bottom w:w="65" w:type="dxa"/>
              <w:end w:w="90" w:type="dxa"/>
            </w:tcMar>
            <w:vAlign w:val="center"/>
          </w:tcPr>
          <w:p>
            <w:pPr>
              <w:spacing w:after="0" w:line="240" w:lineRule="auto"/>
            </w:pPr>
            <w:r>
              <w:rPr>
                <w:sz w:val="16"/>
              </w:rPr>
              <w:t>Exception SLA</w:t>
            </w:r>
          </w:p>
        </w:tc>
        <w:tc>
          <w:tcPr>
            <w:tcW w:type="dxa" w:w="3672"/>
            <w:shd w:fill="FFFFFF"/>
            <w:tcMar>
              <w:top w:w="65" w:type="dxa"/>
              <w:start w:w="90" w:type="dxa"/>
              <w:bottom w:w="65" w:type="dxa"/>
              <w:end w:w="90" w:type="dxa"/>
            </w:tcMar>
            <w:vAlign w:val="center"/>
          </w:tcPr>
          <w:p>
            <w:pPr>
              <w:spacing w:after="0" w:line="240" w:lineRule="auto"/>
            </w:pPr>
            <w:r>
              <w:rPr>
                <w:sz w:val="16"/>
              </w:rPr>
              <w:t>Data Stewards, source owners, ESG Operations</w:t>
            </w:r>
          </w:p>
        </w:tc>
        <w:tc>
          <w:tcPr>
            <w:tcW w:type="dxa" w:w="3312"/>
            <w:shd w:fill="FFFFFF"/>
            <w:tcMar>
              <w:top w:w="65" w:type="dxa"/>
              <w:start w:w="90" w:type="dxa"/>
              <w:bottom w:w="65" w:type="dxa"/>
              <w:end w:w="90" w:type="dxa"/>
            </w:tcMar>
            <w:vAlign w:val="center"/>
          </w:tcPr>
          <w:p>
            <w:pPr>
              <w:spacing w:after="0" w:line="240" w:lineRule="auto"/>
            </w:pPr>
            <w:r>
              <w:rPr>
                <w:sz w:val="16"/>
              </w:rPr>
              <w:t>Response and resolution targets by severity</w:t>
            </w:r>
          </w:p>
        </w:tc>
      </w:tr>
      <w:tr>
        <w:tc>
          <w:tcPr>
            <w:tcW w:type="dxa" w:w="2952"/>
            <w:shd w:fill="EAF2F8"/>
            <w:tcMar>
              <w:top w:w="65" w:type="dxa"/>
              <w:start w:w="90" w:type="dxa"/>
              <w:bottom w:w="65" w:type="dxa"/>
              <w:end w:w="90" w:type="dxa"/>
            </w:tcMar>
            <w:vAlign w:val="center"/>
          </w:tcPr>
          <w:p>
            <w:pPr>
              <w:spacing w:after="0" w:line="240" w:lineRule="auto"/>
            </w:pPr>
            <w:r>
              <w:rPr>
                <w:sz w:val="16"/>
              </w:rPr>
              <w:t>Snapshot and rerun policy</w:t>
            </w:r>
          </w:p>
        </w:tc>
        <w:tc>
          <w:tcPr>
            <w:tcW w:type="dxa" w:w="3672"/>
            <w:shd w:fill="EAF2F8"/>
            <w:tcMar>
              <w:top w:w="65" w:type="dxa"/>
              <w:start w:w="90" w:type="dxa"/>
              <w:bottom w:w="65" w:type="dxa"/>
              <w:end w:w="90" w:type="dxa"/>
            </w:tcMar>
            <w:vAlign w:val="center"/>
          </w:tcPr>
          <w:p>
            <w:pPr>
              <w:spacing w:after="0" w:line="240" w:lineRule="auto"/>
            </w:pPr>
            <w:r>
              <w:rPr>
                <w:sz w:val="16"/>
              </w:rPr>
              <w:t>ESG Operations, Data Warehouse, Audit</w:t>
            </w:r>
          </w:p>
        </w:tc>
        <w:tc>
          <w:tcPr>
            <w:tcW w:type="dxa" w:w="3312"/>
            <w:shd w:fill="EAF2F8"/>
            <w:tcMar>
              <w:top w:w="65" w:type="dxa"/>
              <w:start w:w="90" w:type="dxa"/>
              <w:bottom w:w="65" w:type="dxa"/>
              <w:end w:w="90" w:type="dxa"/>
            </w:tcMar>
            <w:vAlign w:val="center"/>
          </w:tcPr>
          <w:p>
            <w:pPr>
              <w:spacing w:after="0" w:line="240" w:lineRule="auto"/>
            </w:pPr>
            <w:r>
              <w:rPr>
                <w:sz w:val="16"/>
              </w:rPr>
              <w:t>Rules for late corrections and republishing</w:t>
            </w:r>
          </w:p>
        </w:tc>
      </w:tr>
      <w:tr>
        <w:tc>
          <w:tcPr>
            <w:tcW w:type="dxa" w:w="2952"/>
            <w:shd w:fill="FFFFFF"/>
            <w:tcMar>
              <w:top w:w="65" w:type="dxa"/>
              <w:start w:w="90" w:type="dxa"/>
              <w:bottom w:w="65" w:type="dxa"/>
              <w:end w:w="90" w:type="dxa"/>
            </w:tcMar>
            <w:vAlign w:val="center"/>
          </w:tcPr>
          <w:p>
            <w:pPr>
              <w:spacing w:after="0" w:line="240" w:lineRule="auto"/>
            </w:pPr>
            <w:r>
              <w:rPr>
                <w:sz w:val="16"/>
              </w:rPr>
              <w:t>Retention period</w:t>
            </w:r>
          </w:p>
        </w:tc>
        <w:tc>
          <w:tcPr>
            <w:tcW w:type="dxa" w:w="3672"/>
            <w:shd w:fill="FFFFFF"/>
            <w:tcMar>
              <w:top w:w="65" w:type="dxa"/>
              <w:start w:w="90" w:type="dxa"/>
              <w:bottom w:w="65" w:type="dxa"/>
              <w:end w:w="90" w:type="dxa"/>
            </w:tcMar>
            <w:vAlign w:val="center"/>
          </w:tcPr>
          <w:p>
            <w:pPr>
              <w:spacing w:after="0" w:line="240" w:lineRule="auto"/>
            </w:pPr>
            <w:r>
              <w:rPr>
                <w:sz w:val="16"/>
              </w:rPr>
              <w:t>Internal Audit, Legal or Compliance, Data Warehouse</w:t>
            </w:r>
          </w:p>
        </w:tc>
        <w:tc>
          <w:tcPr>
            <w:tcW w:type="dxa" w:w="3312"/>
            <w:shd w:fill="FFFFFF"/>
            <w:tcMar>
              <w:top w:w="65" w:type="dxa"/>
              <w:start w:w="90" w:type="dxa"/>
              <w:bottom w:w="65" w:type="dxa"/>
              <w:end w:w="90" w:type="dxa"/>
            </w:tcMar>
            <w:vAlign w:val="center"/>
          </w:tcPr>
          <w:p>
            <w:pPr>
              <w:spacing w:after="0" w:line="240" w:lineRule="auto"/>
            </w:pPr>
            <w:r>
              <w:rPr>
                <w:sz w:val="16"/>
              </w:rPr>
              <w:t>Approved evidence-retention schedule</w:t>
            </w:r>
          </w:p>
        </w:tc>
      </w:tr>
      <w:tr>
        <w:tc>
          <w:tcPr>
            <w:tcW w:type="dxa" w:w="2952"/>
            <w:shd w:fill="EAF2F8"/>
            <w:tcMar>
              <w:top w:w="65" w:type="dxa"/>
              <w:start w:w="90" w:type="dxa"/>
              <w:bottom w:w="65" w:type="dxa"/>
              <w:end w:w="90" w:type="dxa"/>
            </w:tcMar>
            <w:vAlign w:val="center"/>
          </w:tcPr>
          <w:p>
            <w:pPr>
              <w:spacing w:after="0" w:line="240" w:lineRule="auto"/>
            </w:pPr>
            <w:r>
              <w:rPr>
                <w:sz w:val="16"/>
              </w:rPr>
              <w:t>Executive KPI set</w:t>
            </w:r>
          </w:p>
        </w:tc>
        <w:tc>
          <w:tcPr>
            <w:tcW w:type="dxa" w:w="3672"/>
            <w:shd w:fill="EAF2F8"/>
            <w:tcMar>
              <w:top w:w="65" w:type="dxa"/>
              <w:start w:w="90" w:type="dxa"/>
              <w:bottom w:w="65" w:type="dxa"/>
              <w:end w:w="90" w:type="dxa"/>
            </w:tcMar>
            <w:vAlign w:val="center"/>
          </w:tcPr>
          <w:p>
            <w:pPr>
              <w:spacing w:after="0" w:line="240" w:lineRule="auto"/>
            </w:pPr>
            <w:r>
              <w:rPr>
                <w:sz w:val="16"/>
              </w:rPr>
              <w:t>Senior Management, ESG Reporting, Risk</w:t>
            </w:r>
          </w:p>
        </w:tc>
        <w:tc>
          <w:tcPr>
            <w:tcW w:type="dxa" w:w="3312"/>
            <w:shd w:fill="EAF2F8"/>
            <w:tcMar>
              <w:top w:w="65" w:type="dxa"/>
              <w:start w:w="90" w:type="dxa"/>
              <w:bottom w:w="65" w:type="dxa"/>
              <w:end w:w="90" w:type="dxa"/>
            </w:tcMar>
            <w:vAlign w:val="center"/>
          </w:tcPr>
          <w:p>
            <w:pPr>
              <w:spacing w:after="0" w:line="240" w:lineRule="auto"/>
            </w:pPr>
            <w:r>
              <w:rPr>
                <w:sz w:val="16"/>
              </w:rPr>
              <w:t>Final first-page KPIs and material alerts</w:t>
            </w:r>
          </w:p>
        </w:tc>
      </w:tr>
    </w:tbl>
    <w:p>
      <w:pPr>
        <w:spacing w:after="0"/>
      </w:pPr>
    </w:p>
    <w:p>
      <w:pPr>
        <w:pStyle w:val="Heading2"/>
      </w:pPr>
      <w:r>
        <w:t>Requirements validation checklist</w:t>
      </w:r>
    </w:p>
    <w:p>
      <w:pPr>
        <w:pStyle w:val="ListBullet"/>
        <w:spacing w:after="40"/>
      </w:pPr>
      <w:r>
        <w:t>Each requirement has a unique ID and accountable business owner.</w:t>
      </w:r>
    </w:p>
    <w:p>
      <w:pPr>
        <w:pStyle w:val="ListBullet"/>
        <w:spacing w:after="40"/>
      </w:pPr>
      <w:r>
        <w:t>Assumptions are separated from approved decisions.</w:t>
      </w:r>
    </w:p>
    <w:p>
      <w:pPr>
        <w:pStyle w:val="ListBullet"/>
        <w:spacing w:after="40"/>
      </w:pPr>
      <w:r>
        <w:t>Conflicting stakeholder responses are recorded in the decision log.</w:t>
      </w:r>
    </w:p>
    <w:p>
      <w:pPr>
        <w:pStyle w:val="ListBullet"/>
        <w:spacing w:after="40"/>
      </w:pPr>
      <w:r>
        <w:t>Each requirement is specific, testable and traceable to a business need.</w:t>
      </w:r>
    </w:p>
    <w:p>
      <w:pPr>
        <w:pStyle w:val="ListBullet"/>
        <w:spacing w:after="40"/>
      </w:pPr>
      <w:r>
        <w:t>Calculation rules define inputs, conditions, outputs and failure treatment.</w:t>
      </w:r>
    </w:p>
    <w:p>
      <w:pPr>
        <w:pStyle w:val="ListBullet"/>
        <w:spacing w:after="40"/>
      </w:pPr>
      <w:r>
        <w:t>Data-quality rules define severity, ownership and evidence requirements.</w:t>
      </w:r>
    </w:p>
    <w:p>
      <w:pPr>
        <w:pStyle w:val="ListBullet"/>
        <w:spacing w:after="40"/>
      </w:pPr>
      <w:r>
        <w:t>Technical requirements do not silently change the approved methodology.</w:t>
      </w:r>
    </w:p>
    <w:p>
      <w:pPr>
        <w:pStyle w:val="ListBullet"/>
        <w:spacing w:after="40"/>
      </w:pPr>
      <w:r>
        <w:t>Acceptance criteria and test cases are created before development begins.</w:t>
      </w:r>
    </w:p>
    <w:p>
      <w:pPr>
        <w:pStyle w:val="Heading2"/>
      </w:pPr>
      <w:r>
        <w:t>Next project stage</w:t>
      </w:r>
    </w:p>
    <w:p>
      <w:r>
        <w:t>After the stakeholder assumptions are validated, move to source-data profiling and requirements traceability. Profile each table against the approved business rules, quantify failures, confirm the business grain and create the logical data model, source-to-target mapping, exception table design and acceptance criteria.</w:t>
      </w:r>
    </w:p>
    <w:p>
      <w:pPr>
        <w:pStyle w:val="Heading2"/>
      </w:pPr>
      <w:r>
        <w:t>Recommended deliverables</w:t>
      </w:r>
    </w:p>
    <w:p>
      <w:pPr>
        <w:pStyle w:val="ListBullet"/>
        <w:spacing w:after="40"/>
      </w:pPr>
      <w:r>
        <w:t>Stakeholder register and RACI</w:t>
      </w:r>
    </w:p>
    <w:p>
      <w:pPr>
        <w:pStyle w:val="ListBullet"/>
        <w:spacing w:after="40"/>
      </w:pPr>
      <w:r>
        <w:t>Approved business requirements document</w:t>
      </w:r>
    </w:p>
    <w:p>
      <w:pPr>
        <w:pStyle w:val="ListBullet"/>
        <w:spacing w:after="40"/>
      </w:pPr>
      <w:r>
        <w:t>Decision and assumption log</w:t>
      </w:r>
    </w:p>
    <w:p>
      <w:pPr>
        <w:pStyle w:val="ListBullet"/>
        <w:spacing w:after="40"/>
      </w:pPr>
      <w:r>
        <w:t>Requirements traceability matrix</w:t>
      </w:r>
    </w:p>
    <w:p>
      <w:pPr>
        <w:pStyle w:val="ListBullet"/>
        <w:spacing w:after="40"/>
      </w:pPr>
      <w:r>
        <w:t>Data profiling report</w:t>
      </w:r>
    </w:p>
    <w:p>
      <w:pPr>
        <w:pStyle w:val="ListBullet"/>
        <w:spacing w:after="40"/>
      </w:pPr>
      <w:r>
        <w:t>Logical data model</w:t>
      </w:r>
    </w:p>
    <w:p>
      <w:pPr>
        <w:pStyle w:val="ListBullet"/>
        <w:spacing w:after="40"/>
      </w:pPr>
      <w:r>
        <w:t>Source-to-target mapping</w:t>
      </w:r>
    </w:p>
    <w:p>
      <w:pPr>
        <w:pStyle w:val="ListBullet"/>
        <w:spacing w:after="40"/>
      </w:pPr>
      <w:r>
        <w:t>Data-quality rule catalogue</w:t>
      </w:r>
    </w:p>
    <w:p>
      <w:pPr>
        <w:pStyle w:val="ListBullet"/>
        <w:spacing w:after="40"/>
      </w:pPr>
      <w:r>
        <w:t>Calculation specification</w:t>
      </w:r>
    </w:p>
    <w:p>
      <w:pPr>
        <w:pStyle w:val="ListBullet"/>
        <w:spacing w:after="40"/>
      </w:pPr>
      <w:r>
        <w:t>Dashboard wireframes and acceptance criteria</w:t>
      </w:r>
    </w:p>
    <w:sectPr w:rsidR="00FC693F" w:rsidRPr="0006063C" w:rsidSect="00034616">
      <w:footerReference w:type="default" r:id="rId9"/>
      <w:pgSz w:w="12240" w:h="15840"/>
      <w:pgMar w:top="864" w:right="1094" w:bottom="864"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Page </w:t>
    </w:r>
    <w:fldSimple w:instr="PAGE"/>
    <w:r>
      <w:rPr>
        <w:color w:val="5A5A5A"/>
        <w:sz w:val="16"/>
      </w:rPr>
      <w:t xml:space="preserve">  |  ESG stakeholder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Stakeholder Interview and Requirements Guide</dc:title>
  <dc:subject>Financed emissions business analysis</dc:subject>
  <dc:creator>Amaka</dc:creator>
  <cp:keywords/>
  <dc:description>generated by python-docx</dc:description>
  <cp:lastModifiedBy/>
  <cp:revision>1</cp:revision>
  <dcterms:created xsi:type="dcterms:W3CDTF">2013-12-23T23:15:00Z</dcterms:created>
  <dcterms:modified xsi:type="dcterms:W3CDTF">2013-12-23T23:15:00Z</dcterms:modified>
  <cp:category/>
</cp:coreProperties>
</file>