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ABBE" w14:textId="77777777" w:rsidR="00FB7050" w:rsidRPr="00A61A3C" w:rsidRDefault="00000000" w:rsidP="00A61A3C">
      <w:pPr>
        <w:pStyle w:val="Title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STARBUCKS CLIMATE RISK ANALYSIS</w:t>
      </w:r>
    </w:p>
    <w:p w14:paraId="2775ABBF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i/>
          <w:iCs/>
          <w:sz w:val="24"/>
          <w:szCs w:val="24"/>
        </w:rPr>
        <w:t>TCFD-Aligned Financial Impact Assessment</w:t>
      </w:r>
    </w:p>
    <w:p w14:paraId="2775ABC0" w14:textId="77777777" w:rsidR="00FB7050" w:rsidRPr="00A61A3C" w:rsidRDefault="00000000" w:rsidP="00A61A3C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December 2024</w:t>
      </w:r>
    </w:p>
    <w:p w14:paraId="2775ABC1" w14:textId="77777777" w:rsidR="00FB7050" w:rsidRPr="00A61A3C" w:rsidRDefault="00FB7050" w:rsidP="00A61A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5ABC2" w14:textId="77777777" w:rsidR="00FB7050" w:rsidRPr="00A61A3C" w:rsidRDefault="00FB7050" w:rsidP="00A61A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5ABC3" w14:textId="77777777" w:rsidR="00FB7050" w:rsidRPr="00A61A3C" w:rsidRDefault="00000000" w:rsidP="00A61A3C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i/>
          <w:iCs/>
          <w:sz w:val="24"/>
          <w:szCs w:val="24"/>
        </w:rPr>
        <w:t>Classification: Internal Use</w:t>
      </w:r>
    </w:p>
    <w:p w14:paraId="2775ABC4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BC5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2775ABC6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Executive Summary</w:t>
      </w:r>
    </w:p>
    <w:p w14:paraId="2775ABC7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TCFD Framework Overview</w:t>
      </w:r>
    </w:p>
    <w:p w14:paraId="2775ABC8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Key Findings: Physical Climate Risks</w:t>
      </w:r>
    </w:p>
    <w:p w14:paraId="2775ABC9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Key Findings: Transition Risks</w:t>
      </w:r>
    </w:p>
    <w:p w14:paraId="2775ABCA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Financial Impact Quantification</w:t>
      </w:r>
    </w:p>
    <w:p w14:paraId="2775ABCB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Competitive Positioning</w:t>
      </w:r>
    </w:p>
    <w:p w14:paraId="2775ABCC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Strategic Recommendations</w:t>
      </w:r>
    </w:p>
    <w:p w14:paraId="2775ABCD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Technical Methodology</w:t>
      </w:r>
    </w:p>
    <w:p w14:paraId="2775ABCE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BCF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1. EXECUTIVE SUMMARY</w:t>
      </w:r>
    </w:p>
    <w:p w14:paraId="2775ABD0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Overview</w:t>
      </w:r>
    </w:p>
    <w:p w14:paraId="2775ABD1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 xml:space="preserve">This analysis quantifies Starbucks' exposure to climate-related financial risks across its coffee supply chain, aligned with the Task Force on Climate-related Financial Disclosures (TCFD) framework. Using CMIP6 climate projections, agricultural stress </w:t>
      </w:r>
      <w:proofErr w:type="spellStart"/>
      <w:r w:rsidRPr="00A61A3C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A61A3C">
        <w:rPr>
          <w:rFonts w:ascii="Times New Roman" w:hAnsi="Times New Roman" w:cs="Times New Roman"/>
          <w:sz w:val="24"/>
          <w:szCs w:val="24"/>
        </w:rPr>
        <w:t>, and financial impact assessment, we evaluate both physical risks (climate impacts on production) and transition risks (carbon pricing and market dynamics).</w:t>
      </w:r>
    </w:p>
    <w:p w14:paraId="2775ABD2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Key Headline Findings</w:t>
      </w:r>
    </w:p>
    <w:p w14:paraId="2775ABD3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Total climate financial exposure: </w:t>
      </w:r>
      <w:r w:rsidRPr="00A61A3C">
        <w:rPr>
          <w:rFonts w:ascii="Times New Roman" w:hAnsi="Times New Roman" w:cs="Times New Roman"/>
          <w:sz w:val="24"/>
          <w:szCs w:val="24"/>
        </w:rPr>
        <w:t>$2.45 billion annually by 2050 (most likely scenario)</w:t>
      </w:r>
    </w:p>
    <w:p w14:paraId="2775ABD4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30-year Net Present Value: </w:t>
      </w:r>
      <w:r w:rsidRPr="00A61A3C">
        <w:rPr>
          <w:rFonts w:ascii="Times New Roman" w:hAnsi="Times New Roman" w:cs="Times New Roman"/>
          <w:sz w:val="24"/>
          <w:szCs w:val="24"/>
        </w:rPr>
        <w:t>$27.6 billion (8% discount rate)</w:t>
      </w:r>
    </w:p>
    <w:p w14:paraId="2775ABD5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Physical supply risk: </w:t>
      </w:r>
      <w:r w:rsidRPr="00A61A3C">
        <w:rPr>
          <w:rFonts w:ascii="Times New Roman" w:hAnsi="Times New Roman" w:cs="Times New Roman"/>
          <w:sz w:val="24"/>
          <w:szCs w:val="24"/>
        </w:rPr>
        <w:t>$158.8M annually (yield losses from climate stress)</w:t>
      </w:r>
    </w:p>
    <w:p w14:paraId="2775ABD6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Transition risk: </w:t>
      </w:r>
      <w:r w:rsidRPr="00A61A3C">
        <w:rPr>
          <w:rFonts w:ascii="Times New Roman" w:hAnsi="Times New Roman" w:cs="Times New Roman"/>
          <w:sz w:val="24"/>
          <w:szCs w:val="24"/>
        </w:rPr>
        <w:t>$2.3 billion annually (carbon pricing costs)</w:t>
      </w:r>
    </w:p>
    <w:p w14:paraId="2775ABD7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Geographic resilience: </w:t>
      </w:r>
      <w:r w:rsidRPr="00A61A3C">
        <w:rPr>
          <w:rFonts w:ascii="Times New Roman" w:hAnsi="Times New Roman" w:cs="Times New Roman"/>
          <w:sz w:val="24"/>
          <w:szCs w:val="24"/>
        </w:rPr>
        <w:t>85% of sourcing in low-risk regions (competitive advantage)</w:t>
      </w:r>
    </w:p>
    <w:p w14:paraId="2775ABD8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Competitive ranking: </w:t>
      </w:r>
      <w:r w:rsidRPr="00A61A3C">
        <w:rPr>
          <w:rFonts w:ascii="Times New Roman" w:hAnsi="Times New Roman" w:cs="Times New Roman"/>
          <w:sz w:val="24"/>
          <w:szCs w:val="24"/>
        </w:rPr>
        <w:t xml:space="preserve">2nd-best positioned among major competitors (Nestlé, JDE Peets, Lavazza, </w:t>
      </w:r>
      <w:proofErr w:type="spellStart"/>
      <w:r w:rsidRPr="00A61A3C">
        <w:rPr>
          <w:rFonts w:ascii="Times New Roman" w:hAnsi="Times New Roman" w:cs="Times New Roman"/>
          <w:sz w:val="24"/>
          <w:szCs w:val="24"/>
        </w:rPr>
        <w:t>illycaffè</w:t>
      </w:r>
      <w:proofErr w:type="spellEnd"/>
      <w:r w:rsidRPr="00A61A3C">
        <w:rPr>
          <w:rFonts w:ascii="Times New Roman" w:hAnsi="Times New Roman" w:cs="Times New Roman"/>
          <w:sz w:val="24"/>
          <w:szCs w:val="24"/>
        </w:rPr>
        <w:t>)</w:t>
      </w:r>
    </w:p>
    <w:p w14:paraId="2775ABD9" w14:textId="77777777" w:rsidR="00FB7050" w:rsidRPr="00A61A3C" w:rsidRDefault="00FB7050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5ABDA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Materiality Assessment</w:t>
      </w:r>
    </w:p>
    <w:p w14:paraId="2775ABDB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Climate risk is MATERIAL to Starbucks' business: The $27.6B 30-year NPV represents potential financial exposure from both direct supply chain disruption and transition to low-carbon economy. This exceeds materiality thresholds for public disclosure and strategic planning.</w:t>
      </w:r>
    </w:p>
    <w:p w14:paraId="2775ABDC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BDD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2. TCFD FRAMEWORK OVERVIEW</w:t>
      </w:r>
    </w:p>
    <w:p w14:paraId="2775ABDE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Governance</w:t>
      </w:r>
    </w:p>
    <w:p w14:paraId="2775ABDF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Climate risk assessment is integrated into strategic planning and capital allocation decisions</w:t>
      </w:r>
    </w:p>
    <w:p w14:paraId="2775ABE0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Board-level oversight of sustainability targets and net-zero pathway</w:t>
      </w:r>
    </w:p>
    <w:p w14:paraId="2775ABE1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Annual TCFD-aligned climate risk disclosure in ESG reporting</w:t>
      </w:r>
    </w:p>
    <w:p w14:paraId="2775ABE2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Strategy</w:t>
      </w:r>
    </w:p>
    <w:p w14:paraId="2775ABE3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Starbucks' high-elevation sourcing portfolio provides natural resilience against climate stress</w:t>
      </w:r>
    </w:p>
    <w:p w14:paraId="2775ABE4" w14:textId="7155FCE5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 xml:space="preserve">Diversification across 29 regions reduces geographic concentration risk (17.5% </w:t>
      </w:r>
      <w:r w:rsidR="00D61948" w:rsidRPr="00A61A3C">
        <w:rPr>
          <w:rFonts w:ascii="Times New Roman" w:hAnsi="Times New Roman" w:cs="Times New Roman"/>
          <w:sz w:val="24"/>
          <w:szCs w:val="24"/>
        </w:rPr>
        <w:t>top 3</w:t>
      </w:r>
      <w:r w:rsidRPr="00A61A3C">
        <w:rPr>
          <w:rFonts w:ascii="Times New Roman" w:hAnsi="Times New Roman" w:cs="Times New Roman"/>
          <w:sz w:val="24"/>
          <w:szCs w:val="24"/>
        </w:rPr>
        <w:t xml:space="preserve"> concentration vs. 38-60% for competitors)</w:t>
      </w:r>
    </w:p>
    <w:p w14:paraId="2775ABE5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Net-zero pathway: 50% emissions reduction by 2030, 95% by 2050</w:t>
      </w:r>
    </w:p>
    <w:p w14:paraId="2775ABE6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Risk Management</w:t>
      </w:r>
    </w:p>
    <w:p w14:paraId="2775ABE7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Scenario analysis across three climate pathways (Net Zero, Delayed Transition, Current Policies)</w:t>
      </w:r>
    </w:p>
    <w:p w14:paraId="2775ABE8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Regional climate stress monitoring in 29 coffee-growing regions</w:t>
      </w:r>
    </w:p>
    <w:p w14:paraId="2775ABE9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Carbon hedging strategy (25-50% of exposure) to manage transition risk volatility</w:t>
      </w:r>
    </w:p>
    <w:p w14:paraId="2775ABEA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Farmer support programs and diversification investments to adapt to climate change</w:t>
      </w:r>
    </w:p>
    <w:p w14:paraId="2775ABEB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Metrics &amp; Targets</w:t>
      </w:r>
    </w:p>
    <w:p w14:paraId="2775ABEC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Coffee supply at risk: 4.5% by 2050 (most likely scenario)</w:t>
      </w:r>
    </w:p>
    <w:p w14:paraId="2775ABED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Scope 1+2+3 emissions: 50% reduction by 2030, 95% by 2050</w:t>
      </w:r>
    </w:p>
    <w:p w14:paraId="2775ABEE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Geographic resilience score: 0.70/1.0 (70% - high diversification)</w:t>
      </w:r>
    </w:p>
    <w:p w14:paraId="2775ABEF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Climate cost as % of revenue: 2.7% (lowest among competitors)</w:t>
      </w:r>
    </w:p>
    <w:p w14:paraId="2F71BADE" w14:textId="51DC93C4" w:rsidR="004F08D7" w:rsidRPr="004F08D7" w:rsidRDefault="00000000" w:rsidP="004F08D7">
      <w:pPr>
        <w:jc w:val="both"/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  <w:r w:rsidR="004F08D7" w:rsidRPr="004F08D7">
        <w:lastRenderedPageBreak/>
        <w:drawing>
          <wp:inline distT="0" distB="0" distL="0" distR="0" wp14:anchorId="7312B334" wp14:editId="019EF83D">
            <wp:extent cx="6248400" cy="3776345"/>
            <wp:effectExtent l="0" t="0" r="0" b="0"/>
            <wp:docPr id="1429412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12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ABF0" w14:textId="391A9C8F" w:rsidR="00FB7050" w:rsidRDefault="00FB7050" w:rsidP="00A61A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A4AA4" w14:textId="77777777" w:rsidR="004F08D7" w:rsidRDefault="004F08D7" w:rsidP="00A61A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D6C53" w14:textId="77777777" w:rsidR="004F08D7" w:rsidRDefault="004F08D7" w:rsidP="00A61A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ED070" w14:textId="77777777" w:rsidR="004F08D7" w:rsidRPr="004F08D7" w:rsidRDefault="004F08D7" w:rsidP="00A61A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5ABF1" w14:textId="7BC189C0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3. KEY FINDINGS: PHYSICAL CLIMATE RISKS</w:t>
      </w:r>
    </w:p>
    <w:p w14:paraId="2775ABF2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Climate Stress by Region (2050)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806"/>
        <w:gridCol w:w="1461"/>
        <w:gridCol w:w="1274"/>
        <w:gridCol w:w="1287"/>
      </w:tblGrid>
      <w:tr w:rsidR="00FB7050" w:rsidRPr="00A61A3C" w14:paraId="2775ABF7" w14:textId="77777777" w:rsidTr="003B119B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BF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Region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BF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Stress 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BF5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Yield 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BF6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Risk Level</w:t>
            </w:r>
          </w:p>
        </w:tc>
      </w:tr>
      <w:tr w:rsidR="00FB7050" w:rsidRPr="00A61A3C" w14:paraId="2775ABFC" w14:textId="77777777" w:rsidTr="003B119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Colombia Huila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0.027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1.4%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B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Symbol" w:hAnsi="Segoe UI Symbol" w:cs="Segoe UI Symbol"/>
                <w:color w:val="00B050"/>
                <w:sz w:val="24"/>
                <w:szCs w:val="24"/>
              </w:rPr>
              <w:t>✓</w:t>
            </w:r>
            <w:r w:rsidRPr="00A61A3C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Low</w:t>
            </w:r>
          </w:p>
        </w:tc>
      </w:tr>
      <w:tr w:rsidR="00FB7050" w:rsidRPr="00A61A3C" w14:paraId="2775AC01" w14:textId="77777777" w:rsidTr="003B119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D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Guatemala Huehuetenango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0.039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BFF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1.9%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0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Symbol" w:hAnsi="Segoe UI Symbol" w:cs="Segoe UI Symbol"/>
                <w:color w:val="00B050"/>
                <w:sz w:val="24"/>
                <w:szCs w:val="24"/>
              </w:rPr>
              <w:t>✓</w:t>
            </w:r>
            <w:r w:rsidRPr="00A61A3C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Low</w:t>
            </w:r>
          </w:p>
        </w:tc>
      </w:tr>
      <w:tr w:rsidR="00FB7050" w:rsidRPr="00A61A3C" w14:paraId="2775AC06" w14:textId="77777777" w:rsidTr="003B119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Brazil São Paulo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0.156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7.8%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5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Symbol" w:hAnsi="Segoe UI Symbol" w:cs="Segoe UI Symbol"/>
                <w:color w:val="FFC000"/>
                <w:sz w:val="24"/>
                <w:szCs w:val="24"/>
              </w:rPr>
              <w:t>⚠</w:t>
            </w:r>
            <w:r w:rsidRPr="00A61A3C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 xml:space="preserve"> Medium</w:t>
            </w:r>
          </w:p>
        </w:tc>
      </w:tr>
      <w:tr w:rsidR="00FB7050" w:rsidRPr="00A61A3C" w14:paraId="2775AC0B" w14:textId="77777777" w:rsidTr="003B119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7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Sumatra Aceh, Indonesia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0.235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23.5%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0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✕</w:t>
            </w:r>
            <w:r w:rsidRPr="00A61A3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High</w:t>
            </w:r>
          </w:p>
        </w:tc>
      </w:tr>
      <w:tr w:rsidR="003B119B" w:rsidRPr="00A61A3C" w14:paraId="4A7F73F3" w14:textId="77777777" w:rsidTr="003B119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B84DF" w14:textId="77777777" w:rsidR="003B119B" w:rsidRPr="00A61A3C" w:rsidRDefault="003B119B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525AB" w14:textId="77777777" w:rsidR="003B119B" w:rsidRPr="00A61A3C" w:rsidRDefault="003B119B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2F5FA" w14:textId="77777777" w:rsidR="003B119B" w:rsidRPr="00A61A3C" w:rsidRDefault="003B119B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33E08" w14:textId="77777777" w:rsidR="003B119B" w:rsidRPr="00A61A3C" w:rsidRDefault="003B119B" w:rsidP="00A61A3C">
            <w:pPr>
              <w:jc w:val="both"/>
              <w:rPr>
                <w:rFonts w:ascii="Segoe UI Symbol" w:hAnsi="Segoe UI Symbol" w:cs="Segoe UI Symbol"/>
                <w:color w:val="FF0000"/>
                <w:sz w:val="24"/>
                <w:szCs w:val="24"/>
              </w:rPr>
            </w:pPr>
          </w:p>
        </w:tc>
      </w:tr>
    </w:tbl>
    <w:p w14:paraId="2775AC0C" w14:textId="77777777" w:rsidR="00FB7050" w:rsidRDefault="00FB7050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6E0D6A" w14:textId="77777777" w:rsidR="003B119B" w:rsidRDefault="003B119B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5947B6" w14:textId="77777777" w:rsidR="003B119B" w:rsidRDefault="003B119B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91EDA2" w14:textId="49593733" w:rsidR="0054423B" w:rsidRPr="0054423B" w:rsidRDefault="0054423B" w:rsidP="0054423B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54423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E7E6E6" wp14:editId="04E38643">
            <wp:extent cx="5731510" cy="2491105"/>
            <wp:effectExtent l="0" t="0" r="2540" b="4445"/>
            <wp:docPr id="420298692" name="Picture 6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8692" name="Picture 6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4C8B" w14:textId="77777777" w:rsidR="003B119B" w:rsidRPr="00A61A3C" w:rsidRDefault="003B119B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5AC0D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Key Findings</w:t>
      </w:r>
    </w:p>
    <w:p w14:paraId="2775AC0E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High-elevation resilience: </w:t>
      </w:r>
      <w:r w:rsidRPr="00A61A3C">
        <w:rPr>
          <w:rFonts w:ascii="Times New Roman" w:hAnsi="Times New Roman" w:cs="Times New Roman"/>
          <w:sz w:val="24"/>
          <w:szCs w:val="24"/>
        </w:rPr>
        <w:t>Starbucks' sourcing in high-elevation regions (Colombia, Guatemala, Ethiopia) faces minimal yield loss (1-2%)</w:t>
      </w:r>
    </w:p>
    <w:p w14:paraId="2775AC0F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Competitive advantage: </w:t>
      </w:r>
      <w:r w:rsidRPr="00A61A3C">
        <w:rPr>
          <w:rFonts w:ascii="Times New Roman" w:hAnsi="Times New Roman" w:cs="Times New Roman"/>
          <w:sz w:val="24"/>
          <w:szCs w:val="24"/>
        </w:rPr>
        <w:t>High-elevation portfolio faces $16M less profit-at-risk than low-elevation competitors</w:t>
      </w:r>
    </w:p>
    <w:p w14:paraId="2775AC10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Most vulnerable regions: </w:t>
      </w:r>
      <w:r w:rsidRPr="00A61A3C">
        <w:rPr>
          <w:rFonts w:ascii="Times New Roman" w:hAnsi="Times New Roman" w:cs="Times New Roman"/>
          <w:sz w:val="24"/>
          <w:szCs w:val="24"/>
        </w:rPr>
        <w:t>Low-elevation Indonesia and Vietnam face 14-24% yield loss by 2050</w:t>
      </w:r>
    </w:p>
    <w:p w14:paraId="2775AC11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Overall supply impact: </w:t>
      </w:r>
      <w:r w:rsidRPr="00A61A3C">
        <w:rPr>
          <w:rFonts w:ascii="Times New Roman" w:hAnsi="Times New Roman" w:cs="Times New Roman"/>
          <w:sz w:val="24"/>
          <w:szCs w:val="24"/>
        </w:rPr>
        <w:t>4.5% of total volume at risk (7,701 MT out of 172,000 MT)</w:t>
      </w:r>
    </w:p>
    <w:p w14:paraId="2775AC12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C13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4. KEY FINDINGS: TRANSITION RISKS</w:t>
      </w:r>
    </w:p>
    <w:p w14:paraId="2775AC14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Carbon Pricing Impact (2050)</w:t>
      </w:r>
    </w:p>
    <w:p w14:paraId="2775AC15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Carbon pricing represents the dominant financial risk. Under the Delayed Transition scenario (most likely), carbon costs increase from $13.5M (2025) to $2,295M (2050) due to rising carbon prices from $20/tCO2 to $500/tCO2.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167"/>
        <w:gridCol w:w="1580"/>
        <w:gridCol w:w="1488"/>
        <w:gridCol w:w="1640"/>
      </w:tblGrid>
      <w:tr w:rsidR="00FB7050" w:rsidRPr="00A61A3C" w14:paraId="2775AC1A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16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17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Carbon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1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Annual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1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% of Revenue</w:t>
            </w:r>
          </w:p>
        </w:tc>
      </w:tr>
      <w:tr w:rsidR="00FB7050" w:rsidRPr="00A61A3C" w14:paraId="2775AC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1B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Net Zero 2050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1C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$250/tCO2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1D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$877.5M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1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2.42%</w:t>
            </w:r>
          </w:p>
        </w:tc>
      </w:tr>
      <w:tr w:rsidR="00FB7050" w:rsidRPr="00A61A3C" w14:paraId="2775AC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20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Delayed Transition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21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$500/tCO2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2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$2,295M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2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6.34%</w:t>
            </w:r>
          </w:p>
        </w:tc>
      </w:tr>
      <w:tr w:rsidR="00FB7050" w:rsidRPr="00A61A3C" w14:paraId="2775AC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25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Current Policies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26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$40/tCO2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27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$32.4M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2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0.09%</w:t>
            </w:r>
          </w:p>
        </w:tc>
      </w:tr>
    </w:tbl>
    <w:p w14:paraId="2775AC2A" w14:textId="77777777" w:rsidR="00FB7050" w:rsidRPr="00A61A3C" w:rsidRDefault="00FB7050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5AC2B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Emission Reduction Targets</w:t>
      </w:r>
    </w:p>
    <w:p w14:paraId="2775AC2C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2023 Baseline: </w:t>
      </w:r>
      <w:r w:rsidRPr="00A61A3C">
        <w:rPr>
          <w:rFonts w:ascii="Times New Roman" w:hAnsi="Times New Roman" w:cs="Times New Roman"/>
          <w:sz w:val="24"/>
          <w:szCs w:val="24"/>
        </w:rPr>
        <w:t>15.3 M MT CO2e</w:t>
      </w:r>
    </w:p>
    <w:p w14:paraId="2775AC2D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2030 Target: </w:t>
      </w:r>
      <w:r w:rsidRPr="00A61A3C">
        <w:rPr>
          <w:rFonts w:ascii="Times New Roman" w:hAnsi="Times New Roman" w:cs="Times New Roman"/>
          <w:sz w:val="24"/>
          <w:szCs w:val="24"/>
        </w:rPr>
        <w:t>7.65 M MT (50% reduction)</w:t>
      </w:r>
    </w:p>
    <w:p w14:paraId="2775AC2E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2050 Target: </w:t>
      </w:r>
      <w:r w:rsidRPr="00A61A3C">
        <w:rPr>
          <w:rFonts w:ascii="Times New Roman" w:hAnsi="Times New Roman" w:cs="Times New Roman"/>
          <w:sz w:val="24"/>
          <w:szCs w:val="24"/>
        </w:rPr>
        <w:t>0.77 M MT (95% reduction to achieve net-zero)</w:t>
      </w:r>
    </w:p>
    <w:p w14:paraId="286E87CF" w14:textId="77777777" w:rsidR="00BF1CE2" w:rsidRDefault="00BF1CE2" w:rsidP="00A61A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1346C8" w14:textId="77777777" w:rsidR="00BF1CE2" w:rsidRDefault="00BF1CE2" w:rsidP="00A61A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DE8BB2" w14:textId="0E520876" w:rsidR="00BF1CE2" w:rsidRPr="00BF1CE2" w:rsidRDefault="00BF1CE2" w:rsidP="00BF1CE2">
      <w:pPr>
        <w:jc w:val="both"/>
        <w:rPr>
          <w:rFonts w:ascii="Times New Roman" w:hAnsi="Times New Roman" w:cs="Times New Roman"/>
          <w:sz w:val="24"/>
          <w:szCs w:val="24"/>
        </w:rPr>
      </w:pPr>
      <w:r w:rsidRPr="00BF1C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EFA01F" wp14:editId="3C0BA108">
            <wp:extent cx="5731510" cy="4061460"/>
            <wp:effectExtent l="0" t="0" r="2540" b="0"/>
            <wp:docPr id="1266851266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1266" name="Picture 4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AC2F" w14:textId="335CCC38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C30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5. FINANCIAL IMPACT QUANTIFICATION</w:t>
      </w:r>
    </w:p>
    <w:p w14:paraId="2775AC31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Total Annual Climate Cost by Scenario (2050)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167"/>
        <w:gridCol w:w="1581"/>
        <w:gridCol w:w="1808"/>
        <w:gridCol w:w="1540"/>
      </w:tblGrid>
      <w:tr w:rsidR="00FB7050" w:rsidRPr="00A61A3C" w14:paraId="2775AC3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3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3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Physical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3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Transition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35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Total Impact</w:t>
            </w:r>
          </w:p>
        </w:tc>
      </w:tr>
      <w:tr w:rsidR="00FB7050" w:rsidRPr="00A61A3C" w14:paraId="2775AC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37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Net Zero 2050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3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$118.2M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3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$877.5M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3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$995.7M</w:t>
            </w:r>
          </w:p>
        </w:tc>
      </w:tr>
      <w:tr w:rsidR="00FB7050" w:rsidRPr="00A61A3C" w14:paraId="2775AC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3C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Delayed Transition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3D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$158.8M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3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$2,295.0M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3F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$2,453.8M</w:t>
            </w:r>
          </w:p>
        </w:tc>
      </w:tr>
      <w:tr w:rsidR="00FB7050" w:rsidRPr="00A61A3C" w14:paraId="2775AC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41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Current Policies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4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$175.4M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4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$32.4M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4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$207.8M</w:t>
            </w:r>
          </w:p>
        </w:tc>
      </w:tr>
    </w:tbl>
    <w:p w14:paraId="2775AC46" w14:textId="77777777" w:rsidR="00FB7050" w:rsidRPr="00A61A3C" w:rsidRDefault="00FB7050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5AC47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30-Year Net Present Value (Most Likely Scenario)</w:t>
      </w:r>
    </w:p>
    <w:p w14:paraId="2775AC48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i/>
          <w:iCs/>
          <w:sz w:val="24"/>
          <w:szCs w:val="24"/>
        </w:rPr>
        <w:t>Under the Delayed Transition scenario (SSP2-4.5), the total 30-year NPV of climate-related financial exposure is $27.6 billion using an 8% discount rate. This represents 0.08% of total assets ($35B) and 0.08% of annual revenue ($36.2B), indicating material financial exposure requiring strategic response.</w:t>
      </w:r>
    </w:p>
    <w:p w14:paraId="2775AC49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Key Financial Insights</w:t>
      </w:r>
    </w:p>
    <w:p w14:paraId="2775AC4A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Carbon pricing dominance: </w:t>
      </w:r>
      <w:r w:rsidRPr="00A61A3C">
        <w:rPr>
          <w:rFonts w:ascii="Times New Roman" w:hAnsi="Times New Roman" w:cs="Times New Roman"/>
          <w:sz w:val="24"/>
          <w:szCs w:val="24"/>
        </w:rPr>
        <w:t>Transition risk ($2.3B) exceeds physical risk ($158.8M) by 14x</w:t>
      </w:r>
    </w:p>
    <w:p w14:paraId="2775AC4B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Pricing pass-through: </w:t>
      </w:r>
      <w:r w:rsidRPr="00A61A3C">
        <w:rPr>
          <w:rFonts w:ascii="Times New Roman" w:hAnsi="Times New Roman" w:cs="Times New Roman"/>
          <w:sz w:val="24"/>
          <w:szCs w:val="24"/>
        </w:rPr>
        <w:t>19.4% price increase required to maintain margins; alternatively absorb 50% = 9.7% increase</w:t>
      </w:r>
    </w:p>
    <w:p w14:paraId="2775AC4C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Hedging opportunity: </w:t>
      </w:r>
      <w:r w:rsidRPr="00A61A3C">
        <w:rPr>
          <w:rFonts w:ascii="Times New Roman" w:hAnsi="Times New Roman" w:cs="Times New Roman"/>
          <w:sz w:val="24"/>
          <w:szCs w:val="24"/>
        </w:rPr>
        <w:t>50% carbon price hedge delivers $666M net benefit if prices spike</w:t>
      </w:r>
    </w:p>
    <w:p w14:paraId="488B7F8D" w14:textId="77777777" w:rsidR="00B433B2" w:rsidRDefault="00B433B2" w:rsidP="00A61A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4C0DF7" w14:textId="77777777" w:rsidR="00B433B2" w:rsidRDefault="00B433B2" w:rsidP="00A61A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BA555" w14:textId="2B7F7C70" w:rsidR="00B433B2" w:rsidRPr="00B433B2" w:rsidRDefault="00B433B2" w:rsidP="00B433B2">
      <w:pPr>
        <w:jc w:val="both"/>
        <w:rPr>
          <w:rFonts w:ascii="Times New Roman" w:hAnsi="Times New Roman" w:cs="Times New Roman"/>
          <w:sz w:val="24"/>
          <w:szCs w:val="24"/>
        </w:rPr>
      </w:pPr>
      <w:r w:rsidRPr="00B433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5F82D9" wp14:editId="5B5D3246">
            <wp:extent cx="5731510" cy="4060825"/>
            <wp:effectExtent l="0" t="0" r="2540" b="0"/>
            <wp:docPr id="1775342129" name="Picture 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2129" name="Picture 8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F05E" w14:textId="0AA761C1" w:rsidR="003F1F48" w:rsidRPr="003F1F48" w:rsidRDefault="003F1F48" w:rsidP="003F1F48">
      <w:pPr>
        <w:jc w:val="both"/>
        <w:rPr>
          <w:rFonts w:ascii="Times New Roman" w:hAnsi="Times New Roman" w:cs="Times New Roman"/>
          <w:sz w:val="24"/>
          <w:szCs w:val="24"/>
        </w:rPr>
      </w:pPr>
      <w:r w:rsidRPr="003F1F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18A274" wp14:editId="5FF393F7">
            <wp:extent cx="5731510" cy="4545330"/>
            <wp:effectExtent l="0" t="0" r="2540" b="7620"/>
            <wp:docPr id="1791651156" name="Picture 10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1156" name="Picture 10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90E3" w14:textId="77777777" w:rsidR="00B433B2" w:rsidRDefault="00000000" w:rsidP="00B433B2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C4E" w14:textId="232401B7" w:rsidR="00FB7050" w:rsidRPr="00A61A3C" w:rsidRDefault="00000000" w:rsidP="00B433B2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6. COMPETITIVE POSITIONING</w:t>
      </w:r>
    </w:p>
    <w:p w14:paraId="2775AC4F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Climate Risk Vulnerability Ranking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590"/>
        <w:gridCol w:w="994"/>
        <w:gridCol w:w="1534"/>
        <w:gridCol w:w="1500"/>
        <w:gridCol w:w="1340"/>
      </w:tblGrid>
      <w:tr w:rsidR="00FB7050" w:rsidRPr="00A61A3C" w14:paraId="2775AC55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50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Company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51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5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5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Climate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5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% Revenue</w:t>
            </w:r>
          </w:p>
        </w:tc>
      </w:tr>
      <w:tr w:rsidR="00FB7050" w:rsidRPr="00A61A3C" w14:paraId="2775AC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6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🔴</w:t>
            </w: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illycaffè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7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1 (Most)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$41M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11.4%</w:t>
            </w:r>
          </w:p>
        </w:tc>
      </w:tr>
      <w:tr w:rsidR="00FB7050" w:rsidRPr="00A61A3C" w14:paraId="2775AC6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C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 xml:space="preserve"> Lavazza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D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5F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$263M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0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9.8%</w:t>
            </w:r>
          </w:p>
        </w:tc>
      </w:tr>
      <w:tr w:rsidR="00FB7050" w:rsidRPr="00A61A3C" w14:paraId="2775AC6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 xml:space="preserve"> JDE Peets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5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$648M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6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8.0%</w:t>
            </w:r>
          </w:p>
        </w:tc>
      </w:tr>
      <w:tr w:rsidR="00FB7050" w:rsidRPr="00A61A3C" w14:paraId="2775AC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6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Starbucks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6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(Best)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6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6B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$208M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775AC6C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2.7%</w:t>
            </w:r>
          </w:p>
        </w:tc>
      </w:tr>
      <w:tr w:rsidR="00FB7050" w:rsidRPr="00A61A3C" w14:paraId="2775AC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 xml:space="preserve"> Nestlé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6F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70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71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$641M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7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6.2%</w:t>
            </w:r>
          </w:p>
        </w:tc>
      </w:tr>
    </w:tbl>
    <w:p w14:paraId="2775AC74" w14:textId="77777777" w:rsidR="00FB7050" w:rsidRPr="00A61A3C" w:rsidRDefault="00FB7050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5AC75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Starbucks' Competitive Advantages</w:t>
      </w:r>
    </w:p>
    <w:p w14:paraId="2775AC76" w14:textId="2B5ECBA4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Low concentration risk: </w:t>
      </w:r>
      <w:r w:rsidRPr="00A61A3C">
        <w:rPr>
          <w:rFonts w:ascii="Times New Roman" w:hAnsi="Times New Roman" w:cs="Times New Roman"/>
          <w:sz w:val="24"/>
          <w:szCs w:val="24"/>
        </w:rPr>
        <w:t xml:space="preserve">17.5% </w:t>
      </w:r>
      <w:r w:rsidR="00832C47" w:rsidRPr="00A61A3C">
        <w:rPr>
          <w:rFonts w:ascii="Times New Roman" w:hAnsi="Times New Roman" w:cs="Times New Roman"/>
          <w:sz w:val="24"/>
          <w:szCs w:val="24"/>
        </w:rPr>
        <w:t>top 3</w:t>
      </w:r>
      <w:r w:rsidRPr="00A61A3C">
        <w:rPr>
          <w:rFonts w:ascii="Times New Roman" w:hAnsi="Times New Roman" w:cs="Times New Roman"/>
          <w:sz w:val="24"/>
          <w:szCs w:val="24"/>
        </w:rPr>
        <w:t xml:space="preserve"> concentration vs. 38-60% for competitors</w:t>
      </w:r>
    </w:p>
    <w:p w14:paraId="2775AC77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High-elevation portfolio: </w:t>
      </w:r>
      <w:r w:rsidRPr="00A61A3C">
        <w:rPr>
          <w:rFonts w:ascii="Times New Roman" w:hAnsi="Times New Roman" w:cs="Times New Roman"/>
          <w:sz w:val="24"/>
          <w:szCs w:val="24"/>
        </w:rPr>
        <w:t>85% of sourcing faces minimal climate stress (&lt;2% yield loss)</w:t>
      </w:r>
    </w:p>
    <w:p w14:paraId="2775AC78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TCFD leadership: </w:t>
      </w:r>
      <w:r w:rsidRPr="00A61A3C">
        <w:rPr>
          <w:rFonts w:ascii="Times New Roman" w:hAnsi="Times New Roman" w:cs="Times New Roman"/>
          <w:sz w:val="24"/>
          <w:szCs w:val="24"/>
        </w:rPr>
        <w:t>Only company with TCFD-aligned disclosure (Nestlé is TCFD-compliant but others lag)</w:t>
      </w:r>
    </w:p>
    <w:p w14:paraId="2775AC79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 xml:space="preserve">Lowest financial exposure: </w:t>
      </w:r>
      <w:r w:rsidRPr="00A61A3C">
        <w:rPr>
          <w:rFonts w:ascii="Times New Roman" w:hAnsi="Times New Roman" w:cs="Times New Roman"/>
          <w:sz w:val="24"/>
          <w:szCs w:val="24"/>
        </w:rPr>
        <w:t>2.7% of revenue vs. 6-11% for peers</w:t>
      </w:r>
    </w:p>
    <w:p w14:paraId="2775AC7A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C7B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7. STRATEGIC RECOMMENDATIONS</w:t>
      </w:r>
    </w:p>
    <w:p w14:paraId="2775AC7C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Priority 1: IMMEDIATE (2025-2026)</w:t>
      </w:r>
    </w:p>
    <w:p w14:paraId="2775AC7D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Implement 25-50% carbon price hedging</w:t>
      </w:r>
    </w:p>
    <w:p w14:paraId="2775AC7E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Accelerate net-zero pathway: Begin Scope 3 emissions reductions now to avoid $2.3B carbon costs</w:t>
      </w:r>
    </w:p>
    <w:p w14:paraId="2775AC7F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Scale farmer adaptation programs in medium-risk regions (Brazil, Colombia lowlands)</w:t>
      </w:r>
    </w:p>
    <w:p w14:paraId="2775AC80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Priority 2: MEDIUM-TERM (2027-2030)</w:t>
      </w:r>
    </w:p>
    <w:p w14:paraId="2775AC81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Expand sourcing in low-risk regions (+6,850 MT from Minas Gerais, Colombia, Guatemala)</w:t>
      </w:r>
    </w:p>
    <w:p w14:paraId="2775AC82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Develop climate-resilient coffee varieties with $150M R&amp;D investment</w:t>
      </w:r>
    </w:p>
    <w:p w14:paraId="2775AC83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Achieve 50% emissions reduction (2030 target) to manage transition risk</w:t>
      </w:r>
    </w:p>
    <w:p w14:paraId="2775AC84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Priority 3: LONG-TERM (2031-2050)</w:t>
      </w:r>
    </w:p>
    <w:p w14:paraId="2775AC85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Maintain 85%+ low-risk regional concentration through continuous monitoring and adaptation</w:t>
      </w:r>
    </w:p>
    <w:p w14:paraId="2775AC86" w14:textId="77777777" w:rsidR="00FB7050" w:rsidRPr="00A61A3C" w:rsidRDefault="00000000" w:rsidP="00A61A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b/>
          <w:bCs/>
          <w:sz w:val="24"/>
          <w:szCs w:val="24"/>
        </w:rPr>
        <w:t>Achieve 95% emissions reduction and net-zero status by 2050</w:t>
      </w:r>
    </w:p>
    <w:p w14:paraId="2775AC87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Investment Roadmap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820"/>
        <w:gridCol w:w="1347"/>
        <w:gridCol w:w="1547"/>
        <w:gridCol w:w="2147"/>
      </w:tblGrid>
      <w:tr w:rsidR="00FB7050" w:rsidRPr="00A61A3C" w14:paraId="2775AC8C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8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Initiative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8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Investment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8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775AC8B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Benefit</w:t>
            </w:r>
          </w:p>
        </w:tc>
      </w:tr>
      <w:tr w:rsidR="00FB7050" w:rsidRPr="00A61A3C" w14:paraId="2775AC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8D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Farmer Adaptation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8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$180M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8F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2025-2032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0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$760M avoided loss</w:t>
            </w:r>
          </w:p>
        </w:tc>
      </w:tr>
      <w:tr w:rsidR="00FB7050" w:rsidRPr="00A61A3C" w14:paraId="2775AC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2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Regional Diversification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3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$220M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4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2026-2035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5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$840M avoided loss</w:t>
            </w:r>
          </w:p>
        </w:tc>
      </w:tr>
      <w:tr w:rsidR="00FB7050" w:rsidRPr="00A61A3C" w14:paraId="2775AC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7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Climate-Resilient Varieties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8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$150M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9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2025-2040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A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$690M avoided loss</w:t>
            </w:r>
          </w:p>
        </w:tc>
      </w:tr>
      <w:tr w:rsidR="00FB7050" w:rsidRPr="00A61A3C" w14:paraId="2775ACA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C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Carbon Hedging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D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$150M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E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2025-ongoing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AC9F" w14:textId="77777777" w:rsidR="00FB7050" w:rsidRPr="00A61A3C" w:rsidRDefault="00000000" w:rsidP="00A61A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3C">
              <w:rPr>
                <w:rFonts w:ascii="Times New Roman" w:hAnsi="Times New Roman" w:cs="Times New Roman"/>
                <w:sz w:val="24"/>
                <w:szCs w:val="24"/>
              </w:rPr>
              <w:t>$666M if spike</w:t>
            </w:r>
          </w:p>
        </w:tc>
      </w:tr>
    </w:tbl>
    <w:p w14:paraId="2775ACA1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CA2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8. TECHNICAL METHODOLOGY</w:t>
      </w:r>
    </w:p>
    <w:p w14:paraId="2775ACA3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Data Sources</w:t>
      </w:r>
    </w:p>
    <w:p w14:paraId="2775ACA4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Climate: CMIP6 models (CanESM5, CNRM-CM6-1, MIROC6) with SSP scenarios</w:t>
      </w:r>
    </w:p>
    <w:p w14:paraId="2775ACA5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Financial: Starbucks 2023 SEC filings and ESG reports</w:t>
      </w:r>
    </w:p>
    <w:p w14:paraId="2775ACA6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Agricultural: Published coffee-climate relationships and NGFS carbon prices</w:t>
      </w:r>
    </w:p>
    <w:p w14:paraId="2775ACA7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Analytical Framework</w:t>
      </w:r>
    </w:p>
    <w:p w14:paraId="2775ACA8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Stress calculation: Temperature (6-hour extremes), precipitation, compound events</w:t>
      </w:r>
    </w:p>
    <w:p w14:paraId="2775ACA9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 xml:space="preserve">Yield </w:t>
      </w:r>
      <w:proofErr w:type="spellStart"/>
      <w:r w:rsidRPr="00A61A3C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A61A3C">
        <w:rPr>
          <w:rFonts w:ascii="Times New Roman" w:hAnsi="Times New Roman" w:cs="Times New Roman"/>
          <w:sz w:val="24"/>
          <w:szCs w:val="24"/>
        </w:rPr>
        <w:t>: Elevation-dependent stress-to-yield conversion functions</w:t>
      </w:r>
    </w:p>
    <w:p w14:paraId="2775ACAA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Financial impact: DCF with 8% discount rate, elasticity adjustment, TCFD alignment</w:t>
      </w:r>
    </w:p>
    <w:p w14:paraId="2775ACAB" w14:textId="77777777" w:rsidR="00FB7050" w:rsidRPr="00A61A3C" w:rsidRDefault="00000000" w:rsidP="00A61A3C">
      <w:pPr>
        <w:pStyle w:val="Heading2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Key Assumptions</w:t>
      </w:r>
    </w:p>
    <w:p w14:paraId="2775ACAC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Coffee optimal conditions: 15-24°C, 1,200-2,000mm precipitation</w:t>
      </w:r>
    </w:p>
    <w:p w14:paraId="2775ACAD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Price elasticity: -0.8 (from demand literature)</w:t>
      </w:r>
    </w:p>
    <w:p w14:paraId="2775ACAE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Discount rate: 8% (standard for corporate financial analysis)</w:t>
      </w:r>
    </w:p>
    <w:p w14:paraId="2775ACAF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Scenario timeframes: 2025-2050 (25-year horizon)</w:t>
      </w:r>
    </w:p>
    <w:p w14:paraId="2775ACB0" w14:textId="77777777" w:rsidR="00FB7050" w:rsidRPr="00A61A3C" w:rsidRDefault="00FB7050" w:rsidP="00A61A3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5ACB1" w14:textId="77777777" w:rsidR="00FB7050" w:rsidRPr="00A61A3C" w:rsidRDefault="00000000" w:rsidP="00A61A3C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Limitations &amp; Disclaimers</w:t>
      </w:r>
    </w:p>
    <w:p w14:paraId="2775ACB2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Analysis uses publicly available data with conservative assumptions</w:t>
      </w:r>
    </w:p>
    <w:p w14:paraId="2775ACB3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Long-term projections subject to model uncertainty; scenarios bracket realistic range</w:t>
      </w:r>
    </w:p>
    <w:p w14:paraId="2775ACB4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Does not account for technological breakthroughs or unforeseen climate impacts</w:t>
      </w:r>
    </w:p>
    <w:p w14:paraId="2775ACB5" w14:textId="77777777" w:rsidR="00FB7050" w:rsidRPr="00A61A3C" w:rsidRDefault="00000000" w:rsidP="00A61A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Financial figures represent estimated exposure; actual impact depends on strategic responses</w:t>
      </w:r>
    </w:p>
    <w:p w14:paraId="2775ACB6" w14:textId="77777777" w:rsidR="00FB7050" w:rsidRPr="00A61A3C" w:rsidRDefault="00000000" w:rsidP="00A61A3C">
      <w:pPr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br w:type="page"/>
      </w:r>
    </w:p>
    <w:p w14:paraId="2775ACB7" w14:textId="77777777" w:rsidR="00FB7050" w:rsidRPr="00A61A3C" w:rsidRDefault="00000000" w:rsidP="00A61A3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lastRenderedPageBreak/>
        <w:t>CONCLUSION</w:t>
      </w:r>
    </w:p>
    <w:p w14:paraId="2775ACB8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 xml:space="preserve">Starbucks faces material climate-related financial risks </w:t>
      </w:r>
      <w:proofErr w:type="spellStart"/>
      <w:r w:rsidRPr="00A61A3C">
        <w:rPr>
          <w:rFonts w:ascii="Times New Roman" w:hAnsi="Times New Roman" w:cs="Times New Roman"/>
          <w:sz w:val="24"/>
          <w:szCs w:val="24"/>
        </w:rPr>
        <w:t>totaling</w:t>
      </w:r>
      <w:proofErr w:type="spellEnd"/>
      <w:r w:rsidRPr="00A61A3C">
        <w:rPr>
          <w:rFonts w:ascii="Times New Roman" w:hAnsi="Times New Roman" w:cs="Times New Roman"/>
          <w:sz w:val="24"/>
          <w:szCs w:val="24"/>
        </w:rPr>
        <w:t xml:space="preserve"> $27.6 billion (30-year NPV) under the most likely scenario. However, the company's strategic advantages—high-elevation sourcing, geographic diversification, and strong TCFD alignment—position it to outperform competitors and maintain supply chain resilience.</w:t>
      </w:r>
    </w:p>
    <w:p w14:paraId="2775ACB9" w14:textId="77777777" w:rsidR="00FB7050" w:rsidRPr="00A61A3C" w:rsidRDefault="00000000" w:rsidP="00A61A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With proactive investment in farmer adaptation, regional diversification, and carbon hedging, Starbucks can not only mitigate climate risks but also strengthen competitive positioning and achieve its net-zero 2050 commitment. The recommended investment of $700M delivers over $2.9B in avoided losses—a 4x return on investment.</w:t>
      </w:r>
    </w:p>
    <w:p w14:paraId="2775ACBA" w14:textId="77777777" w:rsidR="00FB7050" w:rsidRPr="00A61A3C" w:rsidRDefault="00000000" w:rsidP="00A61A3C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This analysis provides the quantitative foundation for board-level decision-making on climate strategy, capital allocation, and stakeholder disclosure.</w:t>
      </w:r>
    </w:p>
    <w:p w14:paraId="2775ACBB" w14:textId="77777777" w:rsidR="00FB7050" w:rsidRPr="00A61A3C" w:rsidRDefault="00000000" w:rsidP="00A61A3C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A61A3C">
        <w:rPr>
          <w:rFonts w:ascii="Times New Roman" w:hAnsi="Times New Roman" w:cs="Times New Roman"/>
          <w:sz w:val="24"/>
          <w:szCs w:val="24"/>
        </w:rPr>
        <w:t>— END OF PRESENTATION —</w:t>
      </w:r>
    </w:p>
    <w:sectPr w:rsidR="00FB7050" w:rsidRPr="00A61A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5F87"/>
    <w:multiLevelType w:val="hybridMultilevel"/>
    <w:tmpl w:val="33163FCE"/>
    <w:lvl w:ilvl="0" w:tplc="361AF862">
      <w:start w:val="1"/>
      <w:numFmt w:val="decimal"/>
      <w:lvlText w:val="%1."/>
      <w:lvlJc w:val="left"/>
      <w:pPr>
        <w:ind w:left="720" w:hanging="360"/>
      </w:pPr>
    </w:lvl>
    <w:lvl w:ilvl="1" w:tplc="8A0EACA8">
      <w:numFmt w:val="decimal"/>
      <w:lvlText w:val=""/>
      <w:lvlJc w:val="left"/>
    </w:lvl>
    <w:lvl w:ilvl="2" w:tplc="23C6D5D0">
      <w:numFmt w:val="decimal"/>
      <w:lvlText w:val=""/>
      <w:lvlJc w:val="left"/>
    </w:lvl>
    <w:lvl w:ilvl="3" w:tplc="2486A530">
      <w:numFmt w:val="decimal"/>
      <w:lvlText w:val=""/>
      <w:lvlJc w:val="left"/>
    </w:lvl>
    <w:lvl w:ilvl="4" w:tplc="D2409A26">
      <w:numFmt w:val="decimal"/>
      <w:lvlText w:val=""/>
      <w:lvlJc w:val="left"/>
    </w:lvl>
    <w:lvl w:ilvl="5" w:tplc="4E1608DE">
      <w:numFmt w:val="decimal"/>
      <w:lvlText w:val=""/>
      <w:lvlJc w:val="left"/>
    </w:lvl>
    <w:lvl w:ilvl="6" w:tplc="6B842BD4">
      <w:numFmt w:val="decimal"/>
      <w:lvlText w:val=""/>
      <w:lvlJc w:val="left"/>
    </w:lvl>
    <w:lvl w:ilvl="7" w:tplc="DF14B32A">
      <w:numFmt w:val="decimal"/>
      <w:lvlText w:val=""/>
      <w:lvlJc w:val="left"/>
    </w:lvl>
    <w:lvl w:ilvl="8" w:tplc="CAB2B232">
      <w:numFmt w:val="decimal"/>
      <w:lvlText w:val=""/>
      <w:lvlJc w:val="left"/>
    </w:lvl>
  </w:abstractNum>
  <w:abstractNum w:abstractNumId="1" w15:restartNumberingAfterBreak="0">
    <w:nsid w:val="3D012088"/>
    <w:multiLevelType w:val="hybridMultilevel"/>
    <w:tmpl w:val="7BDC369A"/>
    <w:lvl w:ilvl="0" w:tplc="41B66C56">
      <w:start w:val="1"/>
      <w:numFmt w:val="bullet"/>
      <w:lvlText w:val="•"/>
      <w:lvlJc w:val="left"/>
      <w:pPr>
        <w:ind w:left="720" w:hanging="360"/>
      </w:pPr>
    </w:lvl>
    <w:lvl w:ilvl="1" w:tplc="981259FE">
      <w:numFmt w:val="decimal"/>
      <w:lvlText w:val=""/>
      <w:lvlJc w:val="left"/>
    </w:lvl>
    <w:lvl w:ilvl="2" w:tplc="D2BCFFB2">
      <w:numFmt w:val="decimal"/>
      <w:lvlText w:val=""/>
      <w:lvlJc w:val="left"/>
    </w:lvl>
    <w:lvl w:ilvl="3" w:tplc="E2AEAD00">
      <w:numFmt w:val="decimal"/>
      <w:lvlText w:val=""/>
      <w:lvlJc w:val="left"/>
    </w:lvl>
    <w:lvl w:ilvl="4" w:tplc="743E0486">
      <w:numFmt w:val="decimal"/>
      <w:lvlText w:val=""/>
      <w:lvlJc w:val="left"/>
    </w:lvl>
    <w:lvl w:ilvl="5" w:tplc="F606E5E0">
      <w:numFmt w:val="decimal"/>
      <w:lvlText w:val=""/>
      <w:lvlJc w:val="left"/>
    </w:lvl>
    <w:lvl w:ilvl="6" w:tplc="66240582">
      <w:numFmt w:val="decimal"/>
      <w:lvlText w:val=""/>
      <w:lvlJc w:val="left"/>
    </w:lvl>
    <w:lvl w:ilvl="7" w:tplc="BB16BF98">
      <w:numFmt w:val="decimal"/>
      <w:lvlText w:val=""/>
      <w:lvlJc w:val="left"/>
    </w:lvl>
    <w:lvl w:ilvl="8" w:tplc="DC4854D6">
      <w:numFmt w:val="decimal"/>
      <w:lvlText w:val=""/>
      <w:lvlJc w:val="left"/>
    </w:lvl>
  </w:abstractNum>
  <w:abstractNum w:abstractNumId="2" w15:restartNumberingAfterBreak="0">
    <w:nsid w:val="68490805"/>
    <w:multiLevelType w:val="hybridMultilevel"/>
    <w:tmpl w:val="7D164A80"/>
    <w:lvl w:ilvl="0" w:tplc="65E202E8">
      <w:start w:val="1"/>
      <w:numFmt w:val="bullet"/>
      <w:lvlText w:val="●"/>
      <w:lvlJc w:val="left"/>
      <w:pPr>
        <w:ind w:left="720" w:hanging="360"/>
      </w:pPr>
    </w:lvl>
    <w:lvl w:ilvl="1" w:tplc="EB325D96">
      <w:start w:val="1"/>
      <w:numFmt w:val="bullet"/>
      <w:lvlText w:val="○"/>
      <w:lvlJc w:val="left"/>
      <w:pPr>
        <w:ind w:left="1440" w:hanging="360"/>
      </w:pPr>
    </w:lvl>
    <w:lvl w:ilvl="2" w:tplc="9EA2173C">
      <w:start w:val="1"/>
      <w:numFmt w:val="bullet"/>
      <w:lvlText w:val="■"/>
      <w:lvlJc w:val="left"/>
      <w:pPr>
        <w:ind w:left="2160" w:hanging="360"/>
      </w:pPr>
    </w:lvl>
    <w:lvl w:ilvl="3" w:tplc="DB10AA8C">
      <w:start w:val="1"/>
      <w:numFmt w:val="bullet"/>
      <w:lvlText w:val="●"/>
      <w:lvlJc w:val="left"/>
      <w:pPr>
        <w:ind w:left="2880" w:hanging="360"/>
      </w:pPr>
    </w:lvl>
    <w:lvl w:ilvl="4" w:tplc="53E025E2">
      <w:start w:val="1"/>
      <w:numFmt w:val="bullet"/>
      <w:lvlText w:val="○"/>
      <w:lvlJc w:val="left"/>
      <w:pPr>
        <w:ind w:left="3600" w:hanging="360"/>
      </w:pPr>
    </w:lvl>
    <w:lvl w:ilvl="5" w:tplc="A378A5EC">
      <w:start w:val="1"/>
      <w:numFmt w:val="bullet"/>
      <w:lvlText w:val="■"/>
      <w:lvlJc w:val="left"/>
      <w:pPr>
        <w:ind w:left="4320" w:hanging="360"/>
      </w:pPr>
    </w:lvl>
    <w:lvl w:ilvl="6" w:tplc="F6560224">
      <w:start w:val="1"/>
      <w:numFmt w:val="bullet"/>
      <w:lvlText w:val="●"/>
      <w:lvlJc w:val="left"/>
      <w:pPr>
        <w:ind w:left="5040" w:hanging="360"/>
      </w:pPr>
    </w:lvl>
    <w:lvl w:ilvl="7" w:tplc="8D38424C">
      <w:start w:val="1"/>
      <w:numFmt w:val="bullet"/>
      <w:lvlText w:val="●"/>
      <w:lvlJc w:val="left"/>
      <w:pPr>
        <w:ind w:left="5760" w:hanging="360"/>
      </w:pPr>
    </w:lvl>
    <w:lvl w:ilvl="8" w:tplc="BE44C726">
      <w:start w:val="1"/>
      <w:numFmt w:val="bullet"/>
      <w:lvlText w:val="●"/>
      <w:lvlJc w:val="left"/>
      <w:pPr>
        <w:ind w:left="6480" w:hanging="360"/>
      </w:pPr>
    </w:lvl>
  </w:abstractNum>
  <w:num w:numId="1" w16cid:durableId="122962615">
    <w:abstractNumId w:val="2"/>
    <w:lvlOverride w:ilvl="0">
      <w:startOverride w:val="1"/>
    </w:lvlOverride>
  </w:num>
  <w:num w:numId="2" w16cid:durableId="2070036532">
    <w:abstractNumId w:val="0"/>
    <w:lvlOverride w:ilvl="0">
      <w:startOverride w:val="1"/>
    </w:lvlOverride>
  </w:num>
  <w:num w:numId="3" w16cid:durableId="1663662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050"/>
    <w:rsid w:val="003B119B"/>
    <w:rsid w:val="003F1F48"/>
    <w:rsid w:val="004F08D7"/>
    <w:rsid w:val="0054423B"/>
    <w:rsid w:val="00790653"/>
    <w:rsid w:val="00832C47"/>
    <w:rsid w:val="00A61A3C"/>
    <w:rsid w:val="00B433B2"/>
    <w:rsid w:val="00BF1CE2"/>
    <w:rsid w:val="00D61948"/>
    <w:rsid w:val="00FB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ABBE"/>
  <w15:docId w15:val="{9955C807-14D1-4294-B9F8-5AF8BD95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97D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08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1290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Amaka Ibeh</cp:lastModifiedBy>
  <cp:revision>10</cp:revision>
  <dcterms:created xsi:type="dcterms:W3CDTF">2025-12-04T20:50:00Z</dcterms:created>
  <dcterms:modified xsi:type="dcterms:W3CDTF">2025-12-06T17:37:00Z</dcterms:modified>
</cp:coreProperties>
</file>