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97D"/>
          <w:sz w:val="28"/>
          <w:szCs w:val="28"/>
        </w:rPr>
        <w:t xml:space="preserve">CLIMATE RISK ANALYSIS</w:t>
      </w:r>
    </w:p>
    <w:p>
      <w:pPr>
        <w:pStyle w:val="Title"/>
      </w:pPr>
      <w:r>
        <w:t xml:space="preserve">$27.6B Climate Financial Exposure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Starbucks Coffee Supply Chain - TCFD Assessment (2025-2050)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150"/>
          <w:bottom w:type="dxa" w:w="150"/>
          <w:right w:type="dxa" w:w="150"/>
        </w:tblCellMar>
      </w:tblPr>
      <w:tblGrid>
        <w:gridCol w:w="9360"/>
      </w:tblGrid>
      <w:tr>
        <w:tc>
          <w:tcPr>
            <w:tcBorders>
              <w:top w:val="double" w:color="1F497D" w:sz="6"/>
              <w:left w:val="none"/>
              <w:bottom w:val="double" w:color="1F497D" w:sz="6"/>
              <w:right w:val="none"/>
            </w:tcBorders>
            <w:shd w:fill="F0F5FA" w:val="clear"/>
          </w:tcPr>
          <w:p>
            <w:pPr>
              <w:spacing w:after="100"/>
            </w:pPr>
            <w:r>
              <w:rPr>
                <w:b/>
                <w:bCs/>
                <w:color w:val="1F497D"/>
                <w:sz w:val="26"/>
                <w:szCs w:val="26"/>
              </w:rPr>
              <w:t xml:space="preserve">KEY FINDINGS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✓ Total Climate Exposure: $2.45B annually by 2050 (most likely scenario)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✓ 30-Year NPV: $27.6B financial risk across 2025-2050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✓ Competitive Advantage: $33M profit protection through geographic resilience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✓ Portfolio Resilience: 85% of sourcing in low-risk regions (structural advantage)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The Analysis</w:t>
      </w:r>
    </w:p>
    <w:p>
      <w:pPr>
        <w:spacing w:after="120"/>
      </w:pPr>
      <w:r>
        <w:t xml:space="preserve">I built a TCFD-aligned climate risk assessment for Starbucks' global coffee supply chain, combining CMIP6 climate projections, agricultural stress modeling, and financial impact analysis across three emission scenarios.</w:t>
      </w:r>
    </w:p>
    <w:p>
      <w:pPr>
        <w:spacing w:after="80"/>
      </w:pPr>
      <w:r>
        <w:rPr>
          <w:b/>
          <w:bCs/>
        </w:rPr>
        <w:t xml:space="preserve">The Challenge:</w:t>
      </w:r>
    </w:p>
    <w:p>
      <w:pPr>
        <w:spacing w:after="120"/>
      </w:pPr>
      <w:r>
        <w:t xml:space="preserve">Climate change threatens coffee production globally. But exposure is uneven. High-elevation regions (Colombia, Guatemala) face minimal stress. Low-elevation regions (Brazil, Indonesia) face severe stress. The question: Can strategic geography provide competitive advantage?</w:t>
      </w:r>
    </w:p>
    <w:p>
      <w:pPr>
        <w:spacing w:after="80"/>
      </w:pPr>
      <w:r>
        <w:rPr>
          <w:b/>
          <w:bCs/>
        </w:rPr>
        <w:t xml:space="preserve">The Methodology:</w:t>
      </w:r>
    </w:p>
    <w:p>
      <w:pPr>
        <w:spacing w:after="120"/>
      </w:pPr>
      <w:r>
        <w:t xml:space="preserve">Extracted CMIP6 climate data for 29 coffee regions → Calculated elevation-dependent temperature extremes → Modeled agricultural stress (temperature, precipitation, heat events) → Quantified financial impact (NPV, carbon pricing, elasticity) → Benchmarked vs competitors</w:t>
      </w:r>
    </w:p>
    <w:p>
      <w:pPr>
        <w:spacing w:after="80"/>
      </w:pPr>
      <w:r>
        <w:rPr>
          <w:b/>
          <w:bCs/>
        </w:rPr>
        <w:t xml:space="preserve">The Insight:</w:t>
      </w:r>
    </w:p>
    <w:p>
      <w:pPr>
        <w:spacing w:after="200"/>
      </w:pPr>
      <w:r>
        <w:t xml:space="preserve">Starbucks' sourcing portfolio is naturally resilient. Not because of superior planning, but because coffee fundamentally grows better at high elevation. This geographic advantage persists even under conservative stress assumptions.</w:t>
      </w:r>
    </w:p>
    <w:p>
      <w:pPr>
        <w:pStyle w:val="Heading1"/>
      </w:pPr>
      <w:r>
        <w:t xml:space="preserve">Key Visualizations</w:t>
      </w:r>
    </w:p>
    <w:p>
      <w:pPr>
        <w:spacing w:after="120"/>
      </w:pPr>
      <w:r>
        <w:t xml:space="preserve">Five comprehensive dashboards quantify physical risk, transition risk, geographic exposure, competitive positioning, and net-zero pathways: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4680"/>
        <w:gridCol w:w="46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bCs/>
                <w:color w:val="1F497D"/>
                <w:sz w:val="22"/>
                <w:szCs w:val="22"/>
              </w:rPr>
              <w:t xml:space="preserve">Executive Dashboard</w:t>
            </w:r>
          </w:p>
          <w:p>
            <w:pPr>
              <w:spacing w:after="0"/>
            </w:pPr>
            <w:r>
              <w:t xml:space="preserve">Total exposure by scenario, regional vulnerability, physical vs transition risk breakdown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bCs/>
                <w:color w:val="1F497D"/>
                <w:sz w:val="22"/>
                <w:szCs w:val="22"/>
              </w:rPr>
              <w:t xml:space="preserve">Scenario Timeline</w:t>
            </w:r>
          </w:p>
          <w:p>
            <w:pPr>
              <w:spacing w:after="0"/>
            </w:pPr>
            <w:r>
              <w:t xml:space="preserve">Risk evolution 2030-2050 across three climate pathways (Net Zero, Delayed, Current)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bCs/>
                <w:color w:val="1F497D"/>
                <w:sz w:val="22"/>
                <w:szCs w:val="22"/>
              </w:rPr>
              <w:t xml:space="preserve">Geographic Vulnerability</w:t>
            </w:r>
          </w:p>
          <w:p>
            <w:pPr>
              <w:spacing w:after="0"/>
            </w:pPr>
            <w:r>
              <w:t xml:space="preserve">Regional risk mapping with concentration analysis and yield loss projections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bCs/>
                <w:color w:val="1F497D"/>
                <w:sz w:val="22"/>
                <w:szCs w:val="22"/>
              </w:rPr>
              <w:t xml:space="preserve">Competitive Benchmarking</w:t>
            </w:r>
          </w:p>
          <w:p>
            <w:pPr>
              <w:spacing w:after="0"/>
            </w:pPr>
            <w:r>
              <w:t xml:space="preserve">Starbucks vs Nestlé, JDE Peets, Lavazza, illycaffè on vulnerability &amp; exposure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bCs/>
                <w:color w:val="1F497D"/>
                <w:sz w:val="22"/>
                <w:szCs w:val="22"/>
              </w:rPr>
              <w:t xml:space="preserve">Emissions Trajectory</w:t>
            </w:r>
          </w:p>
          <w:p>
            <w:pPr>
              <w:spacing w:after="0"/>
            </w:pPr>
            <w:r>
              <w:t xml:space="preserve">Net-zero pathway 2030-2050 with baseline/scenario comparisons and Scope 1-3 breakdown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before="120" w:after="200"/>
      </w:pPr>
      <w:r>
        <w:t xml:space="preserve"/>
      </w:r>
    </w:p>
    <w:p>
      <w:pPr>
        <w:pStyle w:val="Heading1"/>
      </w:pPr>
      <w:r>
        <w:t xml:space="preserve">Detailed Findings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1F497D" w:sz="1"/>
              <w:left w:val="none"/>
              <w:bottom w:val="single" w:color="1F497D" w:sz="1"/>
              <w:right w:val="none"/>
            </w:tcBorders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Physical Risk</w:t>
            </w:r>
          </w:p>
        </w:tc>
        <w:tc>
          <w:tcPr>
            <w:tcBorders>
              <w:top w:val="single" w:color="1F497D" w:sz="1"/>
              <w:left w:val="none"/>
              <w:bottom w:val="single" w:color="1F497D" w:sz="1"/>
              <w:right w:val="none"/>
            </w:tcBorders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Transition Risk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$158.8M/year</w:t>
            </w:r>
          </w:p>
          <w:p>
            <w:pPr>
              <w:spacing w:after="60"/>
            </w:pPr>
            <w:r>
              <w:t xml:space="preserve">Coffee yield losses from climate stress</w:t>
            </w:r>
          </w:p>
          <w:p>
            <w:pPr>
              <w:spacing w:after="60"/>
            </w:pPr>
            <w:r>
              <w:t xml:space="preserve">4.5% of supply at risk by 2050</w:t>
            </w:r>
          </w:p>
          <w:p>
            <w:r>
              <w:t xml:space="preserve">High-elev: 1-2% loss | Low-elev: 8-10% loss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bCs/>
                <w:color w:val="2980B9"/>
                <w:sz w:val="24"/>
                <w:szCs w:val="24"/>
              </w:rPr>
              <w:t xml:space="preserve">$2,295M/year</w:t>
            </w:r>
          </w:p>
          <w:p>
            <w:pPr>
              <w:spacing w:after="60"/>
            </w:pPr>
            <w:r>
              <w:t xml:space="preserve">Carbon pricing costs by 2050</w:t>
            </w:r>
          </w:p>
          <w:p>
            <w:pPr>
              <w:spacing w:after="60"/>
            </w:pPr>
            <w:r>
              <w:t xml:space="preserve">14x larger than physical risk</w:t>
            </w:r>
          </w:p>
          <w:p>
            <w:r>
              <w:t xml:space="preserve">Strategic hedging opportunity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t xml:space="preserve">Competitive Positioning</w:t>
      </w:r>
    </w:p>
    <w:p>
      <w:pPr>
        <w:spacing w:after="120"/>
      </w:pPr>
      <w:r>
        <w:t xml:space="preserve">Starbucks ranks 2nd-best among major competitors on climate resilience—not due to superior adaptation, but structural portfolio advantage: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1F497D" w:sz="1"/>
              <w:left w:val="none"/>
              <w:bottom w:val="single" w:color="1F497D" w:sz="1"/>
              <w:right w:val="none"/>
            </w:tcBorders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1F497D" w:sz="1"/>
              <w:left w:val="none"/>
              <w:bottom w:val="single" w:color="1F497D" w:sz="1"/>
              <w:right w:val="none"/>
            </w:tcBorders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Borders>
              <w:top w:val="single" w:color="1F497D" w:sz="1"/>
              <w:left w:val="none"/>
              <w:bottom w:val="single" w:color="1F497D" w:sz="1"/>
              <w:right w:val="none"/>
            </w:tcBorders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Concentration</w:t>
            </w:r>
          </w:p>
        </w:tc>
        <w:tc>
          <w:tcPr>
            <w:tcBorders>
              <w:top w:val="single" w:color="1F497D" w:sz="1"/>
              <w:left w:val="none"/>
              <w:bottom w:val="single" w:color="1F497D" w:sz="1"/>
              <w:right w:val="none"/>
            </w:tcBorders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Exposure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Nestlé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0.41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$641M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9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Starbucks ✓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9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0.46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9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17.5%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9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$208M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JDE Peets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0.53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38%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t xml:space="preserve">$648M</w:t>
            </w:r>
          </w:p>
        </w:tc>
      </w:tr>
    </w:tbl>
    <w:p>
      <w:pPr>
        <w:spacing w:before="120" w:after="200"/>
      </w:pPr>
      <w:r>
        <w:t xml:space="preserve"/>
      </w:r>
    </w:p>
    <w:p>
      <w:pPr>
        <w:pStyle w:val="Heading1"/>
      </w:pPr>
      <w:r>
        <w:t xml:space="preserve">Technical Capabilities Demonstrated</w:t>
      </w:r>
    </w:p>
    <w:p>
      <w:pPr>
        <w:spacing w:after="80"/>
      </w:pPr>
      <w:r>
        <w:t xml:space="preserve">This analysis showcases expertise in climate risk quantification and strategic finance:</w:t>
      </w:r>
    </w:p>
    <w:p>
      <w:pPr>
        <w:spacing w:after="60"/>
      </w:pPr>
      <w:r>
        <w:t xml:space="preserve">→ Climate data analysis (CMIP6 NetCDF extraction, xarray processing)</w:t>
      </w:r>
    </w:p>
    <w:p>
      <w:pPr>
        <w:spacing w:after="60"/>
      </w:pPr>
      <w:r>
        <w:t xml:space="preserve">→ Geospatial analysis (29 regions, elevation-dependent modeling)</w:t>
      </w:r>
    </w:p>
    <w:p>
      <w:pPr>
        <w:spacing w:after="60"/>
      </w:pPr>
      <w:r>
        <w:t xml:space="preserve">→ Agricultural stress modeling (temperature extremes, precipitation, compound events)</w:t>
      </w:r>
    </w:p>
    <w:p>
      <w:pPr>
        <w:spacing w:after="60"/>
      </w:pPr>
      <w:r>
        <w:t xml:space="preserve">→ Financial modeling (DCF analysis, 8% discount rate, elasticity adjustment, NPV)</w:t>
      </w:r>
    </w:p>
    <w:p>
      <w:pPr>
        <w:spacing w:after="60"/>
      </w:pPr>
      <w:r>
        <w:t xml:space="preserve">→ TCFD framework alignment (governance, strategy, risk management, metrics)</w:t>
      </w:r>
    </w:p>
    <w:p>
      <w:pPr>
        <w:spacing w:after="60"/>
      </w:pPr>
      <w:r>
        <w:t xml:space="preserve">→ Competitive benchmarking (5-company industry assessment)</w:t>
      </w:r>
    </w:p>
    <w:p>
      <w:pPr>
        <w:spacing w:after="120"/>
      </w:pPr>
      <w:r>
        <w:t xml:space="preserve">→ Sensitivity analysis &amp; validation (15 scenarios, materiality confirmation)</w:t>
      </w:r>
    </w:p>
    <w:p>
      <w:pPr>
        <w:spacing w:after="80"/>
      </w:pPr>
      <w:r>
        <w:t xml:space="preserve">Tools: Python (xarray, pandas, geopandas), CMIP6 climate models, financial modeling, data visualization</w:t>
      </w:r>
    </w:p>
    <w:p>
      <w:pPr>
        <w:spacing w:before="120" w:after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150"/>
          <w:bottom w:type="dxa" w:w="150"/>
          <w:right w:type="dxa" w:w="150"/>
        </w:tblCellMar>
      </w:tblPr>
      <w:tblGrid>
        <w:gridCol w:w="9360"/>
      </w:tblGrid>
      <w:tr>
        <w:tc>
          <w:tcPr>
            <w:tcBorders>
              <w:top w:val="double" w:color="27AE60" w:sz="6"/>
              <w:left w:val="none"/>
              <w:bottom w:val="double" w:color="27AE60" w:sz="6"/>
              <w:right w:val="none"/>
            </w:tcBorders>
            <w:shd w:fill="EAFAF1" w:val="clea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7AE60"/>
                <w:sz w:val="26"/>
                <w:szCs w:val="26"/>
              </w:rPr>
              <w:t xml:space="preserve">INTERESTED IN CLIMATE RISK OPPORTUNITIES?</w:t>
            </w:r>
          </w:p>
          <w:p>
            <w:pPr>
              <w:spacing w:after="120"/>
              <w:jc w:val="center"/>
            </w:pPr>
            <w:r>
              <w:t xml:space="preserve">I'm open to conversations about climate finance, ESG strategy, supply chain resilience, and corporate sustainability roles.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LinkedIn: </w:t>
            </w:r>
            <w:r>
              <w:t xml:space="preserve">[Your LinkedIn URL]</w:t>
            </w: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Email: </w:t>
            </w:r>
            <w:r>
              <w:t xml:space="preserve">[Your Email]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7F8C8D"/>
          <w:sz w:val="20"/>
          <w:szCs w:val="20"/>
        </w:rPr>
        <w:t xml:space="preserve">Full analysis available on request • Portfolio | LinkedIn | GitHub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120" w:after="120"/>
      <w:jc w:val="center"/>
    </w:pPr>
    <w:rPr>
      <w:rFonts w:ascii="Arial" w:cs="Arial" w:eastAsia="Arial" w:hAnsi="Arial"/>
      <w:b/>
      <w:bCs/>
      <w:color w:val="1F497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2025-12-04T21:24:34.335Z</dcterms:created>
  <dcterms:modified xsi:type="dcterms:W3CDTF">2025-12-04T21:24:34.336Z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