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STARBUCKS CLIMATE RISK ANALYSIS</w:t>
      </w:r>
    </w:p>
    <w:p>
      <w:pPr>
        <w:spacing w:after="120"/>
        <w:jc w:val="center"/>
      </w:pPr>
      <w:r>
        <w:rPr>
          <w:i/>
          <w:iCs/>
          <w:sz w:val="26"/>
          <w:szCs w:val="26"/>
        </w:rPr>
        <w:t xml:space="preserve">TCFD-Aligned Financial Impact Assessment</w:t>
      </w:r>
    </w:p>
    <w:p>
      <w:pPr>
        <w:spacing w:after="60"/>
        <w:jc w:val="center"/>
      </w:pPr>
      <w:r>
        <w:rPr>
          <w:sz w:val="24"/>
          <w:szCs w:val="24"/>
        </w:rPr>
        <w:t xml:space="preserve">December 2024</w:t>
      </w:r>
    </w:p>
    <w:p>
      <w:r>
        <w:t xml:space="preserve"/>
      </w:r>
    </w:p>
    <w:p>
      <w:r>
        <w:t xml:space="preserve"/>
      </w:r>
    </w:p>
    <w:p>
      <w:pPr>
        <w:spacing w:after="40"/>
        <w:jc w:val="center"/>
      </w:pPr>
      <w:r>
        <w:rPr>
          <w:i/>
          <w:iCs/>
          <w:sz w:val="20"/>
          <w:szCs w:val="20"/>
        </w:rPr>
        <w:t xml:space="preserve">Classification: Internal Use</w:t>
      </w:r>
    </w:p>
    <w:p>
      <w:r>
        <w:br w:type="page"/>
      </w:r>
    </w:p>
    <w:p>
      <w:pPr>
        <w:pStyle w:val="Heading1"/>
      </w:pPr>
      <w:r>
        <w:t xml:space="preserve">TABLE OF CONTENTS</w:t>
      </w:r>
    </w:p>
    <w:p>
      <w:pPr>
        <w:pStyle w:val="ListParagraph"/>
        <w:numPr>
          <w:ilvl w:val="0"/>
          <w:numId w:val="2"/>
        </w:numPr>
      </w:pPr>
      <w:r>
        <w:t xml:space="preserve">Executive Summary</w:t>
      </w:r>
    </w:p>
    <w:p>
      <w:pPr>
        <w:pStyle w:val="ListParagraph"/>
        <w:numPr>
          <w:ilvl w:val="0"/>
          <w:numId w:val="2"/>
        </w:numPr>
      </w:pPr>
      <w:r>
        <w:t xml:space="preserve">TCFD Framework Overview</w:t>
      </w:r>
    </w:p>
    <w:p>
      <w:pPr>
        <w:pStyle w:val="ListParagraph"/>
        <w:numPr>
          <w:ilvl w:val="0"/>
          <w:numId w:val="2"/>
        </w:numPr>
      </w:pPr>
      <w:r>
        <w:t xml:space="preserve">Key Findings: Physical Climate Risks</w:t>
      </w:r>
    </w:p>
    <w:p>
      <w:pPr>
        <w:pStyle w:val="ListParagraph"/>
        <w:numPr>
          <w:ilvl w:val="0"/>
          <w:numId w:val="2"/>
        </w:numPr>
      </w:pPr>
      <w:r>
        <w:t xml:space="preserve">Key Findings: Transition Risks</w:t>
      </w:r>
    </w:p>
    <w:p>
      <w:pPr>
        <w:pStyle w:val="ListParagraph"/>
        <w:numPr>
          <w:ilvl w:val="0"/>
          <w:numId w:val="2"/>
        </w:numPr>
      </w:pPr>
      <w:r>
        <w:t xml:space="preserve">Financial Impact Quantification</w:t>
      </w:r>
    </w:p>
    <w:p>
      <w:pPr>
        <w:pStyle w:val="ListParagraph"/>
        <w:numPr>
          <w:ilvl w:val="0"/>
          <w:numId w:val="2"/>
        </w:numPr>
      </w:pPr>
      <w:r>
        <w:t xml:space="preserve">Competitive Positioning</w:t>
      </w:r>
    </w:p>
    <w:p>
      <w:pPr>
        <w:pStyle w:val="ListParagraph"/>
        <w:numPr>
          <w:ilvl w:val="0"/>
          <w:numId w:val="2"/>
        </w:numPr>
      </w:pPr>
      <w:r>
        <w:t xml:space="preserve">Strategic Recommendations</w:t>
      </w:r>
    </w:p>
    <w:p>
      <w:pPr>
        <w:pStyle w:val="ListParagraph"/>
        <w:numPr>
          <w:ilvl w:val="0"/>
          <w:numId w:val="2"/>
        </w:numPr>
      </w:pPr>
      <w:r>
        <w:t xml:space="preserve">Technical Methodology</w:t>
      </w:r>
    </w:p>
    <w:p>
      <w:r>
        <w:br w:type="page"/>
      </w:r>
    </w:p>
    <w:p>
      <w:pPr>
        <w:pStyle w:val="Heading1"/>
      </w:pPr>
      <w:r>
        <w:t xml:space="preserve">1. EXECUTIVE SUMMARY</w:t>
      </w:r>
    </w:p>
    <w:p>
      <w:pPr>
        <w:pStyle w:val="Heading2"/>
      </w:pPr>
      <w:r>
        <w:t xml:space="preserve">Overview</w:t>
      </w:r>
    </w:p>
    <w:p>
      <w:pPr>
        <w:spacing w:after="120"/>
      </w:pPr>
      <w:r>
        <w:t xml:space="preserve">This analysis quantifies Starbucks' exposure to climate-related financial risks across its coffee supply chain, aligned with the Task Force on Climate-related Financial Disclosures (TCFD) framework. Using CMIP6 climate projections, agricultural stress modeling, and financial impact assessment, we evaluate both physical risks (climate impacts on production) and transition risks (carbon pricing and market dynamics).</w:t>
      </w:r>
    </w:p>
    <w:p>
      <w:pPr>
        <w:pStyle w:val="Heading2"/>
      </w:pPr>
      <w:r>
        <w:t xml:space="preserve">Key Headline Findings</w:t>
      </w:r>
    </w:p>
    <w:p>
      <w:pPr>
        <w:pStyle w:val="ListParagraph"/>
        <w:numPr>
          <w:ilvl w:val="0"/>
          <w:numId w:val="3"/>
        </w:numPr>
      </w:pPr>
      <w:r>
        <w:rPr>
          <w:b/>
          <w:bCs/>
        </w:rPr>
        <w:t xml:space="preserve">Total climate financial exposure: </w:t>
      </w:r>
      <w:r>
        <w:t xml:space="preserve">$2.45 billion annually by 2050 (most likely scenario)</w:t>
      </w:r>
    </w:p>
    <w:p>
      <w:pPr>
        <w:pStyle w:val="ListParagraph"/>
        <w:numPr>
          <w:ilvl w:val="0"/>
          <w:numId w:val="3"/>
        </w:numPr>
      </w:pPr>
      <w:r>
        <w:rPr>
          <w:b/>
          <w:bCs/>
        </w:rPr>
        <w:t xml:space="preserve">30-year Net Present Value: </w:t>
      </w:r>
      <w:r>
        <w:t xml:space="preserve">$27.6 billion (8% discount rate)</w:t>
      </w:r>
    </w:p>
    <w:p>
      <w:pPr>
        <w:pStyle w:val="ListParagraph"/>
        <w:numPr>
          <w:ilvl w:val="0"/>
          <w:numId w:val="3"/>
        </w:numPr>
      </w:pPr>
      <w:r>
        <w:rPr>
          <w:b/>
          <w:bCs/>
        </w:rPr>
        <w:t xml:space="preserve">Physical supply risk: </w:t>
      </w:r>
      <w:r>
        <w:t xml:space="preserve">$158.8M annually (yield losses from climate stress)</w:t>
      </w:r>
    </w:p>
    <w:p>
      <w:pPr>
        <w:pStyle w:val="ListParagraph"/>
        <w:numPr>
          <w:ilvl w:val="0"/>
          <w:numId w:val="3"/>
        </w:numPr>
      </w:pPr>
      <w:r>
        <w:rPr>
          <w:b/>
          <w:bCs/>
        </w:rPr>
        <w:t xml:space="preserve">Transition risk: </w:t>
      </w:r>
      <w:r>
        <w:t xml:space="preserve">$2.3 billion annually (carbon pricing costs)</w:t>
      </w:r>
    </w:p>
    <w:p>
      <w:pPr>
        <w:pStyle w:val="ListParagraph"/>
        <w:numPr>
          <w:ilvl w:val="0"/>
          <w:numId w:val="3"/>
        </w:numPr>
      </w:pPr>
      <w:r>
        <w:rPr>
          <w:b/>
          <w:bCs/>
        </w:rPr>
        <w:t xml:space="preserve">Geographic resilience: </w:t>
      </w:r>
      <w:r>
        <w:t xml:space="preserve">85% of sourcing in low-risk regions (competitive advantage)</w:t>
      </w:r>
    </w:p>
    <w:p>
      <w:pPr>
        <w:pStyle w:val="ListParagraph"/>
        <w:numPr>
          <w:ilvl w:val="0"/>
          <w:numId w:val="3"/>
        </w:numPr>
      </w:pPr>
      <w:r>
        <w:rPr>
          <w:b/>
          <w:bCs/>
        </w:rPr>
        <w:t xml:space="preserve">Competitive ranking: </w:t>
      </w:r>
      <w:r>
        <w:t xml:space="preserve">2nd-best positioned among major competitors (Nestlé, JDE Peets, Lavazza, illycaffè)</w:t>
      </w:r>
    </w:p>
    <w:p>
      <w:pPr>
        <w:spacing w:before="120" w:after="120"/>
      </w:pPr>
      <w:r>
        <w:t xml:space="preserve"/>
      </w:r>
    </w:p>
    <w:p>
      <w:pPr>
        <w:pStyle w:val="Heading2"/>
      </w:pPr>
      <w:r>
        <w:t xml:space="preserve">Materiality Assessment</w:t>
      </w:r>
    </w:p>
    <w:p>
      <w:pPr>
        <w:spacing w:after="120"/>
      </w:pPr>
      <w:r>
        <w:t xml:space="preserve">Climate risk is MATERIAL to Starbucks' business: The $27.6B 30-year NPV represents potential financial exposure from both direct supply chain disruption and transition to low-carbon economy. This exceeds materiality thresholds for public disclosure and strategic planning.</w:t>
      </w:r>
    </w:p>
    <w:p>
      <w:r>
        <w:br w:type="page"/>
      </w:r>
    </w:p>
    <w:p>
      <w:pPr>
        <w:pStyle w:val="Heading1"/>
      </w:pPr>
      <w:r>
        <w:t xml:space="preserve">2. TCFD FRAMEWORK OVERVIEW</w:t>
      </w:r>
    </w:p>
    <w:p>
      <w:pPr>
        <w:pStyle w:val="Heading2"/>
      </w:pPr>
      <w:r>
        <w:t xml:space="preserve">Governance</w:t>
      </w:r>
    </w:p>
    <w:p>
      <w:pPr>
        <w:pStyle w:val="ListParagraph"/>
        <w:numPr>
          <w:ilvl w:val="0"/>
          <w:numId w:val="3"/>
        </w:numPr>
      </w:pPr>
      <w:r>
        <w:t xml:space="preserve">Climate risk assessment is integrated into strategic planning and capital allocation decisions</w:t>
      </w:r>
    </w:p>
    <w:p>
      <w:pPr>
        <w:pStyle w:val="ListParagraph"/>
        <w:numPr>
          <w:ilvl w:val="0"/>
          <w:numId w:val="3"/>
        </w:numPr>
      </w:pPr>
      <w:r>
        <w:t xml:space="preserve">Board-level oversight of sustainability targets and net-zero pathway</w:t>
      </w:r>
    </w:p>
    <w:p>
      <w:pPr>
        <w:pStyle w:val="ListParagraph"/>
        <w:numPr>
          <w:ilvl w:val="0"/>
          <w:numId w:val="3"/>
        </w:numPr>
      </w:pPr>
      <w:r>
        <w:t xml:space="preserve">Annual TCFD-aligned climate risk disclosure in ESG reporting</w:t>
      </w:r>
    </w:p>
    <w:p>
      <w:pPr>
        <w:pStyle w:val="Heading2"/>
        <w:spacing w:before="120"/>
      </w:pPr>
      <w:r>
        <w:t xml:space="preserve">Strategy</w:t>
      </w:r>
    </w:p>
    <w:p>
      <w:pPr>
        <w:pStyle w:val="ListParagraph"/>
        <w:numPr>
          <w:ilvl w:val="0"/>
          <w:numId w:val="3"/>
        </w:numPr>
      </w:pPr>
      <w:r>
        <w:t xml:space="preserve">Starbucks' high-elevation sourcing portfolio provides natural resilience against climate stress</w:t>
      </w:r>
    </w:p>
    <w:p>
      <w:pPr>
        <w:pStyle w:val="ListParagraph"/>
        <w:numPr>
          <w:ilvl w:val="0"/>
          <w:numId w:val="3"/>
        </w:numPr>
      </w:pPr>
      <w:r>
        <w:t xml:space="preserve">Diversification across 29 regions reduces geographic concentration risk (17.5% top-3 concentration vs. 38-60% for competitors)</w:t>
      </w:r>
    </w:p>
    <w:p>
      <w:pPr>
        <w:pStyle w:val="ListParagraph"/>
        <w:numPr>
          <w:ilvl w:val="0"/>
          <w:numId w:val="3"/>
        </w:numPr>
      </w:pPr>
      <w:r>
        <w:t xml:space="preserve">Net-zero pathway: 50% emissions reduction by 2030, 95% by 2050</w:t>
      </w:r>
    </w:p>
    <w:p>
      <w:pPr>
        <w:pStyle w:val="Heading2"/>
        <w:spacing w:before="120"/>
      </w:pPr>
      <w:r>
        <w:t xml:space="preserve">Risk Management</w:t>
      </w:r>
    </w:p>
    <w:p>
      <w:pPr>
        <w:pStyle w:val="ListParagraph"/>
        <w:numPr>
          <w:ilvl w:val="0"/>
          <w:numId w:val="3"/>
        </w:numPr>
      </w:pPr>
      <w:r>
        <w:t xml:space="preserve">Scenario analysis across three climate pathways (Net Zero, Delayed Transition, Current Policies)</w:t>
      </w:r>
    </w:p>
    <w:p>
      <w:pPr>
        <w:pStyle w:val="ListParagraph"/>
        <w:numPr>
          <w:ilvl w:val="0"/>
          <w:numId w:val="3"/>
        </w:numPr>
      </w:pPr>
      <w:r>
        <w:t xml:space="preserve">Regional climate stress monitoring in 29 coffee-growing regions</w:t>
      </w:r>
    </w:p>
    <w:p>
      <w:pPr>
        <w:pStyle w:val="ListParagraph"/>
        <w:numPr>
          <w:ilvl w:val="0"/>
          <w:numId w:val="3"/>
        </w:numPr>
      </w:pPr>
      <w:r>
        <w:t xml:space="preserve">Carbon hedging strategy (25-50% of exposure) to manage transition risk volatility</w:t>
      </w:r>
    </w:p>
    <w:p>
      <w:pPr>
        <w:pStyle w:val="ListParagraph"/>
        <w:numPr>
          <w:ilvl w:val="0"/>
          <w:numId w:val="3"/>
        </w:numPr>
      </w:pPr>
      <w:r>
        <w:t xml:space="preserve">Farmer support programs and diversification investments to adapt to climate change</w:t>
      </w:r>
    </w:p>
    <w:p>
      <w:pPr>
        <w:pStyle w:val="Heading2"/>
        <w:spacing w:before="120"/>
      </w:pPr>
      <w:r>
        <w:t xml:space="preserve">Metrics &amp; Targets</w:t>
      </w:r>
    </w:p>
    <w:p>
      <w:pPr>
        <w:pStyle w:val="ListParagraph"/>
        <w:numPr>
          <w:ilvl w:val="0"/>
          <w:numId w:val="3"/>
        </w:numPr>
      </w:pPr>
      <w:r>
        <w:t xml:space="preserve">Coffee supply at risk: 4.5% by 2050 (most likely scenario)</w:t>
      </w:r>
    </w:p>
    <w:p>
      <w:pPr>
        <w:pStyle w:val="ListParagraph"/>
        <w:numPr>
          <w:ilvl w:val="0"/>
          <w:numId w:val="3"/>
        </w:numPr>
      </w:pPr>
      <w:r>
        <w:t xml:space="preserve">Scope 1+2+3 emissions: 50% reduction by 2030, 95% by 2050</w:t>
      </w:r>
    </w:p>
    <w:p>
      <w:pPr>
        <w:pStyle w:val="ListParagraph"/>
        <w:numPr>
          <w:ilvl w:val="0"/>
          <w:numId w:val="3"/>
        </w:numPr>
      </w:pPr>
      <w:r>
        <w:t xml:space="preserve">Geographic resilience score: 0.70/1.0 (70% - high diversification)</w:t>
      </w:r>
    </w:p>
    <w:p>
      <w:pPr>
        <w:pStyle w:val="ListParagraph"/>
        <w:numPr>
          <w:ilvl w:val="0"/>
          <w:numId w:val="3"/>
        </w:numPr>
      </w:pPr>
      <w:r>
        <w:t xml:space="preserve">Climate cost as % of revenue: 2.7% (lowest among competitors)</w:t>
      </w:r>
    </w:p>
    <w:p>
      <w:r>
        <w:br w:type="page"/>
      </w:r>
    </w:p>
    <w:p>
      <w:pPr>
        <w:pStyle w:val="Heading1"/>
      </w:pPr>
      <w:r>
        <w:t xml:space="preserve">3. KEY FINDINGS: PHYSICAL CLIMATE RISKS</w:t>
      </w:r>
    </w:p>
    <w:p>
      <w:pPr>
        <w:pStyle w:val="Heading2"/>
      </w:pPr>
      <w:r>
        <w:t xml:space="preserve">Climate Stress by Region (2050)</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2340"/>
        <w:gridCol w:w="2340"/>
        <w:gridCol w:w="2340"/>
        <w:gridCol w:w="2340"/>
      </w:tblGrid>
      <w:tr>
        <w:trPr>
          <w:tblHeader/>
        </w:trPr>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Region</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Stress Index</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Yield Loss</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Risk Level</w:t>
            </w:r>
          </w:p>
        </w:tc>
      </w:tr>
      <w:tr>
        <w:tc>
          <w:tcPr>
            <w:tcBorders>
              <w:top w:val="single" w:color="CCCCCC" w:sz="1"/>
              <w:left w:val="single" w:color="CCCCCC" w:sz="1"/>
              <w:bottom w:val="single" w:color="CCCCCC" w:sz="1"/>
              <w:right w:val="single" w:color="CCCCCC" w:sz="1"/>
            </w:tcBorders>
          </w:tcPr>
          <w:p>
            <w:r>
              <w:t xml:space="preserve">Colombia Huila</w:t>
            </w:r>
          </w:p>
        </w:tc>
        <w:tc>
          <w:tcPr>
            <w:tcBorders>
              <w:top w:val="single" w:color="CCCCCC" w:sz="1"/>
              <w:left w:val="single" w:color="CCCCCC" w:sz="1"/>
              <w:bottom w:val="single" w:color="CCCCCC" w:sz="1"/>
              <w:right w:val="single" w:color="CCCCCC" w:sz="1"/>
            </w:tcBorders>
          </w:tcPr>
          <w:p>
            <w:pPr>
              <w:jc w:val="center"/>
            </w:pPr>
            <w:r>
              <w:t xml:space="preserve">0.027</w:t>
            </w:r>
          </w:p>
        </w:tc>
        <w:tc>
          <w:tcPr>
            <w:tcBorders>
              <w:top w:val="single" w:color="CCCCCC" w:sz="1"/>
              <w:left w:val="single" w:color="CCCCCC" w:sz="1"/>
              <w:bottom w:val="single" w:color="CCCCCC" w:sz="1"/>
              <w:right w:val="single" w:color="CCCCCC" w:sz="1"/>
            </w:tcBorders>
          </w:tcPr>
          <w:p>
            <w:pPr>
              <w:jc w:val="center"/>
            </w:pPr>
            <w:r>
              <w:t xml:space="preserve">1.4%</w:t>
            </w:r>
          </w:p>
        </w:tc>
        <w:tc>
          <w:tcPr>
            <w:tcBorders>
              <w:top w:val="single" w:color="CCCCCC" w:sz="1"/>
              <w:left w:val="single" w:color="CCCCCC" w:sz="1"/>
              <w:bottom w:val="single" w:color="CCCCCC" w:sz="1"/>
              <w:right w:val="single" w:color="CCCCCC" w:sz="1"/>
            </w:tcBorders>
          </w:tcPr>
          <w:p>
            <w:pPr>
              <w:jc w:val="center"/>
            </w:pPr>
            <w:r>
              <w:rPr>
                <w:color w:val="00B050"/>
              </w:rPr>
              <w:t xml:space="preserve">✓ Low</w:t>
            </w:r>
          </w:p>
        </w:tc>
      </w:tr>
      <w:tr>
        <w:tc>
          <w:tcPr>
            <w:tcBorders>
              <w:top w:val="single" w:color="CCCCCC" w:sz="1"/>
              <w:left w:val="single" w:color="CCCCCC" w:sz="1"/>
              <w:bottom w:val="single" w:color="CCCCCC" w:sz="1"/>
              <w:right w:val="single" w:color="CCCCCC" w:sz="1"/>
            </w:tcBorders>
          </w:tcPr>
          <w:p>
            <w:r>
              <w:t xml:space="preserve">Guatemala Huehuetenango</w:t>
            </w:r>
          </w:p>
        </w:tc>
        <w:tc>
          <w:tcPr>
            <w:tcBorders>
              <w:top w:val="single" w:color="CCCCCC" w:sz="1"/>
              <w:left w:val="single" w:color="CCCCCC" w:sz="1"/>
              <w:bottom w:val="single" w:color="CCCCCC" w:sz="1"/>
              <w:right w:val="single" w:color="CCCCCC" w:sz="1"/>
            </w:tcBorders>
          </w:tcPr>
          <w:p>
            <w:pPr>
              <w:jc w:val="center"/>
            </w:pPr>
            <w:r>
              <w:t xml:space="preserve">0.039</w:t>
            </w:r>
          </w:p>
        </w:tc>
        <w:tc>
          <w:tcPr>
            <w:tcBorders>
              <w:top w:val="single" w:color="CCCCCC" w:sz="1"/>
              <w:left w:val="single" w:color="CCCCCC" w:sz="1"/>
              <w:bottom w:val="single" w:color="CCCCCC" w:sz="1"/>
              <w:right w:val="single" w:color="CCCCCC" w:sz="1"/>
            </w:tcBorders>
          </w:tcPr>
          <w:p>
            <w:pPr>
              <w:jc w:val="center"/>
            </w:pPr>
            <w:r>
              <w:t xml:space="preserve">1.9%</w:t>
            </w:r>
          </w:p>
        </w:tc>
        <w:tc>
          <w:tcPr>
            <w:tcBorders>
              <w:top w:val="single" w:color="CCCCCC" w:sz="1"/>
              <w:left w:val="single" w:color="CCCCCC" w:sz="1"/>
              <w:bottom w:val="single" w:color="CCCCCC" w:sz="1"/>
              <w:right w:val="single" w:color="CCCCCC" w:sz="1"/>
            </w:tcBorders>
          </w:tcPr>
          <w:p>
            <w:pPr>
              <w:jc w:val="center"/>
            </w:pPr>
            <w:r>
              <w:rPr>
                <w:color w:val="00B050"/>
              </w:rPr>
              <w:t xml:space="preserve">✓ Low</w:t>
            </w:r>
          </w:p>
        </w:tc>
      </w:tr>
      <w:tr>
        <w:tc>
          <w:tcPr>
            <w:tcBorders>
              <w:top w:val="single" w:color="CCCCCC" w:sz="1"/>
              <w:left w:val="single" w:color="CCCCCC" w:sz="1"/>
              <w:bottom w:val="single" w:color="CCCCCC" w:sz="1"/>
              <w:right w:val="single" w:color="CCCCCC" w:sz="1"/>
            </w:tcBorders>
          </w:tcPr>
          <w:p>
            <w:r>
              <w:t xml:space="preserve">Brazil São Paulo</w:t>
            </w:r>
          </w:p>
        </w:tc>
        <w:tc>
          <w:tcPr>
            <w:tcBorders>
              <w:top w:val="single" w:color="CCCCCC" w:sz="1"/>
              <w:left w:val="single" w:color="CCCCCC" w:sz="1"/>
              <w:bottom w:val="single" w:color="CCCCCC" w:sz="1"/>
              <w:right w:val="single" w:color="CCCCCC" w:sz="1"/>
            </w:tcBorders>
          </w:tcPr>
          <w:p>
            <w:pPr>
              <w:jc w:val="center"/>
            </w:pPr>
            <w:r>
              <w:t xml:space="preserve">0.156</w:t>
            </w:r>
          </w:p>
        </w:tc>
        <w:tc>
          <w:tcPr>
            <w:tcBorders>
              <w:top w:val="single" w:color="CCCCCC" w:sz="1"/>
              <w:left w:val="single" w:color="CCCCCC" w:sz="1"/>
              <w:bottom w:val="single" w:color="CCCCCC" w:sz="1"/>
              <w:right w:val="single" w:color="CCCCCC" w:sz="1"/>
            </w:tcBorders>
          </w:tcPr>
          <w:p>
            <w:pPr>
              <w:jc w:val="center"/>
            </w:pPr>
            <w:r>
              <w:t xml:space="preserve">7.8%</w:t>
            </w:r>
          </w:p>
        </w:tc>
        <w:tc>
          <w:tcPr>
            <w:tcBorders>
              <w:top w:val="single" w:color="CCCCCC" w:sz="1"/>
              <w:left w:val="single" w:color="CCCCCC" w:sz="1"/>
              <w:bottom w:val="single" w:color="CCCCCC" w:sz="1"/>
              <w:right w:val="single" w:color="CCCCCC" w:sz="1"/>
            </w:tcBorders>
          </w:tcPr>
          <w:p>
            <w:pPr>
              <w:jc w:val="center"/>
            </w:pPr>
            <w:r>
              <w:rPr>
                <w:color w:val="FFC000"/>
              </w:rPr>
              <w:t xml:space="preserve">⚠ Medium</w:t>
            </w:r>
          </w:p>
        </w:tc>
      </w:tr>
      <w:tr>
        <w:tc>
          <w:tcPr>
            <w:tcBorders>
              <w:top w:val="single" w:color="CCCCCC" w:sz="1"/>
              <w:left w:val="single" w:color="CCCCCC" w:sz="1"/>
              <w:bottom w:val="single" w:color="CCCCCC" w:sz="1"/>
              <w:right w:val="single" w:color="CCCCCC" w:sz="1"/>
            </w:tcBorders>
          </w:tcPr>
          <w:p>
            <w:r>
              <w:t xml:space="preserve">Sumatra Aceh, Indonesia</w:t>
            </w:r>
          </w:p>
        </w:tc>
        <w:tc>
          <w:tcPr>
            <w:tcBorders>
              <w:top w:val="single" w:color="CCCCCC" w:sz="1"/>
              <w:left w:val="single" w:color="CCCCCC" w:sz="1"/>
              <w:bottom w:val="single" w:color="CCCCCC" w:sz="1"/>
              <w:right w:val="single" w:color="CCCCCC" w:sz="1"/>
            </w:tcBorders>
          </w:tcPr>
          <w:p>
            <w:pPr>
              <w:jc w:val="center"/>
            </w:pPr>
            <w:r>
              <w:t xml:space="preserve">0.235</w:t>
            </w:r>
          </w:p>
        </w:tc>
        <w:tc>
          <w:tcPr>
            <w:tcBorders>
              <w:top w:val="single" w:color="CCCCCC" w:sz="1"/>
              <w:left w:val="single" w:color="CCCCCC" w:sz="1"/>
              <w:bottom w:val="single" w:color="CCCCCC" w:sz="1"/>
              <w:right w:val="single" w:color="CCCCCC" w:sz="1"/>
            </w:tcBorders>
          </w:tcPr>
          <w:p>
            <w:pPr>
              <w:jc w:val="center"/>
            </w:pPr>
            <w:r>
              <w:t xml:space="preserve">23.5%</w:t>
            </w:r>
          </w:p>
        </w:tc>
        <w:tc>
          <w:tcPr>
            <w:tcBorders>
              <w:top w:val="single" w:color="CCCCCC" w:sz="1"/>
              <w:left w:val="single" w:color="CCCCCC" w:sz="1"/>
              <w:bottom w:val="single" w:color="CCCCCC" w:sz="1"/>
              <w:right w:val="single" w:color="CCCCCC" w:sz="1"/>
            </w:tcBorders>
          </w:tcPr>
          <w:p>
            <w:pPr>
              <w:jc w:val="center"/>
            </w:pPr>
            <w:r>
              <w:rPr>
                <w:color w:val="FF0000"/>
              </w:rPr>
              <w:t xml:space="preserve">✕ High</w:t>
            </w:r>
          </w:p>
        </w:tc>
      </w:tr>
    </w:tbl>
    <w:p>
      <w:pPr>
        <w:spacing w:before="120" w:after="120"/>
      </w:pPr>
      <w:r>
        <w:t xml:space="preserve"/>
      </w:r>
    </w:p>
    <w:p>
      <w:pPr>
        <w:pStyle w:val="Heading2"/>
      </w:pPr>
      <w:r>
        <w:t xml:space="preserve">Key Findings</w:t>
      </w:r>
    </w:p>
    <w:p>
      <w:pPr>
        <w:pStyle w:val="ListParagraph"/>
        <w:numPr>
          <w:ilvl w:val="0"/>
          <w:numId w:val="3"/>
        </w:numPr>
      </w:pPr>
      <w:r>
        <w:rPr>
          <w:b/>
          <w:bCs/>
        </w:rPr>
        <w:t xml:space="preserve">High-elevation resilience: </w:t>
      </w:r>
      <w:r>
        <w:t xml:space="preserve">Starbucks' sourcing in high-elevation regions (Colombia, Guatemala, Ethiopia) faces minimal yield loss (1-2%)</w:t>
      </w:r>
    </w:p>
    <w:p>
      <w:pPr>
        <w:pStyle w:val="ListParagraph"/>
        <w:numPr>
          <w:ilvl w:val="0"/>
          <w:numId w:val="3"/>
        </w:numPr>
      </w:pPr>
      <w:r>
        <w:rPr>
          <w:b/>
          <w:bCs/>
        </w:rPr>
        <w:t xml:space="preserve">Competitive advantage: </w:t>
      </w:r>
      <w:r>
        <w:t xml:space="preserve">High-elevation portfolio faces $16M less profit-at-risk than low-elevation competitors</w:t>
      </w:r>
    </w:p>
    <w:p>
      <w:pPr>
        <w:pStyle w:val="ListParagraph"/>
        <w:numPr>
          <w:ilvl w:val="0"/>
          <w:numId w:val="3"/>
        </w:numPr>
      </w:pPr>
      <w:r>
        <w:rPr>
          <w:b/>
          <w:bCs/>
        </w:rPr>
        <w:t xml:space="preserve">Most vulnerable regions: </w:t>
      </w:r>
      <w:r>
        <w:t xml:space="preserve">Low-elevation Indonesia and Vietnam face 14-24% yield loss by 2050</w:t>
      </w:r>
    </w:p>
    <w:p>
      <w:pPr>
        <w:pStyle w:val="ListParagraph"/>
        <w:numPr>
          <w:ilvl w:val="0"/>
          <w:numId w:val="3"/>
        </w:numPr>
      </w:pPr>
      <w:r>
        <w:rPr>
          <w:b/>
          <w:bCs/>
        </w:rPr>
        <w:t xml:space="preserve">Overall supply impact: </w:t>
      </w:r>
      <w:r>
        <w:t xml:space="preserve">4.5% of total volume at risk (7,701 MT out of 172,000 MT)</w:t>
      </w:r>
    </w:p>
    <w:p>
      <w:r>
        <w:br w:type="page"/>
      </w:r>
    </w:p>
    <w:p>
      <w:pPr>
        <w:pStyle w:val="Heading1"/>
      </w:pPr>
      <w:r>
        <w:t xml:space="preserve">4. KEY FINDINGS: TRANSITION RISKS</w:t>
      </w:r>
    </w:p>
    <w:p>
      <w:pPr>
        <w:pStyle w:val="Heading2"/>
      </w:pPr>
      <w:r>
        <w:t xml:space="preserve">Carbon Pricing Impact (2050)</w:t>
      </w:r>
    </w:p>
    <w:p>
      <w:pPr>
        <w:spacing w:after="120"/>
      </w:pPr>
      <w:r>
        <w:t xml:space="preserve">Carbon pricing represents the dominant financial risk. Under the Delayed Transition scenario (most likely), carbon costs increase from $13.5M (2025) to $2,295M (2050) due to rising carbon prices from $20/tCO2 to $500/tCO2.</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2340"/>
        <w:gridCol w:w="2340"/>
        <w:gridCol w:w="2340"/>
        <w:gridCol w:w="2340"/>
      </w:tblGrid>
      <w:tr>
        <w:trPr>
          <w:tblHeader/>
        </w:trPr>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Scenario</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Carbon Price</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Annual Cost</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 of Revenue</w:t>
            </w:r>
          </w:p>
        </w:tc>
      </w:tr>
      <w:tr>
        <w:tc>
          <w:tcPr>
            <w:tcBorders>
              <w:top w:val="single" w:color="CCCCCC" w:sz="1"/>
              <w:left w:val="single" w:color="CCCCCC" w:sz="1"/>
              <w:bottom w:val="single" w:color="CCCCCC" w:sz="1"/>
              <w:right w:val="single" w:color="CCCCCC" w:sz="1"/>
            </w:tcBorders>
          </w:tcPr>
          <w:p>
            <w:r>
              <w:t xml:space="preserve">Net Zero 2050</w:t>
            </w:r>
          </w:p>
        </w:tc>
        <w:tc>
          <w:tcPr>
            <w:tcBorders>
              <w:top w:val="single" w:color="CCCCCC" w:sz="1"/>
              <w:left w:val="single" w:color="CCCCCC" w:sz="1"/>
              <w:bottom w:val="single" w:color="CCCCCC" w:sz="1"/>
              <w:right w:val="single" w:color="CCCCCC" w:sz="1"/>
            </w:tcBorders>
          </w:tcPr>
          <w:p>
            <w:pPr>
              <w:jc w:val="center"/>
            </w:pPr>
            <w:r>
              <w:t xml:space="preserve">$250/tCO2</w:t>
            </w:r>
          </w:p>
        </w:tc>
        <w:tc>
          <w:tcPr>
            <w:tcBorders>
              <w:top w:val="single" w:color="CCCCCC" w:sz="1"/>
              <w:left w:val="single" w:color="CCCCCC" w:sz="1"/>
              <w:bottom w:val="single" w:color="CCCCCC" w:sz="1"/>
              <w:right w:val="single" w:color="CCCCCC" w:sz="1"/>
            </w:tcBorders>
          </w:tcPr>
          <w:p>
            <w:pPr>
              <w:jc w:val="center"/>
            </w:pPr>
            <w:r>
              <w:t xml:space="preserve">$877.5M</w:t>
            </w:r>
          </w:p>
        </w:tc>
        <w:tc>
          <w:tcPr>
            <w:tcBorders>
              <w:top w:val="single" w:color="CCCCCC" w:sz="1"/>
              <w:left w:val="single" w:color="CCCCCC" w:sz="1"/>
              <w:bottom w:val="single" w:color="CCCCCC" w:sz="1"/>
              <w:right w:val="single" w:color="CCCCCC" w:sz="1"/>
            </w:tcBorders>
          </w:tcPr>
          <w:p>
            <w:pPr>
              <w:jc w:val="center"/>
            </w:pPr>
            <w:r>
              <w:t xml:space="preserve">2.42%</w:t>
            </w:r>
          </w:p>
        </w:tc>
      </w:tr>
      <w:tr>
        <w:tc>
          <w:tcPr>
            <w:tcBorders>
              <w:top w:val="single" w:color="CCCCCC" w:sz="1"/>
              <w:left w:val="single" w:color="CCCCCC" w:sz="1"/>
              <w:bottom w:val="single" w:color="CCCCCC" w:sz="1"/>
              <w:right w:val="single" w:color="CCCCCC" w:sz="1"/>
            </w:tcBorders>
            <w:shd w:fill="E7F3FF" w:val="clear"/>
          </w:tcPr>
          <w:p>
            <w:r>
              <w:rPr>
                <w:b/>
                <w:bCs/>
              </w:rPr>
              <w:t xml:space="preserve">Delayed Transition</w:t>
            </w:r>
          </w:p>
        </w:tc>
        <w:tc>
          <w:tcPr>
            <w:tcBorders>
              <w:top w:val="single" w:color="CCCCCC" w:sz="1"/>
              <w:left w:val="single" w:color="CCCCCC" w:sz="1"/>
              <w:bottom w:val="single" w:color="CCCCCC" w:sz="1"/>
              <w:right w:val="single" w:color="CCCCCC" w:sz="1"/>
            </w:tcBorders>
            <w:shd w:fill="E7F3FF" w:val="clear"/>
          </w:tcPr>
          <w:p>
            <w:pPr>
              <w:jc w:val="center"/>
            </w:pPr>
            <w:r>
              <w:rPr>
                <w:b/>
                <w:bCs/>
              </w:rPr>
              <w:t xml:space="preserve">$500/tCO2</w:t>
            </w:r>
          </w:p>
        </w:tc>
        <w:tc>
          <w:tcPr>
            <w:tcBorders>
              <w:top w:val="single" w:color="CCCCCC" w:sz="1"/>
              <w:left w:val="single" w:color="CCCCCC" w:sz="1"/>
              <w:bottom w:val="single" w:color="CCCCCC" w:sz="1"/>
              <w:right w:val="single" w:color="CCCCCC" w:sz="1"/>
            </w:tcBorders>
            <w:shd w:fill="E7F3FF" w:val="clear"/>
          </w:tcPr>
          <w:p>
            <w:pPr>
              <w:jc w:val="center"/>
            </w:pPr>
            <w:r>
              <w:rPr>
                <w:b/>
                <w:bCs/>
              </w:rPr>
              <w:t xml:space="preserve">$2,295M</w:t>
            </w:r>
          </w:p>
        </w:tc>
        <w:tc>
          <w:tcPr>
            <w:tcBorders>
              <w:top w:val="single" w:color="CCCCCC" w:sz="1"/>
              <w:left w:val="single" w:color="CCCCCC" w:sz="1"/>
              <w:bottom w:val="single" w:color="CCCCCC" w:sz="1"/>
              <w:right w:val="single" w:color="CCCCCC" w:sz="1"/>
            </w:tcBorders>
            <w:shd w:fill="E7F3FF" w:val="clear"/>
          </w:tcPr>
          <w:p>
            <w:pPr>
              <w:jc w:val="center"/>
            </w:pPr>
            <w:r>
              <w:rPr>
                <w:b/>
                <w:bCs/>
              </w:rPr>
              <w:t xml:space="preserve">6.34%</w:t>
            </w:r>
          </w:p>
        </w:tc>
      </w:tr>
      <w:tr>
        <w:tc>
          <w:tcPr>
            <w:tcBorders>
              <w:top w:val="single" w:color="CCCCCC" w:sz="1"/>
              <w:left w:val="single" w:color="CCCCCC" w:sz="1"/>
              <w:bottom w:val="single" w:color="CCCCCC" w:sz="1"/>
              <w:right w:val="single" w:color="CCCCCC" w:sz="1"/>
            </w:tcBorders>
          </w:tcPr>
          <w:p>
            <w:r>
              <w:t xml:space="preserve">Current Policies</w:t>
            </w:r>
          </w:p>
        </w:tc>
        <w:tc>
          <w:tcPr>
            <w:tcBorders>
              <w:top w:val="single" w:color="CCCCCC" w:sz="1"/>
              <w:left w:val="single" w:color="CCCCCC" w:sz="1"/>
              <w:bottom w:val="single" w:color="CCCCCC" w:sz="1"/>
              <w:right w:val="single" w:color="CCCCCC" w:sz="1"/>
            </w:tcBorders>
          </w:tcPr>
          <w:p>
            <w:pPr>
              <w:jc w:val="center"/>
            </w:pPr>
            <w:r>
              <w:t xml:space="preserve">$40/tCO2</w:t>
            </w:r>
          </w:p>
        </w:tc>
        <w:tc>
          <w:tcPr>
            <w:tcBorders>
              <w:top w:val="single" w:color="CCCCCC" w:sz="1"/>
              <w:left w:val="single" w:color="CCCCCC" w:sz="1"/>
              <w:bottom w:val="single" w:color="CCCCCC" w:sz="1"/>
              <w:right w:val="single" w:color="CCCCCC" w:sz="1"/>
            </w:tcBorders>
          </w:tcPr>
          <w:p>
            <w:pPr>
              <w:jc w:val="center"/>
            </w:pPr>
            <w:r>
              <w:t xml:space="preserve">$32.4M</w:t>
            </w:r>
          </w:p>
        </w:tc>
        <w:tc>
          <w:tcPr>
            <w:tcBorders>
              <w:top w:val="single" w:color="CCCCCC" w:sz="1"/>
              <w:left w:val="single" w:color="CCCCCC" w:sz="1"/>
              <w:bottom w:val="single" w:color="CCCCCC" w:sz="1"/>
              <w:right w:val="single" w:color="CCCCCC" w:sz="1"/>
            </w:tcBorders>
          </w:tcPr>
          <w:p>
            <w:pPr>
              <w:jc w:val="center"/>
            </w:pPr>
            <w:r>
              <w:t xml:space="preserve">0.09%</w:t>
            </w:r>
          </w:p>
        </w:tc>
      </w:tr>
    </w:tbl>
    <w:p>
      <w:pPr>
        <w:spacing w:before="120" w:after="120"/>
      </w:pPr>
      <w:r>
        <w:t xml:space="preserve"/>
      </w:r>
    </w:p>
    <w:p>
      <w:pPr>
        <w:pStyle w:val="Heading2"/>
      </w:pPr>
      <w:r>
        <w:t xml:space="preserve">Emission Reduction Targets</w:t>
      </w:r>
    </w:p>
    <w:p>
      <w:pPr>
        <w:pStyle w:val="ListParagraph"/>
        <w:numPr>
          <w:ilvl w:val="0"/>
          <w:numId w:val="3"/>
        </w:numPr>
      </w:pPr>
      <w:r>
        <w:rPr>
          <w:b/>
          <w:bCs/>
        </w:rPr>
        <w:t xml:space="preserve">2023 Baseline: </w:t>
      </w:r>
      <w:r>
        <w:t xml:space="preserve">15.3 M MT CO2e</w:t>
      </w:r>
    </w:p>
    <w:p>
      <w:pPr>
        <w:pStyle w:val="ListParagraph"/>
        <w:numPr>
          <w:ilvl w:val="0"/>
          <w:numId w:val="3"/>
        </w:numPr>
      </w:pPr>
      <w:r>
        <w:rPr>
          <w:b/>
          <w:bCs/>
        </w:rPr>
        <w:t xml:space="preserve">2030 Target: </w:t>
      </w:r>
      <w:r>
        <w:t xml:space="preserve">7.65 M MT (50% reduction)</w:t>
      </w:r>
    </w:p>
    <w:p>
      <w:pPr>
        <w:pStyle w:val="ListParagraph"/>
        <w:numPr>
          <w:ilvl w:val="0"/>
          <w:numId w:val="3"/>
        </w:numPr>
      </w:pPr>
      <w:r>
        <w:rPr>
          <w:b/>
          <w:bCs/>
        </w:rPr>
        <w:t xml:space="preserve">2050 Target: </w:t>
      </w:r>
      <w:r>
        <w:t xml:space="preserve">0.77 M MT (95% reduction to achieve net-zero)</w:t>
      </w:r>
    </w:p>
    <w:p>
      <w:r>
        <w:br w:type="page"/>
      </w:r>
    </w:p>
    <w:p>
      <w:pPr>
        <w:pStyle w:val="Heading1"/>
      </w:pPr>
      <w:r>
        <w:t xml:space="preserve">5. FINANCIAL IMPACT QUANTIFICATION</w:t>
      </w:r>
    </w:p>
    <w:p>
      <w:pPr>
        <w:pStyle w:val="Heading2"/>
      </w:pPr>
      <w:r>
        <w:t xml:space="preserve">Total Annual Climate Cost by Scenario (2050)</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2340"/>
        <w:gridCol w:w="2340"/>
        <w:gridCol w:w="2340"/>
        <w:gridCol w:w="2340"/>
      </w:tblGrid>
      <w:tr>
        <w:trPr>
          <w:tblHeader/>
        </w:trPr>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Scenario</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Physical Risk</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Transition Risk</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Total Impact</w:t>
            </w:r>
          </w:p>
        </w:tc>
      </w:tr>
      <w:tr>
        <w:tc>
          <w:tcPr>
            <w:tcBorders>
              <w:top w:val="single" w:color="CCCCCC" w:sz="1"/>
              <w:left w:val="single" w:color="CCCCCC" w:sz="1"/>
              <w:bottom w:val="single" w:color="CCCCCC" w:sz="1"/>
              <w:right w:val="single" w:color="CCCCCC" w:sz="1"/>
            </w:tcBorders>
          </w:tcPr>
          <w:p>
            <w:r>
              <w:t xml:space="preserve">Net Zero 2050</w:t>
            </w:r>
          </w:p>
        </w:tc>
        <w:tc>
          <w:tcPr>
            <w:tcBorders>
              <w:top w:val="single" w:color="CCCCCC" w:sz="1"/>
              <w:left w:val="single" w:color="CCCCCC" w:sz="1"/>
              <w:bottom w:val="single" w:color="CCCCCC" w:sz="1"/>
              <w:right w:val="single" w:color="CCCCCC" w:sz="1"/>
            </w:tcBorders>
          </w:tcPr>
          <w:p>
            <w:pPr>
              <w:jc w:val="center"/>
            </w:pPr>
            <w:r>
              <w:t xml:space="preserve">$118.2M</w:t>
            </w:r>
          </w:p>
        </w:tc>
        <w:tc>
          <w:tcPr>
            <w:tcBorders>
              <w:top w:val="single" w:color="CCCCCC" w:sz="1"/>
              <w:left w:val="single" w:color="CCCCCC" w:sz="1"/>
              <w:bottom w:val="single" w:color="CCCCCC" w:sz="1"/>
              <w:right w:val="single" w:color="CCCCCC" w:sz="1"/>
            </w:tcBorders>
          </w:tcPr>
          <w:p>
            <w:pPr>
              <w:jc w:val="center"/>
            </w:pPr>
            <w:r>
              <w:t xml:space="preserve">$877.5M</w:t>
            </w:r>
          </w:p>
        </w:tc>
        <w:tc>
          <w:tcPr>
            <w:tcBorders>
              <w:top w:val="single" w:color="CCCCCC" w:sz="1"/>
              <w:left w:val="single" w:color="CCCCCC" w:sz="1"/>
              <w:bottom w:val="single" w:color="CCCCCC" w:sz="1"/>
              <w:right w:val="single" w:color="CCCCCC" w:sz="1"/>
            </w:tcBorders>
          </w:tcPr>
          <w:p>
            <w:pPr>
              <w:jc w:val="center"/>
            </w:pPr>
            <w:r>
              <w:t xml:space="preserve">$995.7M</w:t>
            </w:r>
          </w:p>
        </w:tc>
      </w:tr>
      <w:tr>
        <w:tc>
          <w:tcPr>
            <w:tcBorders>
              <w:top w:val="single" w:color="CCCCCC" w:sz="1"/>
              <w:left w:val="single" w:color="CCCCCC" w:sz="1"/>
              <w:bottom w:val="single" w:color="CCCCCC" w:sz="1"/>
              <w:right w:val="single" w:color="CCCCCC" w:sz="1"/>
            </w:tcBorders>
            <w:shd w:fill="E7F3FF" w:val="clear"/>
          </w:tcPr>
          <w:p>
            <w:r>
              <w:rPr>
                <w:b/>
                <w:bCs/>
              </w:rPr>
              <w:t xml:space="preserve">Delayed Transition</w:t>
            </w:r>
          </w:p>
        </w:tc>
        <w:tc>
          <w:tcPr>
            <w:tcBorders>
              <w:top w:val="single" w:color="CCCCCC" w:sz="1"/>
              <w:left w:val="single" w:color="CCCCCC" w:sz="1"/>
              <w:bottom w:val="single" w:color="CCCCCC" w:sz="1"/>
              <w:right w:val="single" w:color="CCCCCC" w:sz="1"/>
            </w:tcBorders>
            <w:shd w:fill="E7F3FF" w:val="clear"/>
          </w:tcPr>
          <w:p>
            <w:pPr>
              <w:jc w:val="center"/>
            </w:pPr>
            <w:r>
              <w:rPr>
                <w:b/>
                <w:bCs/>
              </w:rPr>
              <w:t xml:space="preserve">$158.8M</w:t>
            </w:r>
          </w:p>
        </w:tc>
        <w:tc>
          <w:tcPr>
            <w:tcBorders>
              <w:top w:val="single" w:color="CCCCCC" w:sz="1"/>
              <w:left w:val="single" w:color="CCCCCC" w:sz="1"/>
              <w:bottom w:val="single" w:color="CCCCCC" w:sz="1"/>
              <w:right w:val="single" w:color="CCCCCC" w:sz="1"/>
            </w:tcBorders>
            <w:shd w:fill="E7F3FF" w:val="clear"/>
          </w:tcPr>
          <w:p>
            <w:pPr>
              <w:jc w:val="center"/>
            </w:pPr>
            <w:r>
              <w:rPr>
                <w:b/>
                <w:bCs/>
              </w:rPr>
              <w:t xml:space="preserve">$2,295.0M</w:t>
            </w:r>
          </w:p>
        </w:tc>
        <w:tc>
          <w:tcPr>
            <w:tcBorders>
              <w:top w:val="single" w:color="CCCCCC" w:sz="1"/>
              <w:left w:val="single" w:color="CCCCCC" w:sz="1"/>
              <w:bottom w:val="single" w:color="CCCCCC" w:sz="1"/>
              <w:right w:val="single" w:color="CCCCCC" w:sz="1"/>
            </w:tcBorders>
            <w:shd w:fill="E7F3FF" w:val="clear"/>
          </w:tcPr>
          <w:p>
            <w:pPr>
              <w:jc w:val="center"/>
            </w:pPr>
            <w:r>
              <w:rPr>
                <w:b/>
                <w:bCs/>
              </w:rPr>
              <w:t xml:space="preserve">$2,453.8M</w:t>
            </w:r>
          </w:p>
        </w:tc>
      </w:tr>
      <w:tr>
        <w:tc>
          <w:tcPr>
            <w:tcBorders>
              <w:top w:val="single" w:color="CCCCCC" w:sz="1"/>
              <w:left w:val="single" w:color="CCCCCC" w:sz="1"/>
              <w:bottom w:val="single" w:color="CCCCCC" w:sz="1"/>
              <w:right w:val="single" w:color="CCCCCC" w:sz="1"/>
            </w:tcBorders>
          </w:tcPr>
          <w:p>
            <w:r>
              <w:t xml:space="preserve">Current Policies</w:t>
            </w:r>
          </w:p>
        </w:tc>
        <w:tc>
          <w:tcPr>
            <w:tcBorders>
              <w:top w:val="single" w:color="CCCCCC" w:sz="1"/>
              <w:left w:val="single" w:color="CCCCCC" w:sz="1"/>
              <w:bottom w:val="single" w:color="CCCCCC" w:sz="1"/>
              <w:right w:val="single" w:color="CCCCCC" w:sz="1"/>
            </w:tcBorders>
          </w:tcPr>
          <w:p>
            <w:pPr>
              <w:jc w:val="center"/>
            </w:pPr>
            <w:r>
              <w:t xml:space="preserve">$175.4M</w:t>
            </w:r>
          </w:p>
        </w:tc>
        <w:tc>
          <w:tcPr>
            <w:tcBorders>
              <w:top w:val="single" w:color="CCCCCC" w:sz="1"/>
              <w:left w:val="single" w:color="CCCCCC" w:sz="1"/>
              <w:bottom w:val="single" w:color="CCCCCC" w:sz="1"/>
              <w:right w:val="single" w:color="CCCCCC" w:sz="1"/>
            </w:tcBorders>
          </w:tcPr>
          <w:p>
            <w:pPr>
              <w:jc w:val="center"/>
            </w:pPr>
            <w:r>
              <w:t xml:space="preserve">$32.4M</w:t>
            </w:r>
          </w:p>
        </w:tc>
        <w:tc>
          <w:tcPr>
            <w:tcBorders>
              <w:top w:val="single" w:color="CCCCCC" w:sz="1"/>
              <w:left w:val="single" w:color="CCCCCC" w:sz="1"/>
              <w:bottom w:val="single" w:color="CCCCCC" w:sz="1"/>
              <w:right w:val="single" w:color="CCCCCC" w:sz="1"/>
            </w:tcBorders>
          </w:tcPr>
          <w:p>
            <w:pPr>
              <w:jc w:val="center"/>
            </w:pPr>
            <w:r>
              <w:t xml:space="preserve">$207.8M</w:t>
            </w:r>
          </w:p>
        </w:tc>
      </w:tr>
    </w:tbl>
    <w:p>
      <w:pPr>
        <w:spacing w:before="120" w:after="120"/>
      </w:pPr>
      <w:r>
        <w:t xml:space="preserve"/>
      </w:r>
    </w:p>
    <w:p>
      <w:pPr>
        <w:pStyle w:val="Heading2"/>
      </w:pPr>
      <w:r>
        <w:t xml:space="preserve">30-Year Net Present Value (Most Likely Scenario)</w:t>
      </w:r>
    </w:p>
    <w:p>
      <w:pPr>
        <w:spacing w:after="120"/>
      </w:pPr>
      <w:r>
        <w:rPr>
          <w:i/>
          <w:iCs/>
        </w:rPr>
        <w:t xml:space="preserve">Under the Delayed Transition scenario (SSP2-4.5), the total 30-year NPV of climate-related financial exposure is $27.6 billion using an 8% discount rate. This represents 0.08% of total assets ($35B) and 0.08% of annual revenue ($36.2B), indicating material financial exposure requiring strategic response.</w:t>
      </w:r>
    </w:p>
    <w:p>
      <w:pPr>
        <w:pStyle w:val="Heading2"/>
      </w:pPr>
      <w:r>
        <w:t xml:space="preserve">Key Financial Insights</w:t>
      </w:r>
    </w:p>
    <w:p>
      <w:pPr>
        <w:pStyle w:val="ListParagraph"/>
        <w:numPr>
          <w:ilvl w:val="0"/>
          <w:numId w:val="3"/>
        </w:numPr>
      </w:pPr>
      <w:r>
        <w:rPr>
          <w:b/>
          <w:bCs/>
        </w:rPr>
        <w:t xml:space="preserve">Carbon pricing dominance: </w:t>
      </w:r>
      <w:r>
        <w:t xml:space="preserve">Transition risk ($2.3B) exceeds physical risk ($158.8M) by 14x</w:t>
      </w:r>
    </w:p>
    <w:p>
      <w:pPr>
        <w:pStyle w:val="ListParagraph"/>
        <w:numPr>
          <w:ilvl w:val="0"/>
          <w:numId w:val="3"/>
        </w:numPr>
      </w:pPr>
      <w:r>
        <w:rPr>
          <w:b/>
          <w:bCs/>
        </w:rPr>
        <w:t xml:space="preserve">Pricing pass-through: </w:t>
      </w:r>
      <w:r>
        <w:t xml:space="preserve">19.4% price increase required to maintain margins; alternatively absorb 50% = 9.7% increase</w:t>
      </w:r>
    </w:p>
    <w:p>
      <w:pPr>
        <w:pStyle w:val="ListParagraph"/>
        <w:numPr>
          <w:ilvl w:val="0"/>
          <w:numId w:val="3"/>
        </w:numPr>
      </w:pPr>
      <w:r>
        <w:rPr>
          <w:b/>
          <w:bCs/>
        </w:rPr>
        <w:t xml:space="preserve">Hedging opportunity: </w:t>
      </w:r>
      <w:r>
        <w:t xml:space="preserve">50% carbon price hedge delivers $666M net benefit if prices spike</w:t>
      </w:r>
    </w:p>
    <w:p>
      <w:r>
        <w:br w:type="page"/>
      </w:r>
    </w:p>
    <w:p>
      <w:pPr>
        <w:pStyle w:val="Heading1"/>
      </w:pPr>
      <w:r>
        <w:t xml:space="preserve">6. COMPETITIVE POSITIONING</w:t>
      </w:r>
    </w:p>
    <w:p>
      <w:pPr>
        <w:pStyle w:val="Heading2"/>
      </w:pPr>
      <w:r>
        <w:t xml:space="preserve">Climate Risk Vulnerability Ranking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755"/>
        <w:gridCol w:w="1755"/>
        <w:gridCol w:w="1755"/>
        <w:gridCol w:w="1755"/>
        <w:gridCol w:w="1755"/>
      </w:tblGrid>
      <w:tr>
        <w:trPr>
          <w:tblHeader/>
        </w:trPr>
        <w:tc>
          <w:tcPr>
            <w:tcBorders>
              <w:top w:val="single" w:color="CCCCCC" w:sz="1"/>
              <w:left w:val="single" w:color="CCCCCC" w:sz="1"/>
              <w:bottom w:val="single" w:color="CCCCCC" w:sz="1"/>
              <w:right w:val="single" w:color="CCCCCC" w:sz="1"/>
            </w:tcBorders>
            <w:shd w:fill="1F497D" w:val="clear"/>
          </w:tcPr>
          <w:p>
            <w:pPr>
              <w:jc w:val="center"/>
            </w:pPr>
            <w:r>
              <w:rPr>
                <w:b/>
                <w:bCs/>
                <w:color w:val="FFFFFF"/>
                <w:sz w:val="20"/>
                <w:szCs w:val="20"/>
              </w:rPr>
              <w:t xml:space="preserve">Company</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sz w:val="20"/>
                <w:szCs w:val="20"/>
              </w:rPr>
              <w:t xml:space="preserve">Rank</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sz w:val="20"/>
                <w:szCs w:val="20"/>
              </w:rPr>
              <w:t xml:space="preserve">Vulnerability</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sz w:val="20"/>
                <w:szCs w:val="20"/>
              </w:rPr>
              <w:t xml:space="preserve">Climate Cost</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sz w:val="20"/>
                <w:szCs w:val="20"/>
              </w:rPr>
              <w:t xml:space="preserve">% Revenue</w:t>
            </w:r>
          </w:p>
        </w:tc>
      </w:tr>
      <w:tr>
        <w:tc>
          <w:tcPr>
            <w:tcBorders>
              <w:top w:val="single" w:color="CCCCCC" w:sz="1"/>
              <w:left w:val="single" w:color="CCCCCC" w:sz="1"/>
              <w:bottom w:val="single" w:color="CCCCCC" w:sz="1"/>
              <w:right w:val="single" w:color="CCCCCC" w:sz="1"/>
            </w:tcBorders>
          </w:tcPr>
          <w:p>
            <w:r>
              <w:rPr>
                <w:b/>
                <w:bCs/>
              </w:rPr>
              <w:t xml:space="preserve">🔴 illycaffè</w:t>
            </w:r>
          </w:p>
        </w:tc>
        <w:tc>
          <w:tcPr>
            <w:tcBorders>
              <w:top w:val="single" w:color="CCCCCC" w:sz="1"/>
              <w:left w:val="single" w:color="CCCCCC" w:sz="1"/>
              <w:bottom w:val="single" w:color="CCCCCC" w:sz="1"/>
              <w:right w:val="single" w:color="CCCCCC" w:sz="1"/>
            </w:tcBorders>
          </w:tcPr>
          <w:p>
            <w:pPr>
              <w:jc w:val="center"/>
            </w:pPr>
            <w:r>
              <w:t xml:space="preserve">1 (Most)</w:t>
            </w:r>
          </w:p>
        </w:tc>
        <w:tc>
          <w:tcPr>
            <w:tcBorders>
              <w:top w:val="single" w:color="CCCCCC" w:sz="1"/>
              <w:left w:val="single" w:color="CCCCCC" w:sz="1"/>
              <w:bottom w:val="single" w:color="CCCCCC" w:sz="1"/>
              <w:right w:val="single" w:color="CCCCCC" w:sz="1"/>
            </w:tcBorders>
          </w:tcPr>
          <w:p>
            <w:pPr>
              <w:jc w:val="center"/>
            </w:pPr>
            <w:r>
              <w:t xml:space="preserve">0.76</w:t>
            </w:r>
          </w:p>
        </w:tc>
        <w:tc>
          <w:tcPr>
            <w:tcBorders>
              <w:top w:val="single" w:color="CCCCCC" w:sz="1"/>
              <w:left w:val="single" w:color="CCCCCC" w:sz="1"/>
              <w:bottom w:val="single" w:color="CCCCCC" w:sz="1"/>
              <w:right w:val="single" w:color="CCCCCC" w:sz="1"/>
            </w:tcBorders>
          </w:tcPr>
          <w:p>
            <w:pPr>
              <w:jc w:val="center"/>
            </w:pPr>
            <w:r>
              <w:t xml:space="preserve">$41M</w:t>
            </w:r>
          </w:p>
        </w:tc>
        <w:tc>
          <w:tcPr>
            <w:tcBorders>
              <w:top w:val="single" w:color="CCCCCC" w:sz="1"/>
              <w:left w:val="single" w:color="CCCCCC" w:sz="1"/>
              <w:bottom w:val="single" w:color="CCCCCC" w:sz="1"/>
              <w:right w:val="single" w:color="CCCCCC" w:sz="1"/>
            </w:tcBorders>
          </w:tcPr>
          <w:p>
            <w:pPr>
              <w:jc w:val="center"/>
            </w:pPr>
            <w:r>
              <w:t xml:space="preserve">11.4%</w:t>
            </w:r>
          </w:p>
        </w:tc>
      </w:tr>
      <w:tr>
        <w:tc>
          <w:tcPr>
            <w:tcBorders>
              <w:top w:val="single" w:color="CCCCCC" w:sz="1"/>
              <w:left w:val="single" w:color="CCCCCC" w:sz="1"/>
              <w:bottom w:val="single" w:color="CCCCCC" w:sz="1"/>
              <w:right w:val="single" w:color="CCCCCC" w:sz="1"/>
            </w:tcBorders>
          </w:tcPr>
          <w:p>
            <w:r>
              <w:t xml:space="preserve">🟡 Lavazza</w:t>
            </w:r>
          </w:p>
        </w:tc>
        <w:tc>
          <w:tcPr>
            <w:tcBorders>
              <w:top w:val="single" w:color="CCCCCC" w:sz="1"/>
              <w:left w:val="single" w:color="CCCCCC" w:sz="1"/>
              <w:bottom w:val="single" w:color="CCCCCC" w:sz="1"/>
              <w:right w:val="single" w:color="CCCCCC" w:sz="1"/>
            </w:tcBorders>
          </w:tcPr>
          <w:p>
            <w:pPr>
              <w:jc w:val="center"/>
            </w:pPr>
            <w:r>
              <w:t xml:space="preserve">2</w:t>
            </w:r>
          </w:p>
        </w:tc>
        <w:tc>
          <w:tcPr>
            <w:tcBorders>
              <w:top w:val="single" w:color="CCCCCC" w:sz="1"/>
              <w:left w:val="single" w:color="CCCCCC" w:sz="1"/>
              <w:bottom w:val="single" w:color="CCCCCC" w:sz="1"/>
              <w:right w:val="single" w:color="CCCCCC" w:sz="1"/>
            </w:tcBorders>
          </w:tcPr>
          <w:p>
            <w:pPr>
              <w:jc w:val="center"/>
            </w:pPr>
            <w:r>
              <w:t xml:space="preserve">0.65</w:t>
            </w:r>
          </w:p>
        </w:tc>
        <w:tc>
          <w:tcPr>
            <w:tcBorders>
              <w:top w:val="single" w:color="CCCCCC" w:sz="1"/>
              <w:left w:val="single" w:color="CCCCCC" w:sz="1"/>
              <w:bottom w:val="single" w:color="CCCCCC" w:sz="1"/>
              <w:right w:val="single" w:color="CCCCCC" w:sz="1"/>
            </w:tcBorders>
          </w:tcPr>
          <w:p>
            <w:pPr>
              <w:jc w:val="center"/>
            </w:pPr>
            <w:r>
              <w:t xml:space="preserve">$263M</w:t>
            </w:r>
          </w:p>
        </w:tc>
        <w:tc>
          <w:tcPr>
            <w:tcBorders>
              <w:top w:val="single" w:color="CCCCCC" w:sz="1"/>
              <w:left w:val="single" w:color="CCCCCC" w:sz="1"/>
              <w:bottom w:val="single" w:color="CCCCCC" w:sz="1"/>
              <w:right w:val="single" w:color="CCCCCC" w:sz="1"/>
            </w:tcBorders>
          </w:tcPr>
          <w:p>
            <w:pPr>
              <w:jc w:val="center"/>
            </w:pPr>
            <w:r>
              <w:t xml:space="preserve">9.8%</w:t>
            </w:r>
          </w:p>
        </w:tc>
      </w:tr>
      <w:tr>
        <w:tc>
          <w:tcPr>
            <w:tcBorders>
              <w:top w:val="single" w:color="CCCCCC" w:sz="1"/>
              <w:left w:val="single" w:color="CCCCCC" w:sz="1"/>
              <w:bottom w:val="single" w:color="CCCCCC" w:sz="1"/>
              <w:right w:val="single" w:color="CCCCCC" w:sz="1"/>
            </w:tcBorders>
          </w:tcPr>
          <w:p>
            <w:r>
              <w:t xml:space="preserve">🟡 JDE Peets</w:t>
            </w:r>
          </w:p>
        </w:tc>
        <w:tc>
          <w:tcPr>
            <w:tcBorders>
              <w:top w:val="single" w:color="CCCCCC" w:sz="1"/>
              <w:left w:val="single" w:color="CCCCCC" w:sz="1"/>
              <w:bottom w:val="single" w:color="CCCCCC" w:sz="1"/>
              <w:right w:val="single" w:color="CCCCCC" w:sz="1"/>
            </w:tcBorders>
          </w:tcPr>
          <w:p>
            <w:pPr>
              <w:jc w:val="center"/>
            </w:pPr>
            <w:r>
              <w:t xml:space="preserve">3</w:t>
            </w:r>
          </w:p>
        </w:tc>
        <w:tc>
          <w:tcPr>
            <w:tcBorders>
              <w:top w:val="single" w:color="CCCCCC" w:sz="1"/>
              <w:left w:val="single" w:color="CCCCCC" w:sz="1"/>
              <w:bottom w:val="single" w:color="CCCCCC" w:sz="1"/>
              <w:right w:val="single" w:color="CCCCCC" w:sz="1"/>
            </w:tcBorders>
          </w:tcPr>
          <w:p>
            <w:pPr>
              <w:jc w:val="center"/>
            </w:pPr>
            <w:r>
              <w:t xml:space="preserve">0.53</w:t>
            </w:r>
          </w:p>
        </w:tc>
        <w:tc>
          <w:tcPr>
            <w:tcBorders>
              <w:top w:val="single" w:color="CCCCCC" w:sz="1"/>
              <w:left w:val="single" w:color="CCCCCC" w:sz="1"/>
              <w:bottom w:val="single" w:color="CCCCCC" w:sz="1"/>
              <w:right w:val="single" w:color="CCCCCC" w:sz="1"/>
            </w:tcBorders>
          </w:tcPr>
          <w:p>
            <w:pPr>
              <w:jc w:val="center"/>
            </w:pPr>
            <w:r>
              <w:t xml:space="preserve">$648M</w:t>
            </w:r>
          </w:p>
        </w:tc>
        <w:tc>
          <w:tcPr>
            <w:tcBorders>
              <w:top w:val="single" w:color="CCCCCC" w:sz="1"/>
              <w:left w:val="single" w:color="CCCCCC" w:sz="1"/>
              <w:bottom w:val="single" w:color="CCCCCC" w:sz="1"/>
              <w:right w:val="single" w:color="CCCCCC" w:sz="1"/>
            </w:tcBorders>
          </w:tcPr>
          <w:p>
            <w:pPr>
              <w:jc w:val="center"/>
            </w:pPr>
            <w:r>
              <w:t xml:space="preserve">8.0%</w:t>
            </w:r>
          </w:p>
        </w:tc>
      </w:tr>
      <w:tr>
        <w:tc>
          <w:tcPr>
            <w:tcBorders>
              <w:top w:val="single" w:color="CCCCCC" w:sz="1"/>
              <w:left w:val="single" w:color="CCCCCC" w:sz="1"/>
              <w:bottom w:val="single" w:color="CCCCCC" w:sz="1"/>
              <w:right w:val="single" w:color="CCCCCC" w:sz="1"/>
            </w:tcBorders>
            <w:shd w:fill="E7F3FF" w:val="clear"/>
          </w:tcPr>
          <w:p>
            <w:r>
              <w:rPr>
                <w:b/>
                <w:bCs/>
              </w:rPr>
              <w:t xml:space="preserve">🟢 Starbucks</w:t>
            </w:r>
          </w:p>
        </w:tc>
        <w:tc>
          <w:tcPr>
            <w:tcBorders>
              <w:top w:val="single" w:color="CCCCCC" w:sz="1"/>
              <w:left w:val="single" w:color="CCCCCC" w:sz="1"/>
              <w:bottom w:val="single" w:color="CCCCCC" w:sz="1"/>
              <w:right w:val="single" w:color="CCCCCC" w:sz="1"/>
            </w:tcBorders>
            <w:shd w:fill="E7F3FF" w:val="clear"/>
          </w:tcPr>
          <w:p>
            <w:pPr>
              <w:jc w:val="center"/>
            </w:pPr>
            <w:r>
              <w:rPr>
                <w:b/>
                <w:bCs/>
              </w:rPr>
              <w:t xml:space="preserve">4 (Best)</w:t>
            </w:r>
          </w:p>
        </w:tc>
        <w:tc>
          <w:tcPr>
            <w:tcBorders>
              <w:top w:val="single" w:color="CCCCCC" w:sz="1"/>
              <w:left w:val="single" w:color="CCCCCC" w:sz="1"/>
              <w:bottom w:val="single" w:color="CCCCCC" w:sz="1"/>
              <w:right w:val="single" w:color="CCCCCC" w:sz="1"/>
            </w:tcBorders>
            <w:shd w:fill="E7F3FF" w:val="clear"/>
          </w:tcPr>
          <w:p>
            <w:pPr>
              <w:jc w:val="center"/>
            </w:pPr>
            <w:r>
              <w:rPr>
                <w:b/>
                <w:bCs/>
              </w:rPr>
              <w:t xml:space="preserve">0.46</w:t>
            </w:r>
          </w:p>
        </w:tc>
        <w:tc>
          <w:tcPr>
            <w:tcBorders>
              <w:top w:val="single" w:color="CCCCCC" w:sz="1"/>
              <w:left w:val="single" w:color="CCCCCC" w:sz="1"/>
              <w:bottom w:val="single" w:color="CCCCCC" w:sz="1"/>
              <w:right w:val="single" w:color="CCCCCC" w:sz="1"/>
            </w:tcBorders>
            <w:shd w:fill="E7F3FF" w:val="clear"/>
          </w:tcPr>
          <w:p>
            <w:pPr>
              <w:jc w:val="center"/>
            </w:pPr>
            <w:r>
              <w:rPr>
                <w:b/>
                <w:bCs/>
              </w:rPr>
              <w:t xml:space="preserve">$208M</w:t>
            </w:r>
          </w:p>
        </w:tc>
        <w:tc>
          <w:tcPr>
            <w:tcBorders>
              <w:top w:val="single" w:color="CCCCCC" w:sz="1"/>
              <w:left w:val="single" w:color="CCCCCC" w:sz="1"/>
              <w:bottom w:val="single" w:color="CCCCCC" w:sz="1"/>
              <w:right w:val="single" w:color="CCCCCC" w:sz="1"/>
            </w:tcBorders>
            <w:shd w:fill="E7F3FF" w:val="clear"/>
          </w:tcPr>
          <w:p>
            <w:pPr>
              <w:jc w:val="center"/>
            </w:pPr>
            <w:r>
              <w:rPr>
                <w:b/>
                <w:bCs/>
              </w:rPr>
              <w:t xml:space="preserve">2.7%</w:t>
            </w:r>
          </w:p>
        </w:tc>
      </w:tr>
      <w:tr>
        <w:tc>
          <w:tcPr>
            <w:tcBorders>
              <w:top w:val="single" w:color="CCCCCC" w:sz="1"/>
              <w:left w:val="single" w:color="CCCCCC" w:sz="1"/>
              <w:bottom w:val="single" w:color="CCCCCC" w:sz="1"/>
              <w:right w:val="single" w:color="CCCCCC" w:sz="1"/>
            </w:tcBorders>
          </w:tcPr>
          <w:p>
            <w:r>
              <w:t xml:space="preserve">🟢 Nestlé</w:t>
            </w:r>
          </w:p>
        </w:tc>
        <w:tc>
          <w:tcPr>
            <w:tcBorders>
              <w:top w:val="single" w:color="CCCCCC" w:sz="1"/>
              <w:left w:val="single" w:color="CCCCCC" w:sz="1"/>
              <w:bottom w:val="single" w:color="CCCCCC" w:sz="1"/>
              <w:right w:val="single" w:color="CCCCCC" w:sz="1"/>
            </w:tcBorders>
          </w:tcPr>
          <w:p>
            <w:pPr>
              <w:jc w:val="center"/>
            </w:pPr>
            <w:r>
              <w:t xml:space="preserve">5</w:t>
            </w:r>
          </w:p>
        </w:tc>
        <w:tc>
          <w:tcPr>
            <w:tcBorders>
              <w:top w:val="single" w:color="CCCCCC" w:sz="1"/>
              <w:left w:val="single" w:color="CCCCCC" w:sz="1"/>
              <w:bottom w:val="single" w:color="CCCCCC" w:sz="1"/>
              <w:right w:val="single" w:color="CCCCCC" w:sz="1"/>
            </w:tcBorders>
          </w:tcPr>
          <w:p>
            <w:pPr>
              <w:jc w:val="center"/>
            </w:pPr>
            <w:r>
              <w:t xml:space="preserve">0.41</w:t>
            </w:r>
          </w:p>
        </w:tc>
        <w:tc>
          <w:tcPr>
            <w:tcBorders>
              <w:top w:val="single" w:color="CCCCCC" w:sz="1"/>
              <w:left w:val="single" w:color="CCCCCC" w:sz="1"/>
              <w:bottom w:val="single" w:color="CCCCCC" w:sz="1"/>
              <w:right w:val="single" w:color="CCCCCC" w:sz="1"/>
            </w:tcBorders>
          </w:tcPr>
          <w:p>
            <w:pPr>
              <w:jc w:val="center"/>
            </w:pPr>
            <w:r>
              <w:t xml:space="preserve">$641M</w:t>
            </w:r>
          </w:p>
        </w:tc>
        <w:tc>
          <w:tcPr>
            <w:tcBorders>
              <w:top w:val="single" w:color="CCCCCC" w:sz="1"/>
              <w:left w:val="single" w:color="CCCCCC" w:sz="1"/>
              <w:bottom w:val="single" w:color="CCCCCC" w:sz="1"/>
              <w:right w:val="single" w:color="CCCCCC" w:sz="1"/>
            </w:tcBorders>
          </w:tcPr>
          <w:p>
            <w:pPr>
              <w:jc w:val="center"/>
            </w:pPr>
            <w:r>
              <w:t xml:space="preserve">6.2%</w:t>
            </w:r>
          </w:p>
        </w:tc>
      </w:tr>
    </w:tbl>
    <w:p>
      <w:pPr>
        <w:spacing w:before="120" w:after="120"/>
      </w:pPr>
      <w:r>
        <w:t xml:space="preserve"/>
      </w:r>
    </w:p>
    <w:p>
      <w:pPr>
        <w:pStyle w:val="Heading2"/>
      </w:pPr>
      <w:r>
        <w:t xml:space="preserve">Starbucks' Competitive Advantages</w:t>
      </w:r>
    </w:p>
    <w:p>
      <w:pPr>
        <w:pStyle w:val="ListParagraph"/>
        <w:numPr>
          <w:ilvl w:val="0"/>
          <w:numId w:val="3"/>
        </w:numPr>
      </w:pPr>
      <w:r>
        <w:rPr>
          <w:b/>
          <w:bCs/>
        </w:rPr>
        <w:t xml:space="preserve">Low concentration risk: </w:t>
      </w:r>
      <w:r>
        <w:t xml:space="preserve">17.5% top-3 concentration vs. 38-60% for competitors</w:t>
      </w:r>
    </w:p>
    <w:p>
      <w:pPr>
        <w:pStyle w:val="ListParagraph"/>
        <w:numPr>
          <w:ilvl w:val="0"/>
          <w:numId w:val="3"/>
        </w:numPr>
      </w:pPr>
      <w:r>
        <w:rPr>
          <w:b/>
          <w:bCs/>
        </w:rPr>
        <w:t xml:space="preserve">High-elevation portfolio: </w:t>
      </w:r>
      <w:r>
        <w:t xml:space="preserve">85% of sourcing faces minimal climate stress (&lt;2% yield loss)</w:t>
      </w:r>
    </w:p>
    <w:p>
      <w:pPr>
        <w:pStyle w:val="ListParagraph"/>
        <w:numPr>
          <w:ilvl w:val="0"/>
          <w:numId w:val="3"/>
        </w:numPr>
      </w:pPr>
      <w:r>
        <w:rPr>
          <w:b/>
          <w:bCs/>
        </w:rPr>
        <w:t xml:space="preserve">TCFD leadership: </w:t>
      </w:r>
      <w:r>
        <w:t xml:space="preserve">Only company with TCFD-aligned disclosure (Nestlé is TCFD-compliant but others lag)</w:t>
      </w:r>
    </w:p>
    <w:p>
      <w:pPr>
        <w:pStyle w:val="ListParagraph"/>
        <w:numPr>
          <w:ilvl w:val="0"/>
          <w:numId w:val="3"/>
        </w:numPr>
      </w:pPr>
      <w:r>
        <w:rPr>
          <w:b/>
          <w:bCs/>
        </w:rPr>
        <w:t xml:space="preserve">Lowest financial exposure: </w:t>
      </w:r>
      <w:r>
        <w:t xml:space="preserve">2.7% of revenue vs. 6-11% for peers</w:t>
      </w:r>
    </w:p>
    <w:p>
      <w:r>
        <w:br w:type="page"/>
      </w:r>
    </w:p>
    <w:p>
      <w:pPr>
        <w:pStyle w:val="Heading1"/>
      </w:pPr>
      <w:r>
        <w:t xml:space="preserve">7. STRATEGIC RECOMMENDATIONS</w:t>
      </w:r>
    </w:p>
    <w:p>
      <w:pPr>
        <w:pStyle w:val="Heading2"/>
      </w:pPr>
      <w:r>
        <w:t xml:space="preserve">Priority 1: IMMEDIATE (2025-2026)</w:t>
      </w:r>
    </w:p>
    <w:p>
      <w:pPr>
        <w:pStyle w:val="ListParagraph"/>
        <w:numPr>
          <w:ilvl w:val="0"/>
          <w:numId w:val="2"/>
        </w:numPr>
      </w:pPr>
      <w:r>
        <w:rPr>
          <w:b/>
          <w:bCs/>
        </w:rPr>
        <w:t xml:space="preserve">Implement 25-50% carbon price hedging</w:t>
      </w:r>
    </w:p>
    <w:p>
      <w:pPr>
        <w:pStyle w:val="ListParagraph"/>
        <w:numPr>
          <w:ilvl w:val="0"/>
          <w:numId w:val="2"/>
        </w:numPr>
      </w:pPr>
      <w:r>
        <w:rPr>
          <w:b/>
          <w:bCs/>
        </w:rPr>
        <w:t xml:space="preserve">Accelerate net-zero pathway: Begin Scope 3 emissions reductions now to avoid $2.3B carbon costs</w:t>
      </w:r>
    </w:p>
    <w:p>
      <w:pPr>
        <w:pStyle w:val="ListParagraph"/>
        <w:numPr>
          <w:ilvl w:val="0"/>
          <w:numId w:val="2"/>
        </w:numPr>
      </w:pPr>
      <w:r>
        <w:rPr>
          <w:b/>
          <w:bCs/>
        </w:rPr>
        <w:t xml:space="preserve">Scale farmer adaptation programs in medium-risk regions (Brazil, Colombia lowlands)</w:t>
      </w:r>
    </w:p>
    <w:p>
      <w:pPr>
        <w:pStyle w:val="Heading2"/>
        <w:spacing w:before="120"/>
      </w:pPr>
      <w:r>
        <w:t xml:space="preserve">Priority 2: MEDIUM-TERM (2027-2030)</w:t>
      </w:r>
    </w:p>
    <w:p>
      <w:pPr>
        <w:pStyle w:val="ListParagraph"/>
        <w:numPr>
          <w:ilvl w:val="0"/>
          <w:numId w:val="2"/>
        </w:numPr>
      </w:pPr>
      <w:r>
        <w:rPr>
          <w:b/>
          <w:bCs/>
        </w:rPr>
        <w:t xml:space="preserve">Expand sourcing in low-risk regions (+6,850 MT from Minas Gerais, Colombia, Guatemala)</w:t>
      </w:r>
    </w:p>
    <w:p>
      <w:pPr>
        <w:pStyle w:val="ListParagraph"/>
        <w:numPr>
          <w:ilvl w:val="0"/>
          <w:numId w:val="2"/>
        </w:numPr>
      </w:pPr>
      <w:r>
        <w:rPr>
          <w:b/>
          <w:bCs/>
        </w:rPr>
        <w:t xml:space="preserve">Develop climate-resilient coffee varieties with $150M R&amp;D investment</w:t>
      </w:r>
    </w:p>
    <w:p>
      <w:pPr>
        <w:pStyle w:val="ListParagraph"/>
        <w:numPr>
          <w:ilvl w:val="0"/>
          <w:numId w:val="2"/>
        </w:numPr>
      </w:pPr>
      <w:r>
        <w:rPr>
          <w:b/>
          <w:bCs/>
        </w:rPr>
        <w:t xml:space="preserve">Achieve 50% emissions reduction (2030 target) to manage transition risk</w:t>
      </w:r>
    </w:p>
    <w:p>
      <w:pPr>
        <w:pStyle w:val="Heading2"/>
        <w:spacing w:before="120"/>
      </w:pPr>
      <w:r>
        <w:t xml:space="preserve">Priority 3: LONG-TERM (2031-2050)</w:t>
      </w:r>
    </w:p>
    <w:p>
      <w:pPr>
        <w:pStyle w:val="ListParagraph"/>
        <w:numPr>
          <w:ilvl w:val="0"/>
          <w:numId w:val="2"/>
        </w:numPr>
      </w:pPr>
      <w:r>
        <w:rPr>
          <w:b/>
          <w:bCs/>
        </w:rPr>
        <w:t xml:space="preserve">Maintain 85%+ low-risk regional concentration through continuous monitoring and adaptation</w:t>
      </w:r>
    </w:p>
    <w:p>
      <w:pPr>
        <w:pStyle w:val="ListParagraph"/>
        <w:numPr>
          <w:ilvl w:val="0"/>
          <w:numId w:val="2"/>
        </w:numPr>
      </w:pPr>
      <w:r>
        <w:rPr>
          <w:b/>
          <w:bCs/>
        </w:rPr>
        <w:t xml:space="preserve">Achieve 95% emissions reduction and net-zero status by 2050</w:t>
      </w:r>
    </w:p>
    <w:p>
      <w:pPr>
        <w:pStyle w:val="Heading2"/>
        <w:spacing w:before="120"/>
      </w:pPr>
      <w:r>
        <w:t xml:space="preserve">Investment Roadmap</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2340"/>
        <w:gridCol w:w="2340"/>
        <w:gridCol w:w="2340"/>
        <w:gridCol w:w="2340"/>
      </w:tblGrid>
      <w:tr>
        <w:trPr>
          <w:tblHeader/>
        </w:trPr>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Initiative</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Investment</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Timeline</w:t>
            </w:r>
          </w:p>
        </w:tc>
        <w:tc>
          <w:tcPr>
            <w:tcBorders>
              <w:top w:val="single" w:color="CCCCCC" w:sz="1"/>
              <w:left w:val="single" w:color="CCCCCC" w:sz="1"/>
              <w:bottom w:val="single" w:color="CCCCCC" w:sz="1"/>
              <w:right w:val="single" w:color="CCCCCC" w:sz="1"/>
            </w:tcBorders>
            <w:shd w:fill="1F497D" w:val="clear"/>
          </w:tcPr>
          <w:p>
            <w:pPr>
              <w:jc w:val="center"/>
            </w:pPr>
            <w:r>
              <w:rPr>
                <w:b/>
                <w:bCs/>
                <w:color w:val="FFFFFF"/>
              </w:rPr>
              <w:t xml:space="preserve">Expected Benefit</w:t>
            </w:r>
          </w:p>
        </w:tc>
      </w:tr>
      <w:tr>
        <w:tc>
          <w:tcPr>
            <w:tcBorders>
              <w:top w:val="single" w:color="CCCCCC" w:sz="1"/>
              <w:left w:val="single" w:color="CCCCCC" w:sz="1"/>
              <w:bottom w:val="single" w:color="CCCCCC" w:sz="1"/>
              <w:right w:val="single" w:color="CCCCCC" w:sz="1"/>
            </w:tcBorders>
          </w:tcPr>
          <w:p>
            <w:r>
              <w:t xml:space="preserve">Farmer Adaptation</w:t>
            </w:r>
          </w:p>
        </w:tc>
        <w:tc>
          <w:tcPr>
            <w:tcBorders>
              <w:top w:val="single" w:color="CCCCCC" w:sz="1"/>
              <w:left w:val="single" w:color="CCCCCC" w:sz="1"/>
              <w:bottom w:val="single" w:color="CCCCCC" w:sz="1"/>
              <w:right w:val="single" w:color="CCCCCC" w:sz="1"/>
            </w:tcBorders>
          </w:tcPr>
          <w:p>
            <w:pPr>
              <w:jc w:val="center"/>
            </w:pPr>
            <w:r>
              <w:t xml:space="preserve">$180M</w:t>
            </w:r>
          </w:p>
        </w:tc>
        <w:tc>
          <w:tcPr>
            <w:tcBorders>
              <w:top w:val="single" w:color="CCCCCC" w:sz="1"/>
              <w:left w:val="single" w:color="CCCCCC" w:sz="1"/>
              <w:bottom w:val="single" w:color="CCCCCC" w:sz="1"/>
              <w:right w:val="single" w:color="CCCCCC" w:sz="1"/>
            </w:tcBorders>
          </w:tcPr>
          <w:p>
            <w:pPr>
              <w:jc w:val="center"/>
            </w:pPr>
            <w:r>
              <w:t xml:space="preserve">2025-2032</w:t>
            </w:r>
          </w:p>
        </w:tc>
        <w:tc>
          <w:tcPr>
            <w:tcBorders>
              <w:top w:val="single" w:color="CCCCCC" w:sz="1"/>
              <w:left w:val="single" w:color="CCCCCC" w:sz="1"/>
              <w:bottom w:val="single" w:color="CCCCCC" w:sz="1"/>
              <w:right w:val="single" w:color="CCCCCC" w:sz="1"/>
            </w:tcBorders>
          </w:tcPr>
          <w:p>
            <w:pPr>
              <w:jc w:val="center"/>
            </w:pPr>
            <w:r>
              <w:t xml:space="preserve">$760M avoided loss</w:t>
            </w:r>
          </w:p>
        </w:tc>
      </w:tr>
      <w:tr>
        <w:tc>
          <w:tcPr>
            <w:tcBorders>
              <w:top w:val="single" w:color="CCCCCC" w:sz="1"/>
              <w:left w:val="single" w:color="CCCCCC" w:sz="1"/>
              <w:bottom w:val="single" w:color="CCCCCC" w:sz="1"/>
              <w:right w:val="single" w:color="CCCCCC" w:sz="1"/>
            </w:tcBorders>
          </w:tcPr>
          <w:p>
            <w:r>
              <w:t xml:space="preserve">Regional Diversification</w:t>
            </w:r>
          </w:p>
        </w:tc>
        <w:tc>
          <w:tcPr>
            <w:tcBorders>
              <w:top w:val="single" w:color="CCCCCC" w:sz="1"/>
              <w:left w:val="single" w:color="CCCCCC" w:sz="1"/>
              <w:bottom w:val="single" w:color="CCCCCC" w:sz="1"/>
              <w:right w:val="single" w:color="CCCCCC" w:sz="1"/>
            </w:tcBorders>
          </w:tcPr>
          <w:p>
            <w:pPr>
              <w:jc w:val="center"/>
            </w:pPr>
            <w:r>
              <w:t xml:space="preserve">$220M</w:t>
            </w:r>
          </w:p>
        </w:tc>
        <w:tc>
          <w:tcPr>
            <w:tcBorders>
              <w:top w:val="single" w:color="CCCCCC" w:sz="1"/>
              <w:left w:val="single" w:color="CCCCCC" w:sz="1"/>
              <w:bottom w:val="single" w:color="CCCCCC" w:sz="1"/>
              <w:right w:val="single" w:color="CCCCCC" w:sz="1"/>
            </w:tcBorders>
          </w:tcPr>
          <w:p>
            <w:pPr>
              <w:jc w:val="center"/>
            </w:pPr>
            <w:r>
              <w:t xml:space="preserve">2026-2035</w:t>
            </w:r>
          </w:p>
        </w:tc>
        <w:tc>
          <w:tcPr>
            <w:tcBorders>
              <w:top w:val="single" w:color="CCCCCC" w:sz="1"/>
              <w:left w:val="single" w:color="CCCCCC" w:sz="1"/>
              <w:bottom w:val="single" w:color="CCCCCC" w:sz="1"/>
              <w:right w:val="single" w:color="CCCCCC" w:sz="1"/>
            </w:tcBorders>
          </w:tcPr>
          <w:p>
            <w:pPr>
              <w:jc w:val="center"/>
            </w:pPr>
            <w:r>
              <w:t xml:space="preserve">$840M avoided loss</w:t>
            </w:r>
          </w:p>
        </w:tc>
      </w:tr>
      <w:tr>
        <w:tc>
          <w:tcPr>
            <w:tcBorders>
              <w:top w:val="single" w:color="CCCCCC" w:sz="1"/>
              <w:left w:val="single" w:color="CCCCCC" w:sz="1"/>
              <w:bottom w:val="single" w:color="CCCCCC" w:sz="1"/>
              <w:right w:val="single" w:color="CCCCCC" w:sz="1"/>
            </w:tcBorders>
          </w:tcPr>
          <w:p>
            <w:r>
              <w:t xml:space="preserve">Climate-Resilient Varieties</w:t>
            </w:r>
          </w:p>
        </w:tc>
        <w:tc>
          <w:tcPr>
            <w:tcBorders>
              <w:top w:val="single" w:color="CCCCCC" w:sz="1"/>
              <w:left w:val="single" w:color="CCCCCC" w:sz="1"/>
              <w:bottom w:val="single" w:color="CCCCCC" w:sz="1"/>
              <w:right w:val="single" w:color="CCCCCC" w:sz="1"/>
            </w:tcBorders>
          </w:tcPr>
          <w:p>
            <w:pPr>
              <w:jc w:val="center"/>
            </w:pPr>
            <w:r>
              <w:t xml:space="preserve">$150M</w:t>
            </w:r>
          </w:p>
        </w:tc>
        <w:tc>
          <w:tcPr>
            <w:tcBorders>
              <w:top w:val="single" w:color="CCCCCC" w:sz="1"/>
              <w:left w:val="single" w:color="CCCCCC" w:sz="1"/>
              <w:bottom w:val="single" w:color="CCCCCC" w:sz="1"/>
              <w:right w:val="single" w:color="CCCCCC" w:sz="1"/>
            </w:tcBorders>
          </w:tcPr>
          <w:p>
            <w:pPr>
              <w:jc w:val="center"/>
            </w:pPr>
            <w:r>
              <w:t xml:space="preserve">2025-2040</w:t>
            </w:r>
          </w:p>
        </w:tc>
        <w:tc>
          <w:tcPr>
            <w:tcBorders>
              <w:top w:val="single" w:color="CCCCCC" w:sz="1"/>
              <w:left w:val="single" w:color="CCCCCC" w:sz="1"/>
              <w:bottom w:val="single" w:color="CCCCCC" w:sz="1"/>
              <w:right w:val="single" w:color="CCCCCC" w:sz="1"/>
            </w:tcBorders>
          </w:tcPr>
          <w:p>
            <w:pPr>
              <w:jc w:val="center"/>
            </w:pPr>
            <w:r>
              <w:t xml:space="preserve">$690M avoided loss</w:t>
            </w:r>
          </w:p>
        </w:tc>
      </w:tr>
      <w:tr>
        <w:tc>
          <w:tcPr>
            <w:tcBorders>
              <w:top w:val="single" w:color="CCCCCC" w:sz="1"/>
              <w:left w:val="single" w:color="CCCCCC" w:sz="1"/>
              <w:bottom w:val="single" w:color="CCCCCC" w:sz="1"/>
              <w:right w:val="single" w:color="CCCCCC" w:sz="1"/>
            </w:tcBorders>
          </w:tcPr>
          <w:p>
            <w:r>
              <w:t xml:space="preserve">Carbon Hedging</w:t>
            </w:r>
          </w:p>
        </w:tc>
        <w:tc>
          <w:tcPr>
            <w:tcBorders>
              <w:top w:val="single" w:color="CCCCCC" w:sz="1"/>
              <w:left w:val="single" w:color="CCCCCC" w:sz="1"/>
              <w:bottom w:val="single" w:color="CCCCCC" w:sz="1"/>
              <w:right w:val="single" w:color="CCCCCC" w:sz="1"/>
            </w:tcBorders>
          </w:tcPr>
          <w:p>
            <w:pPr>
              <w:jc w:val="center"/>
            </w:pPr>
            <w:r>
              <w:t xml:space="preserve">$150M</w:t>
            </w:r>
          </w:p>
        </w:tc>
        <w:tc>
          <w:tcPr>
            <w:tcBorders>
              <w:top w:val="single" w:color="CCCCCC" w:sz="1"/>
              <w:left w:val="single" w:color="CCCCCC" w:sz="1"/>
              <w:bottom w:val="single" w:color="CCCCCC" w:sz="1"/>
              <w:right w:val="single" w:color="CCCCCC" w:sz="1"/>
            </w:tcBorders>
          </w:tcPr>
          <w:p>
            <w:pPr>
              <w:jc w:val="center"/>
            </w:pPr>
            <w:r>
              <w:t xml:space="preserve">2025-ongoing</w:t>
            </w:r>
          </w:p>
        </w:tc>
        <w:tc>
          <w:tcPr>
            <w:tcBorders>
              <w:top w:val="single" w:color="CCCCCC" w:sz="1"/>
              <w:left w:val="single" w:color="CCCCCC" w:sz="1"/>
              <w:bottom w:val="single" w:color="CCCCCC" w:sz="1"/>
              <w:right w:val="single" w:color="CCCCCC" w:sz="1"/>
            </w:tcBorders>
          </w:tcPr>
          <w:p>
            <w:pPr>
              <w:jc w:val="center"/>
            </w:pPr>
            <w:r>
              <w:t xml:space="preserve">$666M if spike</w:t>
            </w:r>
          </w:p>
        </w:tc>
      </w:tr>
    </w:tbl>
    <w:p>
      <w:r>
        <w:br w:type="page"/>
      </w:r>
    </w:p>
    <w:p>
      <w:pPr>
        <w:pStyle w:val="Heading1"/>
      </w:pPr>
      <w:r>
        <w:t xml:space="preserve">8. TECHNICAL METHODOLOGY</w:t>
      </w:r>
    </w:p>
    <w:p>
      <w:pPr>
        <w:pStyle w:val="Heading2"/>
      </w:pPr>
      <w:r>
        <w:t xml:space="preserve">Data Sources</w:t>
      </w:r>
    </w:p>
    <w:p>
      <w:pPr>
        <w:pStyle w:val="ListParagraph"/>
        <w:numPr>
          <w:ilvl w:val="0"/>
          <w:numId w:val="3"/>
        </w:numPr>
      </w:pPr>
      <w:r>
        <w:t xml:space="preserve">Climate: CMIP6 models (CanESM5, CNRM-CM6-1, MIROC6) with SSP scenarios</w:t>
      </w:r>
    </w:p>
    <w:p>
      <w:pPr>
        <w:pStyle w:val="ListParagraph"/>
        <w:numPr>
          <w:ilvl w:val="0"/>
          <w:numId w:val="3"/>
        </w:numPr>
      </w:pPr>
      <w:r>
        <w:t xml:space="preserve">Financial: Starbucks 2023 SEC filings and ESG reports</w:t>
      </w:r>
    </w:p>
    <w:p>
      <w:pPr>
        <w:pStyle w:val="ListParagraph"/>
        <w:numPr>
          <w:ilvl w:val="0"/>
          <w:numId w:val="3"/>
        </w:numPr>
      </w:pPr>
      <w:r>
        <w:t xml:space="preserve">Agricultural: Published coffee-climate relationships and NGFS carbon prices</w:t>
      </w:r>
    </w:p>
    <w:p>
      <w:pPr>
        <w:pStyle w:val="Heading2"/>
        <w:spacing w:before="120"/>
      </w:pPr>
      <w:r>
        <w:t xml:space="preserve">Analytical Framework</w:t>
      </w:r>
    </w:p>
    <w:p>
      <w:pPr>
        <w:pStyle w:val="ListParagraph"/>
        <w:numPr>
          <w:ilvl w:val="0"/>
          <w:numId w:val="3"/>
        </w:numPr>
      </w:pPr>
      <w:r>
        <w:t xml:space="preserve">Stress calculation: Temperature (6-hour extremes), precipitation, compound events</w:t>
      </w:r>
    </w:p>
    <w:p>
      <w:pPr>
        <w:pStyle w:val="ListParagraph"/>
        <w:numPr>
          <w:ilvl w:val="0"/>
          <w:numId w:val="3"/>
        </w:numPr>
      </w:pPr>
      <w:r>
        <w:t xml:space="preserve">Yield modeling: Elevation-dependent stress-to-yield conversion functions</w:t>
      </w:r>
    </w:p>
    <w:p>
      <w:pPr>
        <w:pStyle w:val="ListParagraph"/>
        <w:numPr>
          <w:ilvl w:val="0"/>
          <w:numId w:val="3"/>
        </w:numPr>
      </w:pPr>
      <w:r>
        <w:t xml:space="preserve">Financial impact: DCF with 8% discount rate, elasticity adjustment, TCFD alignment</w:t>
      </w:r>
    </w:p>
    <w:p>
      <w:pPr>
        <w:pStyle w:val="Heading2"/>
        <w:spacing w:before="120"/>
      </w:pPr>
      <w:r>
        <w:t xml:space="preserve">Key Assumptions</w:t>
      </w:r>
    </w:p>
    <w:p>
      <w:pPr>
        <w:pStyle w:val="ListParagraph"/>
        <w:numPr>
          <w:ilvl w:val="0"/>
          <w:numId w:val="3"/>
        </w:numPr>
      </w:pPr>
      <w:r>
        <w:t xml:space="preserve">Coffee optimal conditions: 15-24°C, 1,200-2,000mm precipitation</w:t>
      </w:r>
    </w:p>
    <w:p>
      <w:pPr>
        <w:pStyle w:val="ListParagraph"/>
        <w:numPr>
          <w:ilvl w:val="0"/>
          <w:numId w:val="3"/>
        </w:numPr>
      </w:pPr>
      <w:r>
        <w:t xml:space="preserve">Price elasticity: -0.8 (from demand literature)</w:t>
      </w:r>
    </w:p>
    <w:p>
      <w:pPr>
        <w:pStyle w:val="ListParagraph"/>
        <w:numPr>
          <w:ilvl w:val="0"/>
          <w:numId w:val="3"/>
        </w:numPr>
      </w:pPr>
      <w:r>
        <w:t xml:space="preserve">Discount rate: 8% (standard for corporate financial analysis)</w:t>
      </w:r>
    </w:p>
    <w:p>
      <w:pPr>
        <w:pStyle w:val="ListParagraph"/>
        <w:numPr>
          <w:ilvl w:val="0"/>
          <w:numId w:val="3"/>
        </w:numPr>
      </w:pPr>
      <w:r>
        <w:t xml:space="preserve">Scenario timeframes: 2025-2050 (25-year horizon)</w:t>
      </w:r>
    </w:p>
    <w:p>
      <w:pPr>
        <w:spacing w:before="120" w:after="120"/>
      </w:pPr>
      <w:r>
        <w:t xml:space="preserve"/>
      </w:r>
    </w:p>
    <w:p>
      <w:pPr>
        <w:pStyle w:val="Heading2"/>
      </w:pPr>
      <w:r>
        <w:t xml:space="preserve">Limitations &amp; Disclaimers</w:t>
      </w:r>
    </w:p>
    <w:p>
      <w:pPr>
        <w:pStyle w:val="ListParagraph"/>
        <w:numPr>
          <w:ilvl w:val="0"/>
          <w:numId w:val="3"/>
        </w:numPr>
      </w:pPr>
      <w:r>
        <w:t xml:space="preserve">Analysis uses publicly available data with conservative assumptions</w:t>
      </w:r>
    </w:p>
    <w:p>
      <w:pPr>
        <w:pStyle w:val="ListParagraph"/>
        <w:numPr>
          <w:ilvl w:val="0"/>
          <w:numId w:val="3"/>
        </w:numPr>
      </w:pPr>
      <w:r>
        <w:t xml:space="preserve">Long-term projections subject to model uncertainty; scenarios bracket realistic range</w:t>
      </w:r>
    </w:p>
    <w:p>
      <w:pPr>
        <w:pStyle w:val="ListParagraph"/>
        <w:numPr>
          <w:ilvl w:val="0"/>
          <w:numId w:val="3"/>
        </w:numPr>
      </w:pPr>
      <w:r>
        <w:t xml:space="preserve">Does not account for technological breakthroughs or unforeseen climate impacts</w:t>
      </w:r>
    </w:p>
    <w:p>
      <w:pPr>
        <w:pStyle w:val="ListParagraph"/>
        <w:numPr>
          <w:ilvl w:val="0"/>
          <w:numId w:val="3"/>
        </w:numPr>
      </w:pPr>
      <w:r>
        <w:t xml:space="preserve">Financial figures represent estimated exposure; actual impact depends on strategic responses</w:t>
      </w:r>
    </w:p>
    <w:p>
      <w:r>
        <w:br w:type="page"/>
      </w:r>
    </w:p>
    <w:p>
      <w:pPr>
        <w:pStyle w:val="Heading1"/>
      </w:pPr>
      <w:r>
        <w:t xml:space="preserve">CONCLUSION</w:t>
      </w:r>
    </w:p>
    <w:p>
      <w:pPr>
        <w:spacing w:after="120"/>
      </w:pPr>
      <w:r>
        <w:t xml:space="preserve">Starbucks faces material climate-related financial risks totaling $27.6 billion (30-year NPV) under the most likely scenario. However, the company's strategic advantages—high-elevation sourcing, geographic diversification, and strong TCFD alignment—position it to outperform competitors and maintain supply chain resilience.</w:t>
      </w:r>
    </w:p>
    <w:p>
      <w:pPr>
        <w:spacing w:after="120"/>
      </w:pPr>
      <w:r>
        <w:t xml:space="preserve">With proactive investment in farmer adaptation, regional diversification, and carbon hedging, Starbucks can not only mitigate climate risks but also strengthen competitive positioning and achieve its net-zero 2050 commitment. The recommended investment of $700M delivers over $2.9B in avoided losses—a 4x return on investment.</w:t>
      </w:r>
    </w:p>
    <w:p>
      <w:pPr>
        <w:spacing w:after="240"/>
      </w:pPr>
      <w:r>
        <w:t xml:space="preserve">This analysis provides the quantitative foundation for board-level decision-making on climate strategy, capital allocation, and stakeholder disclosure.</w:t>
      </w:r>
    </w:p>
    <w:p>
      <w:pPr>
        <w:spacing w:before="120"/>
        <w:jc w:val="center"/>
      </w:pPr>
      <w:r>
        <w:t xml:space="preserve">— END OF PRESENTATION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Arial" w:cs="Arial" w:eastAsia="Arial" w:hAnsi="Arial"/>
      <w:b/>
      <w:bCs/>
      <w:color w:val="1F497D"/>
      <w:sz w:val="52"/>
      <w:szCs w:val="52"/>
    </w:rPr>
  </w:style>
  <w:style w:type="paragraph" w:styleId="Heading1">
    <w:name w:val="Heading 1"/>
    <w:basedOn w:val="Normal"/>
    <w:next w:val="Normal"/>
    <w:qFormat/>
    <w:pPr>
      <w:spacing w:before="240" w:after="120"/>
      <w:outlineLvl w:val="0"/>
    </w:pPr>
    <w:rPr>
      <w:rFonts w:ascii="Arial" w:cs="Arial" w:eastAsia="Arial" w:hAnsi="Arial"/>
      <w:b/>
      <w:bCs/>
      <w:color w:val="1F497D"/>
      <w:sz w:val="32"/>
      <w:szCs w:val="32"/>
    </w:rPr>
  </w:style>
  <w:style w:type="paragraph" w:styleId="Heading2">
    <w:name w:val="Heading 2"/>
    <w:basedOn w:val="Normal"/>
    <w:next w:val="Normal"/>
    <w:qFormat/>
    <w:pPr>
      <w:spacing w:before="180" w:after="100"/>
      <w:outlineLvl w:val="1"/>
    </w:pPr>
    <w:rPr>
      <w:rFonts w:ascii="Arial" w:cs="Arial" w:eastAsia="Arial" w:hAnsi="Arial"/>
      <w:b/>
      <w:bCs/>
      <w:color w:val="2E5C8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2025-12-04T20:50:13.013Z</dcterms:created>
  <dcterms:modified xsi:type="dcterms:W3CDTF">2025-12-04T20:50:13.014Z</dcterms:modified>
</cp:coreProperties>
</file>

<file path=docProps/custom.xml><?xml version="1.0" encoding="utf-8"?>
<Properties xmlns="http://schemas.openxmlformats.org/officeDocument/2006/custom-properties" xmlns:vt="http://schemas.openxmlformats.org/officeDocument/2006/docPropsVTypes"/>
</file>