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EB"/>
          <w:sz w:val="72"/>
          <w:szCs w:val="72"/>
        </w:rPr>
        <w:t xml:space="preserve">VHAGAR</w:t>
      </w:r>
    </w:p>
    <w:p>
      <w:pPr>
        <w:spacing w:after="40"/>
        <w:jc w:val="center"/>
      </w:pPr>
      <w:r>
        <w:rPr>
          <w:color w:val="111418"/>
          <w:sz w:val="30"/>
          <w:szCs w:val="30"/>
        </w:rPr>
        <w:t xml:space="preserve">Multi-Sensor Wildfire Intelligence</w:t>
      </w:r>
    </w:p>
    <w:p>
      <w:pPr>
        <w:spacing w:after="400"/>
        <w:jc w:val="center"/>
      </w:pPr>
      <w:r>
        <w:rPr>
          <w:color w:val="5A6472"/>
          <w:sz w:val="24"/>
          <w:szCs w:val="24"/>
        </w:rPr>
        <w:t>Detection, Burned Area, Danger, Spread, WUI, and Catastrophe Loss</w:t>
      </w:r>
    </w:p>
    <w:p>
      <w:pPr>
        <w:spacing w:after="40"/>
        <w:jc w:val="center"/>
      </w:pPr>
      <w:r>
        <w:rPr>
          <w:b/>
          <w:bCs/>
          <w:color w:val="111418"/>
          <w:sz w:val="34"/>
          <w:szCs w:val="34"/>
        </w:rPr>
        <w:t xml:space="preserve">End-to-End Technical Report</w:t>
      </w:r>
    </w:p>
    <w:p>
      <w:pPr>
        <w:spacing w:after="600"/>
        <w:jc w:val="center"/>
      </w:pPr>
      <w:r>
        <w:rPr>
          <w:i/>
          <w:iCs/>
          <w:color w:val="5A6472"/>
          <w:sz w:val="22"/>
          <w:szCs w:val="22"/>
        </w:rPr>
        <w:t xml:space="preserve">Architecture, methods, validation, platform, and live operations</w:t>
      </w:r>
    </w:p>
    <w:p>
      <w:pPr>
        <w:spacing w:after="20"/>
        <w:jc w:val="center"/>
      </w:pPr>
      <w:r>
        <w:rPr>
          <w:color w:val="111418"/>
          <w:sz w:val="22"/>
          <w:szCs w:val="22"/>
        </w:rPr>
        <w:t>Version 0.16  |  September 2026</w:t>
      </w:r>
    </w:p>
    <w:p>
      <w:pPr>
        <w:spacing w:after="20"/>
        <w:jc w:val="center"/>
      </w:pPr>
      <w:r>
        <w:rPr>
          <w:color w:val="5A6472"/>
          <w:sz w:val="20"/>
          <w:szCs w:val="20"/>
        </w:rPr>
        <w:t xml:space="preserve">Audience: engineers and technical reviewers</w:t>
      </w:r>
    </w:p>
    <w:p>
      <w:pPr>
        <w:spacing w:after="20"/>
        <w:jc w:val="center"/>
      </w:pPr>
      <w:r>
        <w:rPr>
          <w:color w:val="5A6472"/>
          <w:sz w:val="20"/>
          <w:szCs w:val="20"/>
        </w:rPr>
        <w:t xml:space="preserve">Repository: github.com/Ibekwemmanuel7/VHAGAR</w:t>
      </w:r>
    </w:p>
    <w:p>
      <w:pPr>
        <w:jc w:val="center"/>
      </w:pPr>
      <w:r>
        <w:rPr>
          <w:color w:val="5A6472"/>
          <w:sz w:val="20"/>
          <w:szCs w:val="20"/>
        </w:rPr>
        <w:t xml:space="preserve">Live console: vhagar-console.onrender.com/console</w:t>
      </w:r>
    </w:p>
    <w:p>
      <w:r>
        <w:br w:type="page"/>
      </w:r>
    </w:p>
    <w:p>
      <w:pPr>
        <w:pStyle w:val="Heading1"/>
      </w:pPr>
      <w:r>
        <w:t>Executive summary</w:t>
      </w:r>
    </w:p>
    <w:p>
      <w:pPr/>
      <w:r>
        <w:t>VHAGAR is a multi-sensor wildfire intelligence platform spanning five tiers: satellite fire detection (T1), burned-area and severity mapping (T2), fire danger (T3), fire spread (T4), and catastrophe loss (T5), unified by one design philosophy, a physics core with machine learning at the boundaries, and a strict measurement-honesty discipline of leakage-safe evaluation and proper scoring.</w:t>
      </w:r>
    </w:p>
    <w:p>
      <w:pPr/>
      <w:r>
        <w:t>The wildland-urban-interface extension adds ember spotting and structure-to-structure conflagration; on CAL FIRE DINS its leave-one-fire-out F1 of 0.75 does not beat a predict-all-destroyed baseline of 0.81, because the inspected structures are 51 to 94 percent destroyed, so it is reported as a base-rate-dominated prototype rather than a skill result. The catastrophe-loss tier reproduces the standard exceedance-probability chain and returns a historical descriptive average annual loss near $1.77B per year on the DINS record, an accounting and mathematics check rather than a predictive-loss validation.</w:t>
      </w:r>
    </w:p>
    <w:p>
      <w:pPr/>
      <w:r>
        <w:t>Results are reported with their limits stated plainly: synthetic figures are labelled as such, forward forecasts are described as directional projections rather than metered perimeters, and negative results, including the fuel-aware WUI regression, are documented rather than hidden. Sections 10 to 12 and the references cover the newest tiers and the standard datasets and methods on which the system rests.</w:t>
      </w:r>
    </w:p>
    <w:p>
      <w:pPr>
        <w:pStyle w:val="Heading1"/>
        <w:spacing w:after="120" w:before="280"/>
      </w:pPr>
      <w:r>
        <w:rPr>
          <w:b/>
          <w:bCs/>
          <w:color w:val="111418"/>
        </w:rPr>
        <w:t xml:space="preserve">Contents</w:t>
      </w:r>
    </w:p>
    <w:p>
      <w:pPr>
        <w:spacing w:after="80" w:line="288"/>
      </w:pPr>
      <w:r>
        <w:t>1. Introduction and design philosophy</w:t>
      </w:r>
    </w:p>
    <w:p>
      <w:pPr>
        <w:spacing w:after="80" w:line="288"/>
      </w:pPr>
      <w:r>
        <w:t>2. System architecture</w:t>
      </w:r>
    </w:p>
    <w:p>
      <w:pPr>
        <w:spacing w:after="80" w:line="288"/>
      </w:pPr>
      <w:r>
        <w:t>3. Data catalog</w:t>
      </w:r>
    </w:p>
    <w:p>
      <w:pPr>
        <w:spacing w:after="80" w:line="288"/>
      </w:pPr>
      <w:r>
        <w:t>4. Validation methodology and leakage discipline</w:t>
      </w:r>
    </w:p>
    <w:p>
      <w:pPr>
        <w:spacing w:after="80" w:line="288"/>
      </w:pPr>
      <w:r>
        <w:t>5. Physics core</w:t>
      </w:r>
    </w:p>
    <w:p>
      <w:pPr>
        <w:spacing w:after="80" w:line="288"/>
      </w:pPr>
      <w:r>
        <w:t>6. T1 detection</w:t>
      </w:r>
    </w:p>
    <w:p>
      <w:pPr>
        <w:spacing w:after="80" w:line="288"/>
      </w:pPr>
      <w:r>
        <w:t>7. T2 burned area and severity</w:t>
      </w:r>
    </w:p>
    <w:p>
      <w:pPr>
        <w:spacing w:after="80" w:line="288"/>
      </w:pPr>
      <w:r>
        <w:t>8. T3 fire danger</w:t>
      </w:r>
    </w:p>
    <w:p>
      <w:pPr>
        <w:spacing w:after="80" w:line="288"/>
      </w:pPr>
      <w:r>
        <w:t>9. T4 spread</w:t>
      </w:r>
    </w:p>
    <w:p>
      <w:pPr>
        <w:spacing w:after="80" w:line="288"/>
      </w:pPr>
      <w:r>
        <w:t>10. T4 WUI extension: ember spotting and structure loss</w:t>
      </w:r>
    </w:p>
    <w:p>
      <w:pPr>
        <w:spacing w:after="80" w:line="288"/>
      </w:pPr>
      <w:r>
        <w:t>11. T5 catastrophe loss and exceedance-probability curves</w:t>
      </w:r>
    </w:p>
    <w:p>
      <w:pPr>
        <w:spacing w:after="80" w:line="288"/>
      </w:pPr>
      <w:r>
        <w:t>12. Batch event catalogue and live-fire spread forecasts</w:t>
      </w:r>
    </w:p>
    <w:p>
      <w:pPr>
        <w:spacing w:after="80" w:line="288"/>
      </w:pPr>
      <w:r>
        <w:t>13. Serving platform</w:t>
      </w:r>
    </w:p>
    <w:p>
      <w:pPr>
        <w:spacing w:after="80" w:line="288"/>
      </w:pPr>
      <w:r>
        <w:t>14. Live multi-sensor near-real-time pipeline</w:t>
      </w:r>
    </w:p>
    <w:p>
      <w:pPr>
        <w:spacing w:after="80" w:line="288"/>
      </w:pPr>
      <w:r>
        <w:t>15. Deployment, continuous integration, and reproducibility</w:t>
      </w:r>
    </w:p>
    <w:p>
      <w:r>
        <w:br w:type="page"/>
      </w:r>
    </w:p>
    <w:p>
      <w:pPr/>
      <w:r>
        <w:t>16. Limitations and honest caveats</w:t>
      </w:r>
    </w:p>
    <w:p>
      <w:pPr/>
      <w:r>
        <w:t>17. Roadmap and status</w:t>
      </w:r>
    </w:p>
    <w:p>
      <w:pPr/>
      <w:r>
        <w:t>18. How to run: modules and scripts</w:t>
      </w:r>
    </w:p>
    <w:p>
      <w:pPr/>
      <w:r>
        <w:t>19. References and data sources</w:t>
      </w:r>
    </w:p>
    <w:p>
      <w:pPr>
        <w:pStyle w:val="Heading1"/>
        <w:spacing w:after="120" w:before="280"/>
      </w:pPr>
      <w:r>
        <w:rPr>
          <w:b/>
          <w:bCs/>
          <w:color w:val="111418"/>
        </w:rPr>
        <w:t xml:space="preserve">1. Introduction and design philosophy</w:t>
      </w:r>
    </w:p>
    <w:p>
      <w:pPr>
        <w:spacing w:after="120" w:line="276"/>
      </w:pPr>
      <w:r>
        <w:rPr>
          <w:b w:val="false"/>
          <w:bCs w:val="false"/>
          <w:i w:val="false"/>
          <w:iCs w:val="false"/>
          <w:color w:val="111418"/>
        </w:rPr>
        <w:t xml:space="preserve">VHAGAR is a multi-sensor wildfire intelligence platform. It answers four operationally distinct questions, each with its own unit of prediction, primary sensors, and validation regime. The four tasks are T1 detection (is something burning now, and where), T2 burned area and severity (what burned, and how badly), T3 fire danger (where is ignition likely, and how will a fire behave if it starts), and T4 spread (where does an active fire go in the next 12 to 72 hours).</w:t>
      </w:r>
    </w:p>
    <w:p>
      <w:pPr>
        <w:spacing w:after="120" w:line="276"/>
      </w:pPr>
      <w:r>
        <w:rPr>
          <w:b w:val="false"/>
          <w:bCs w:val="false"/>
          <w:i w:val="false"/>
          <w:iCs w:val="false"/>
          <w:color w:val="111418"/>
        </w:rPr>
        <w:t xml:space="preserve">The report is written for engineers. It documents the full pipeline from raw satellite ingestion through the research models to the deployed live console, and it preserves the project's defining discipline: every reported number states what it measured and is pressure-tested against a permanent no-skill baseline. Where first-cut numbers were inflated by leakage or a broken metric, they were retracted rather than banked; those episodes are documented because they are the most useful engineering lessons in the project.</w:t>
      </w:r>
    </w:p>
    <w:p>
      <w:pPr>
        <w:pStyle w:val="Heading2"/>
        <w:spacing w:after="80" w:before="200"/>
      </w:pPr>
      <w:r>
        <w:rPr>
          <w:b/>
          <w:bCs/>
          <w:color w:val="111418"/>
        </w:rPr>
        <w:t xml:space="preserve">1.1 The eight design principles</w:t>
      </w:r>
    </w:p>
    <w:p>
      <w:pPr>
        <w:pStyle w:val="ListParagraph"/>
        <w:numPr>
          <w:ilvl w:val="0"/>
          <w:numId w:val="1"/>
        </w:numPr>
        <w:spacing w:after="60" w:line="264"/>
      </w:pPr>
      <w:r>
        <w:rPr>
          <w:color w:val="111418"/>
        </w:rPr>
        <w:t xml:space="preserve">Physics core, machine learning at the boundaries. Operational physics (contextual thermal detection, the Canadian Fire Weather Index and fuel-moisture codes, level-set fire propagation) is retained as a first-class component. Machine learning is placed only where it demonstrably wins: event-level classification, state estimation from noisy multi-sensor observations, simulator emulation, and residual correction.</w:t>
      </w:r>
    </w:p>
    <w:p>
      <w:pPr>
        <w:pStyle w:val="ListParagraph"/>
        <w:numPr>
          <w:ilvl w:val="0"/>
          <w:numId w:val="1"/>
        </w:numPr>
        <w:spacing w:after="60" w:line="264"/>
      </w:pPr>
      <w:r>
        <w:rPr>
          <w:color w:val="111418"/>
        </w:rPr>
        <w:t xml:space="preserve">Physics is structure, not a feature. The Planck function, the Dozier mixture, the Wooster fire-radiative-power equation, and atmospheric transmittance are built in as constraints and differentiable layers, not learned from scratch.</w:t>
      </w:r>
    </w:p>
    <w:p>
      <w:pPr>
        <w:pStyle w:val="ListParagraph"/>
        <w:numPr>
          <w:ilvl w:val="0"/>
          <w:numId w:val="1"/>
        </w:numPr>
        <w:spacing w:after="60" w:line="264"/>
      </w:pPr>
      <w:r>
        <w:rPr>
          <w:color w:val="111418"/>
        </w:rPr>
        <w:t xml:space="preserve">Every number ships with uncertainty. Burned area is an Olofsson error-adjusted area estimate with a 95 percent confidence interval, never a raw pixel count. Calibration is a release gate.</w:t>
      </w:r>
    </w:p>
    <w:p>
      <w:pPr>
        <w:pStyle w:val="ListParagraph"/>
        <w:numPr>
          <w:ilvl w:val="0"/>
          <w:numId w:val="1"/>
        </w:numPr>
        <w:spacing w:after="60" w:line="264"/>
      </w:pPr>
      <w:r>
        <w:rPr>
          <w:color w:val="111418"/>
        </w:rPr>
        <w:t xml:space="preserve">No leakage by construction. Splits are blocked by event, space, and time. A random split raises NotImplementedError; there is no flag to turn it off.</w:t>
      </w:r>
    </w:p>
    <w:p>
      <w:pPr>
        <w:pStyle w:val="ListParagraph"/>
        <w:numPr>
          <w:ilvl w:val="0"/>
          <w:numId w:val="1"/>
        </w:numPr>
        <w:spacing w:after="60" w:line="264"/>
      </w:pPr>
      <w:r>
        <w:rPr>
          <w:color w:val="111418"/>
        </w:rPr>
        <w:t xml:space="preserve">Baselines are permanent. Persistence, persistence plus a calibrated buffer, a calibrated spectral threshold, and a physics simulator running on identical inputs are reported alongside every model, forever.</w:t>
      </w:r>
    </w:p>
    <w:p>
      <w:pPr>
        <w:pStyle w:val="ListParagraph"/>
        <w:numPr>
          <w:ilvl w:val="0"/>
          <w:numId w:val="1"/>
        </w:numPr>
        <w:spacing w:after="60" w:line="264"/>
      </w:pPr>
      <w:r>
        <w:rPr>
          <w:color w:val="111418"/>
        </w:rPr>
        <w:t xml:space="preserve">One analysis grid. A single equal-area 375 metre grid per region, matching the VIIRS I-band native resolution.</w:t>
      </w:r>
    </w:p>
    <w:p>
      <w:pPr>
        <w:pStyle w:val="ListParagraph"/>
        <w:numPr>
          <w:ilvl w:val="0"/>
          <w:numId w:val="1"/>
        </w:numPr>
        <w:spacing w:after="60" w:line="264"/>
      </w:pPr>
      <w:r>
        <w:rPr>
          <w:color w:val="111418"/>
        </w:rPr>
        <w:t xml:space="preserve">Latency tiers are products. A zero-day provisional tier and a consolidated tier are both shipped, and the gap between them is published rather than hidden.</w:t>
      </w:r>
    </w:p>
    <w:p>
      <w:pPr>
        <w:pStyle w:val="ListParagraph"/>
        <w:numPr>
          <w:ilvl w:val="0"/>
          <w:numId w:val="1"/>
        </w:numPr>
        <w:spacing w:after="60" w:line="264"/>
      </w:pPr>
      <w:r>
        <w:rPr>
          <w:color w:val="111418"/>
        </w:rPr>
        <w:t xml:space="preserve">Cloud-native, resumable, reproducible. Zarr and Icechunk for arrays, GeoParquet for tables, pinned GDAL and PROJ, and determinism checks that require bitwise-identical output.</w:t>
      </w:r>
    </w:p>
    <w:p>
      <w:pPr>
        <w:pStyle w:val="Heading2"/>
        <w:spacing w:after="80" w:before="200"/>
      </w:pPr>
      <w:r>
        <w:rPr>
          <w:b/>
          <w:bCs/>
          <w:color w:val="111418"/>
        </w:rPr>
        <w:t xml:space="preserve">1.2 The measurement-honesty rules</w:t>
      </w:r>
    </w:p>
    <w:p>
      <w:pPr>
        <w:spacing w:after="120" w:line="276"/>
      </w:pPr>
      <w:r>
        <w:rPr>
          <w:b w:val="false"/>
          <w:bCs w:val="false"/>
          <w:i w:val="false"/>
          <w:iCs w:val="false"/>
          <w:color w:val="111418"/>
        </w:rPr>
        <w:t xml:space="preserve">Two rules govern every result. First, every measurement must state what it measured. Second, never compare two numbers unless they walked the same code path. A result with no fold standard deviation and no baseline is not treated as a result. On spread, improvements below roughly 0.08 average precision are within fold noise and must be described as such. The permanent no-skill baseline exists to catch inflated numbers, and it did so repeatedly across all four tasks.</w:t>
      </w:r>
    </w:p>
    <w:p>
      <w:pPr>
        <w:pStyle w:val="Heading1"/>
        <w:spacing w:after="120" w:before="280"/>
      </w:pPr>
      <w:r>
        <w:rPr>
          <w:b/>
          <w:bCs/>
          <w:color w:val="111418"/>
        </w:rPr>
        <w:t xml:space="preserve">2. System architecture</w:t>
      </w:r>
    </w:p>
    <w:p>
      <w:pPr>
        <w:pStyle w:val="Heading2"/>
        <w:spacing w:after="80" w:before="200"/>
      </w:pPr>
      <w:r>
        <w:rPr>
          <w:b/>
          <w:bCs/>
          <w:color w:val="111418"/>
        </w:rPr>
        <w:t xml:space="preserve">2.1 The analysis grid and tiling</w:t>
      </w:r>
    </w:p>
    <w:p>
      <w:pPr>
        <w:spacing w:after="120" w:line="276"/>
      </w:pPr>
      <w:r>
        <w:rPr>
          <w:b w:val="false"/>
          <w:bCs w:val="false"/>
          <w:i w:val="false"/>
          <w:iCs w:val="false"/>
          <w:color w:val="111418"/>
        </w:rPr>
        <w:t xml:space="preserve">All quantities are resampled onto one equal-area 375 metre grid per region, chosen to match the VIIRS I-band native resolution so that the finest routine active-fire sensor is never upsampled. Regional coordinate reference systems are EPSG:5070 for the continental United States, EPSG:3979 for Canada, and EPSG:3035 for Europe. Tiles are 256 by 256 cells, roughly 96 kilometres square, with a 32-cell halo so neighbourhood operations do not read across tile seams. The tile identifier is the spatial-split primitive: models are blocked by tile, not by pixel.</w:t>
      </w:r>
    </w:p>
    <w:p>
      <w:pPr>
        <w:spacing w:after="120" w:line="276"/>
      </w:pPr>
      <w:r>
        <w:rPr>
          <w:b w:val="false"/>
          <w:bCs w:val="false"/>
          <w:i w:val="false"/>
          <w:iCs w:val="false"/>
          <w:color w:val="111418"/>
        </w:rPr>
        <w:t xml:space="preserve">Resampling policy is fixed by the physical type of the quantity, not chosen per run. Swath radiance uses nearest-neighbour (pyresample). Gridded continuous fields use bilinear or cubic (odc-geo). Flux-like quantities such as fire radiative power, precipitation, and burned-area fraction use conservative regridding (xesmf), with mass conservation asserted in unit tests. Categorical layers use mode or nearest. Polygon-to-grid conversion is exact area-weighted (exactextract).</w:t>
      </w:r>
    </w:p>
    <w:p>
      <w:pPr>
        <w:pStyle w:val="Heading2"/>
        <w:spacing w:after="80" w:before="200"/>
      </w:pPr>
      <w:r>
        <w:rPr>
          <w:b/>
          <w:bCs/>
          <w:color w:val="111418"/>
        </w:rPr>
        <w:t xml:space="preserve">2.2 Latency tiers and reproducibility</w:t>
      </w:r>
    </w:p>
    <w:p>
      <w:pPr>
        <w:spacing w:after="120" w:line="276"/>
      </w:pPr>
      <w:r>
        <w:rPr>
          <w:b w:val="false"/>
          <w:bCs w:val="false"/>
          <w:i w:val="false"/>
          <w:iCs w:val="false"/>
          <w:color w:val="111418"/>
        </w:rPr>
        <w:t xml:space="preserve">Products ship in latency tiers rather than a single delayed answer. A zero-day provisional detection and a consolidated later product are both released, and the difference is published. Arrays are stored as Zarr with Icechunk transactions; tabular data is GeoParquet; the geospatial stack (GDAL, PROJ) is pinned. Continuous integration includes a georeferencing golden test, a coordinate-reference round-trip invariance test, a conservative-regrid mass-conservation test on fire radiative power, and a determinism check that requires bitwise-identical output across runs.</w:t>
      </w:r>
    </w:p>
    <w:p>
      <w:pPr>
        <w:pStyle w:val="Heading1"/>
        <w:spacing w:after="120" w:before="280"/>
      </w:pPr>
      <w:r>
        <w:rPr>
          <w:b/>
          <w:bCs/>
          <w:color w:val="111418"/>
        </w:rPr>
        <w:t xml:space="preserve">3. Data catalog</w:t>
      </w:r>
    </w:p>
    <w:p>
      <w:pPr>
        <w:spacing w:after="120" w:line="276"/>
      </w:pPr>
      <w:r>
        <w:rPr>
          <w:b w:val="false"/>
          <w:bCs w:val="false"/>
          <w:i w:val="false"/>
          <w:iCs w:val="false"/>
          <w:color w:val="111418"/>
        </w:rPr>
        <w:t xml:space="preserve">VHAGAR is a fusion system, so the data catalog is large. The tables below summarise the primary sensors and reference datasets by task. Resolutions and cadences are the operative figures used in the pipeline.</w:t>
      </w:r>
    </w:p>
    <w:p>
      <w:pPr>
        <w:pStyle w:val="Heading3"/>
        <w:spacing w:after="60" w:before="150"/>
      </w:pPr>
      <w:r>
        <w:rPr>
          <w:b/>
          <w:bCs/>
          <w:color w:val="1F6FEB"/>
        </w:rPr>
        <w:t xml:space="preserve">3.1 Active fire and thermal (T1)</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536"/>
        <w:gridCol w:w="1456"/>
        <w:gridCol w:w="4368"/>
      </w:tblGrid>
      <w:tr>
        <w:trPr>
          <w:tblHeader/>
        </w:trPr>
        <w:tc>
          <w:tcPr>
            <w:tcW w:type="dxa" w:w="3536"/>
            <w:shd w:fill="EAF1FB" w:color="auto" w:val="clear"/>
            <w:tcMar>
              <w:top w:type="dxa" w:w="40"/>
              <w:left w:type="dxa" w:w="90"/>
              <w:bottom w:type="dxa" w:w="40"/>
              <w:right w:type="dxa" w:w="90"/>
            </w:tcMar>
          </w:tcPr>
          <w:p>
            <w:pPr>
              <w:spacing w:after="0" w:line="252"/>
              <w:jc w:val="left"/>
            </w:pPr>
            <w:r>
              <w:rPr>
                <w:b/>
                <w:bCs/>
                <w:color w:val="111418"/>
                <w:sz w:val="19"/>
                <w:szCs w:val="19"/>
              </w:rPr>
              <w:t xml:space="preserve">Source</w:t>
            </w:r>
          </w:p>
        </w:tc>
        <w:tc>
          <w:tcPr>
            <w:tcW w:type="dxa" w:w="1456"/>
            <w:shd w:fill="EAF1FB" w:color="auto" w:val="clear"/>
            <w:tcMar>
              <w:top w:type="dxa" w:w="40"/>
              <w:left w:type="dxa" w:w="90"/>
              <w:bottom w:type="dxa" w:w="40"/>
              <w:right w:type="dxa" w:w="90"/>
            </w:tcMar>
          </w:tcPr>
          <w:p>
            <w:pPr>
              <w:spacing w:after="0" w:line="252"/>
              <w:jc w:val="left"/>
            </w:pPr>
            <w:r>
              <w:rPr>
                <w:b/>
                <w:bCs/>
                <w:color w:val="111418"/>
                <w:sz w:val="19"/>
                <w:szCs w:val="19"/>
              </w:rPr>
              <w:t xml:space="preserve">Resolution</w:t>
            </w:r>
          </w:p>
        </w:tc>
        <w:tc>
          <w:tcPr>
            <w:tcW w:type="dxa" w:w="4368"/>
            <w:shd w:fill="EAF1FB" w:color="auto" w:val="clear"/>
            <w:tcMar>
              <w:top w:type="dxa" w:w="40"/>
              <w:left w:type="dxa" w:w="90"/>
              <w:bottom w:type="dxa" w:w="40"/>
              <w:right w:type="dxa" w:w="90"/>
            </w:tcMar>
          </w:tcPr>
          <w:p>
            <w:pPr>
              <w:spacing w:after="0" w:line="252"/>
              <w:jc w:val="left"/>
            </w:pPr>
            <w:r>
              <w:rPr>
                <w:b/>
                <w:bCs/>
                <w:color w:val="111418"/>
                <w:sz w:val="19"/>
                <w:szCs w:val="19"/>
              </w:rPr>
              <w:t xml:space="preserve">Cadence / role</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VIIRS I-band active fire (S-NPP, NOAA-20, NOAA-21)</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375 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~2x per day; primary LEO active fire</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GOES-19 ABI L2 FDC (East), GOES-18 (West)</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2 km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5 min CONUS; primary GEO active fire, NOAA S3</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MTG-I FCI L2 Fire (Europe)</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1 km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10 min; demonstration status</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MSG SEVIRI FRP-PIXEL (Europe)</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3 km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15 min; legacy</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Sentinel-3 SLSTR FRP</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1 km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~1x per day; gas-flare discrimination at 2.25 um</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MODIS MOD14 / MYD14 (Terra, Aqua)</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1 km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legacy; instruments sunsetting late 2026</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NOAA HMS</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vector</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analyst quality-controlled; best human-verified CONUS labels</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FIRMS Static Thermal Anomalies</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400 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persistent industrial and volcanic mask</w:t>
            </w:r>
          </w:p>
        </w:tc>
      </w:tr>
    </w:tbl>
    <w:p>
      <w:pPr>
        <w:spacing w:after="120" w:line="276"/>
      </w:pPr>
      <w:r>
        <w:rPr>
          <w:b w:val="false"/>
          <w:bCs w:val="false"/>
          <w:i/>
          <w:iCs/>
          <w:color w:val="5A6472"/>
        </w:rPr>
        <w:t xml:space="preserve">Latency reference: FIRMS ultra-real-time is roughly 25 seconds for MODIS and 50 seconds for VIIRS; GOES L2 FDC lands on S3 about 1 to 2 minutes after each scan; LANCE near-real-time is about 3 hours. Detection benchmarks used for method development include ActiveFire, Land8Fire, TS-SatFire (3,552 VIIRS images, 179 CONUS fires), and Sen2Fire.</w:t>
      </w:r>
    </w:p>
    <w:p>
      <w:pPr>
        <w:pStyle w:val="Heading3"/>
        <w:spacing w:after="60" w:before="150"/>
      </w:pPr>
      <w:r>
        <w:rPr>
          <w:b/>
          <w:bCs/>
          <w:color w:val="1F6FEB"/>
        </w:rPr>
        <w:t xml:space="preserve">3.2 Burned area and severity (T2)</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536"/>
        <w:gridCol w:w="1456"/>
        <w:gridCol w:w="4368"/>
      </w:tblGrid>
      <w:tr>
        <w:trPr>
          <w:tblHeader/>
        </w:trPr>
        <w:tc>
          <w:tcPr>
            <w:tcW w:type="dxa" w:w="3536"/>
            <w:shd w:fill="EAF1FB" w:color="auto" w:val="clear"/>
            <w:tcMar>
              <w:top w:type="dxa" w:w="40"/>
              <w:left w:type="dxa" w:w="90"/>
              <w:bottom w:type="dxa" w:w="40"/>
              <w:right w:type="dxa" w:w="90"/>
            </w:tcMar>
          </w:tcPr>
          <w:p>
            <w:pPr>
              <w:spacing w:after="0" w:line="252"/>
              <w:jc w:val="left"/>
            </w:pPr>
            <w:r>
              <w:rPr>
                <w:b/>
                <w:bCs/>
                <w:color w:val="111418"/>
                <w:sz w:val="19"/>
                <w:szCs w:val="19"/>
              </w:rPr>
              <w:t xml:space="preserve">Source</w:t>
            </w:r>
          </w:p>
        </w:tc>
        <w:tc>
          <w:tcPr>
            <w:tcW w:type="dxa" w:w="1456"/>
            <w:shd w:fill="EAF1FB" w:color="auto" w:val="clear"/>
            <w:tcMar>
              <w:top w:type="dxa" w:w="40"/>
              <w:left w:type="dxa" w:w="90"/>
              <w:bottom w:type="dxa" w:w="40"/>
              <w:right w:type="dxa" w:w="90"/>
            </w:tcMar>
          </w:tcPr>
          <w:p>
            <w:pPr>
              <w:spacing w:after="0" w:line="252"/>
              <w:jc w:val="left"/>
            </w:pPr>
            <w:r>
              <w:rPr>
                <w:b/>
                <w:bCs/>
                <w:color w:val="111418"/>
                <w:sz w:val="19"/>
                <w:szCs w:val="19"/>
              </w:rPr>
              <w:t xml:space="preserve">Resolution</w:t>
            </w:r>
          </w:p>
        </w:tc>
        <w:tc>
          <w:tcPr>
            <w:tcW w:type="dxa" w:w="4368"/>
            <w:shd w:fill="EAF1FB" w:color="auto" w:val="clear"/>
            <w:tcMar>
              <w:top w:type="dxa" w:w="40"/>
              <w:left w:type="dxa" w:w="90"/>
              <w:bottom w:type="dxa" w:w="40"/>
              <w:right w:type="dxa" w:w="90"/>
            </w:tcMar>
          </w:tcPr>
          <w:p>
            <w:pPr>
              <w:spacing w:after="0" w:line="252"/>
              <w:jc w:val="left"/>
            </w:pPr>
            <w:r>
              <w:rPr>
                <w:b/>
                <w:bCs/>
                <w:color w:val="111418"/>
                <w:sz w:val="19"/>
                <w:szCs w:val="19"/>
              </w:rPr>
              <w:t xml:space="preserve">Cadence / role</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MTBS (US)</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30 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1984 to 2024; continuous dNBR / RBR, not thematic class</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NBAC / CNFDB (Canada)</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30 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national burned area</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EFFIS burnt area (Europe)</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20 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Sentinel-2, since 2018</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Copernicus EMS (EMSR)</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varies</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held out entirely as a cross-continent test set</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Sentinel-2 L2A COG</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10 to 20 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primary optical imagery (s3://sentinel-cogs)</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Landsat Collection 2 L2</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30 m</w:t>
            </w:r>
          </w:p>
        </w:tc>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optical imagery (requester pays)</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Sentinel-1 GRD</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10 m</w:t>
            </w:r>
          </w:p>
        </w:tc>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SAR, cloud-penetrating</w:t>
            </w:r>
          </w:p>
        </w:tc>
      </w:tr>
    </w:tbl>
    <w:p>
      <w:pPr>
        <w:pStyle w:val="Heading3"/>
        <w:spacing w:after="60" w:before="150"/>
      </w:pPr>
      <w:r>
        <w:rPr>
          <w:b/>
          <w:bCs/>
          <w:color w:val="1F6FEB"/>
        </w:rPr>
        <w:t xml:space="preserve">3.3 Weather, fuels, and ignition drivers (T3 and T4)</w:t>
      </w:r>
    </w:p>
    <w:p>
      <w:pPr>
        <w:pStyle w:val="ListParagraph"/>
        <w:numPr>
          <w:ilvl w:val="0"/>
          <w:numId w:val="1"/>
        </w:numPr>
        <w:spacing w:after="60" w:line="264"/>
      </w:pPr>
      <w:r>
        <w:rPr>
          <w:color w:val="111418"/>
        </w:rPr>
        <w:t xml:space="preserve">Weather and climate: gridMET (4 km CONUS daily), gridMET DROUGHT (SPI, SPEI, EDDI, PDSI), ERA5 and ERA5-Land, HRRR (3 km hourly), RTMA and URMA (URMA as verification truth), ECMWF HRES and ENS, ECMWF AIFS v2, GFS, Daymet, PRISM.</w:t>
      </w:r>
    </w:p>
    <w:p>
      <w:pPr>
        <w:pStyle w:val="ListParagraph"/>
        <w:numPr>
          <w:ilvl w:val="0"/>
          <w:numId w:val="1"/>
        </w:numPr>
        <w:spacing w:after="60" w:line="264"/>
      </w:pPr>
      <w:r>
        <w:rPr>
          <w:color w:val="111418"/>
        </w:rPr>
        <w:t xml:space="preserve">Fuels and vegetation: LANDFIRE FBFM40 and FBFM13 fuel models and canopy metrics (US 30 m), CFFDRS FBP fuel types (Canada 30 m), FirEUrisk European fuel map (1 km, the only harmonised pan-EU map and coarse for spread), SMAP root-zone soil moisture (9 km), MODIS vegetation indices and land surface temperature, Globe-LFMC live fuel moisture.</w:t>
      </w:r>
    </w:p>
    <w:p>
      <w:pPr>
        <w:pStyle w:val="ListParagraph"/>
        <w:numPr>
          <w:ilvl w:val="0"/>
          <w:numId w:val="1"/>
        </w:numPr>
        <w:spacing w:after="60" w:line="264"/>
      </w:pPr>
      <w:r>
        <w:rPr>
          <w:color w:val="111418"/>
        </w:rPr>
        <w:t xml:space="preserve">Ignition drivers: FPA-FOD (about 2.3 million US records with cause, 1992 onward), CNFDB points (Canada), WorldPop and GHSL population, SILVIS and Global WUI wildland-urban interface, OSM and GRIP4 roads, HIFLD transmission lines, GOES GLM lightning plus NLDN and CLDN networks.</w:t>
      </w:r>
    </w:p>
    <w:p>
      <w:pPr>
        <w:pStyle w:val="ListParagraph"/>
        <w:numPr>
          <w:ilvl w:val="0"/>
          <w:numId w:val="1"/>
        </w:numPr>
        <w:spacing w:after="60" w:line="264"/>
      </w:pPr>
      <w:r>
        <w:rPr>
          <w:color w:val="111418"/>
        </w:rPr>
        <w:t xml:space="preserve">Perimeter and progression (T4): FEDS and VIIRS fire event data (375 m, 12-hour), NIROPS airborne infrared (metre-scale, the best available ground truth), the Canadian Fire Spread Dataset (180 m, 3,269 fires), and the Mesogeos datacube (Mediterranean, 25,722 events).</w:t>
      </w:r>
    </w:p>
    <w:p>
      <w:pPr>
        <w:pStyle w:val="ListParagraph"/>
        <w:numPr>
          <w:ilvl w:val="0"/>
          <w:numId w:val="1"/>
        </w:numPr>
        <w:spacing w:after="60" w:line="264"/>
      </w:pPr>
      <w:r>
        <w:rPr>
          <w:color w:val="111418"/>
        </w:rPr>
        <w:t xml:space="preserve">Climate stratification: the Koppen-Geiger raster (Beck et al., 1 km) assigns each fire a climate zone for per-stratum thresholding.</w:t>
      </w:r>
    </w:p>
    <w:p>
      <w:pPr>
        <w:pStyle w:val="Heading1"/>
        <w:spacing w:after="120" w:before="280"/>
      </w:pPr>
      <w:r>
        <w:rPr>
          <w:b/>
          <w:bCs/>
          <w:color w:val="111418"/>
        </w:rPr>
        <w:t xml:space="preserve">4. Validation methodology and leakage discipline</w:t>
      </w:r>
    </w:p>
    <w:p>
      <w:pPr>
        <w:spacing w:after="120" w:line="276"/>
      </w:pPr>
      <w:r>
        <w:rPr>
          <w:b w:val="false"/>
          <w:bCs w:val="false"/>
          <w:i w:val="false"/>
          <w:iCs w:val="false"/>
          <w:color w:val="111418"/>
        </w:rPr>
        <w:t xml:space="preserve">Almost every implausibly good wildfire machine-learning result is a leakage artifact. VHAGAR treats the validation contract as binding and enforces it in continuous integration. Three cautionary results motivate the discipline: a FIRMS wildfire versus non-wildfire classifier scores F1 0.985 under a random split, 0.767 under an event-aware split, and 0.627 under a 5-degree spatial block, with raw latitude and longitude supplying about 89 percent of the apparent gain while harming transfer. A burned-area severity model falls from R2 0.679 under leave-one-cluster-out to 0.616 under leave-one-fire-out. An MTBS-to-EMS segmentation transfer scores F1 0.735 with a standard deviation of 0.186 across 17 European sites, and the plus-or-minus 0.19 is the finding.</w:t>
      </w:r>
    </w:p>
    <w:p>
      <w:pPr>
        <w:pStyle w:val="Heading2"/>
        <w:spacing w:after="80" w:before="200"/>
      </w:pPr>
      <w:r>
        <w:rPr>
          <w:b/>
          <w:bCs/>
          <w:color w:val="111418"/>
        </w:rPr>
        <w:t xml:space="preserve">4.1 Required split schemes by task</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2080"/>
        <w:gridCol w:w="7280"/>
      </w:tblGrid>
      <w:tr>
        <w:trPr>
          <w:tblHeader/>
        </w:trPr>
        <w:tc>
          <w:tcPr>
            <w:tcW w:type="dxa" w:w="2080"/>
            <w:shd w:fill="EAF1FB" w:color="auto" w:val="clear"/>
            <w:tcMar>
              <w:top w:type="dxa" w:w="40"/>
              <w:left w:type="dxa" w:w="90"/>
              <w:bottom w:type="dxa" w:w="40"/>
              <w:right w:type="dxa" w:w="90"/>
            </w:tcMar>
          </w:tcPr>
          <w:p>
            <w:pPr>
              <w:spacing w:after="0" w:line="252"/>
              <w:jc w:val="left"/>
            </w:pPr>
            <w:r>
              <w:rPr>
                <w:b/>
                <w:bCs/>
                <w:color w:val="111418"/>
                <w:sz w:val="19"/>
                <w:szCs w:val="19"/>
              </w:rPr>
              <w:t xml:space="preserve">Task</w:t>
            </w:r>
          </w:p>
        </w:tc>
        <w:tc>
          <w:tcPr>
            <w:tcW w:type="dxa" w:w="7280"/>
            <w:shd w:fill="EAF1FB" w:color="auto" w:val="clear"/>
            <w:tcMar>
              <w:top w:type="dxa" w:w="40"/>
              <w:left w:type="dxa" w:w="90"/>
              <w:bottom w:type="dxa" w:w="40"/>
              <w:right w:type="dxa" w:w="90"/>
            </w:tcMar>
          </w:tcPr>
          <w:p>
            <w:pPr>
              <w:spacing w:after="0" w:line="252"/>
              <w:jc w:val="left"/>
            </w:pPr>
            <w:r>
              <w:rPr>
                <w:b/>
                <w:bCs/>
                <w:color w:val="111418"/>
                <w:sz w:val="19"/>
                <w:szCs w:val="19"/>
              </w:rPr>
              <w:t xml:space="preserve">Required blocking</w:t>
            </w:r>
          </w:p>
        </w:tc>
      </w:tr>
      <w:tr>
        <w:tc>
          <w:tcPr>
            <w:tcW w:type="dxa" w:w="2080"/>
            <w:tcMar>
              <w:top w:type="dxa" w:w="40"/>
              <w:left w:type="dxa" w:w="90"/>
              <w:bottom w:type="dxa" w:w="40"/>
              <w:right w:type="dxa" w:w="90"/>
            </w:tcMar>
          </w:tcPr>
          <w:p>
            <w:pPr>
              <w:spacing w:after="0" w:line="252"/>
              <w:jc w:val="left"/>
            </w:pPr>
            <w:r>
              <w:rPr>
                <w:b w:val="false"/>
                <w:bCs w:val="false"/>
                <w:color w:val="111418"/>
                <w:sz w:val="19"/>
                <w:szCs w:val="19"/>
              </w:rPr>
              <w:t xml:space="preserve">T1 detection</w:t>
            </w:r>
          </w:p>
        </w:tc>
        <w:tc>
          <w:tcPr>
            <w:tcW w:type="dxa" w:w="7280"/>
            <w:tcMar>
              <w:top w:type="dxa" w:w="40"/>
              <w:left w:type="dxa" w:w="90"/>
              <w:bottom w:type="dxa" w:w="40"/>
              <w:right w:type="dxa" w:w="90"/>
            </w:tcMar>
          </w:tcPr>
          <w:p>
            <w:pPr>
              <w:spacing w:after="0" w:line="252"/>
              <w:jc w:val="left"/>
            </w:pPr>
            <w:r>
              <w:rPr>
                <w:b w:val="false"/>
                <w:bCs w:val="false"/>
                <w:color w:val="111418"/>
                <w:sz w:val="19"/>
                <w:szCs w:val="19"/>
              </w:rPr>
              <w:t xml:space="preserve">Event-aware and spatial block (5 degrees or 500 km) and leave-year-out</w:t>
            </w:r>
          </w:p>
        </w:tc>
      </w:tr>
      <w:tr>
        <w:tc>
          <w:tcPr>
            <w:tcW w:type="dxa" w:w="208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T2 burned area</w:t>
            </w:r>
          </w:p>
        </w:tc>
        <w:tc>
          <w:tcPr>
            <w:tcW w:type="dxa" w:w="728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Leave-one-fire-out, leave-one-ecoregion-out, and leave-one-continent-out (MTBS to EMS)</w:t>
            </w:r>
          </w:p>
        </w:tc>
      </w:tr>
      <w:tr>
        <w:tc>
          <w:tcPr>
            <w:tcW w:type="dxa" w:w="2080"/>
            <w:tcMar>
              <w:top w:type="dxa" w:w="40"/>
              <w:left w:type="dxa" w:w="90"/>
              <w:bottom w:type="dxa" w:w="40"/>
              <w:right w:type="dxa" w:w="90"/>
            </w:tcMar>
          </w:tcPr>
          <w:p>
            <w:pPr>
              <w:spacing w:after="0" w:line="252"/>
              <w:jc w:val="left"/>
            </w:pPr>
            <w:r>
              <w:rPr>
                <w:b w:val="false"/>
                <w:bCs w:val="false"/>
                <w:color w:val="111418"/>
                <w:sz w:val="19"/>
                <w:szCs w:val="19"/>
              </w:rPr>
              <w:t xml:space="preserve">T3 danger</w:t>
            </w:r>
          </w:p>
        </w:tc>
        <w:tc>
          <w:tcPr>
            <w:tcW w:type="dxa" w:w="7280"/>
            <w:tcMar>
              <w:top w:type="dxa" w:w="40"/>
              <w:left w:type="dxa" w:w="90"/>
              <w:bottom w:type="dxa" w:w="40"/>
              <w:right w:type="dxa" w:w="90"/>
            </w:tcMar>
          </w:tcPr>
          <w:p>
            <w:pPr>
              <w:spacing w:after="0" w:line="252"/>
              <w:jc w:val="left"/>
            </w:pPr>
            <w:r>
              <w:rPr>
                <w:b w:val="false"/>
                <w:bCs w:val="false"/>
                <w:color w:val="111418"/>
                <w:sz w:val="19"/>
                <w:szCs w:val="19"/>
              </w:rPr>
              <w:t xml:space="preserve">Spatial block sized from the residual variogram range, crossed with leave-one-season-out</w:t>
            </w:r>
          </w:p>
        </w:tc>
      </w:tr>
      <w:tr>
        <w:tc>
          <w:tcPr>
            <w:tcW w:type="dxa" w:w="208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T4 spread</w:t>
            </w:r>
          </w:p>
        </w:tc>
        <w:tc>
          <w:tcPr>
            <w:tcW w:type="dxa" w:w="728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Leave-one-fire-out crossed with leave-year-out (year-permutation folds)</w:t>
            </w:r>
          </w:p>
        </w:tc>
      </w:tr>
    </w:tbl>
    <w:p>
      <w:pPr>
        <w:pStyle w:val="Heading2"/>
        <w:spacing w:after="80" w:before="200"/>
      </w:pPr>
      <w:r>
        <w:rPr>
          <w:b/>
          <w:bCs/>
          <w:color w:val="111418"/>
        </w:rPr>
        <w:t xml:space="preserve">4.2 The leakage gate and manifests</w:t>
      </w:r>
    </w:p>
    <w:p>
      <w:pPr>
        <w:spacing w:after="120" w:line="276"/>
      </w:pPr>
      <w:r>
        <w:rPr>
          <w:b w:val="false"/>
          <w:bCs w:val="false"/>
          <w:i w:val="false"/>
          <w:iCs w:val="false"/>
          <w:color w:val="111418"/>
        </w:rPr>
        <w:t xml:space="preserve">Random splits raise NotImplementedError, and there is no flag to disable it. The split unit is never a pixel or a chip: it is a fire event, a tile, or a (tile, year) pair. Normalisation statistics are computed on training folds only, because whole-dataset statistics leak test-fold radiometry. The T1 event classifier enforces coordinate-free features by construction. Every split is serialised as a SplitManifest with a stable fingerprint, versioned next to the model artifact, and datasets are only constructed through a from-fold constructor that raises if any manifest unit lacks a chip record. Continuous integration greps the source tree for random-splitting primitives and fails the build if one appears outside the sanctioned splits module.</w:t>
      </w:r>
    </w:p>
    <w:p>
      <w:pPr>
        <w:pStyle w:val="Heading2"/>
        <w:spacing w:after="80" w:before="200"/>
      </w:pPr>
      <w:r>
        <w:rPr>
          <w:b/>
          <w:bCs/>
          <w:color w:val="111418"/>
        </w:rPr>
        <w:t xml:space="preserve">4.3 Metrics and the reporting template</w:t>
      </w:r>
    </w:p>
    <w:p>
      <w:pPr>
        <w:spacing w:after="120" w:line="276"/>
      </w:pPr>
      <w:r>
        <w:rPr>
          <w:b w:val="false"/>
          <w:bCs w:val="false"/>
          <w:i w:val="false"/>
          <w:iCs w:val="false"/>
          <w:color w:val="111418"/>
        </w:rPr>
        <w:t xml:space="preserve">Models are tuned only on proper scoring rules, that is log loss, Brier score, and the continuous ranked probability score. F1, critical success index, and intersection-over-union are improper and are reported but never trained against. Spatial tolerance for detection matching must be stated explicitly, because the same frozen model scores about 0.05 percent F1 under exact pixel matching and 7 to 30 percent F1 under an 8-cell tolerance. Every experiment reports task, model, split scheme, number of folds, metric with fold standard deviation, baseline, and delta versus baseline. Average precision is comparable only between models on identical splits; it is never compared across benchmarks. The calibration gate requires expected calibration error at or below 0.05, a monotone reliability curve, and a Brier reliability term below 10 percent of the total Brier.</w:t>
      </w:r>
    </w:p>
    <w:p>
      <w:pPr>
        <w:pStyle w:val="Heading1"/>
        <w:spacing w:after="120" w:before="280"/>
      </w:pPr>
      <w:r>
        <w:rPr>
          <w:b/>
          <w:bCs/>
          <w:color w:val="111418"/>
        </w:rPr>
        <w:t xml:space="preserve">5. Physics core</w:t>
      </w:r>
    </w:p>
    <w:p>
      <w:pPr>
        <w:spacing w:after="120" w:line="276"/>
      </w:pPr>
      <w:r>
        <w:rPr>
          <w:b w:val="false"/>
          <w:bCs w:val="false"/>
          <w:i w:val="false"/>
          <w:iCs w:val="false"/>
          <w:color w:val="111418"/>
        </w:rPr>
        <w:t xml:space="preserve">The physics module is exact where it can be and honest about what it cannot correct. It is the structural backbone that keeps the learned components physically bounded.</w:t>
      </w:r>
    </w:p>
    <w:p>
      <w:pPr>
        <w:pStyle w:val="Heading2"/>
        <w:spacing w:after="80" w:before="200"/>
      </w:pPr>
      <w:r>
        <w:rPr>
          <w:b/>
          <w:bCs/>
          <w:color w:val="111418"/>
        </w:rPr>
        <w:t xml:space="preserve">5.1 Why the mid-infrared exists</w:t>
      </w:r>
    </w:p>
    <w:p>
      <w:pPr>
        <w:spacing w:after="120" w:line="276"/>
      </w:pPr>
      <w:r>
        <w:rPr>
          <w:b w:val="false"/>
          <w:bCs w:val="false"/>
          <w:i w:val="false"/>
          <w:iCs w:val="false"/>
          <w:color w:val="111418"/>
        </w:rPr>
        <w:t xml:space="preserve">The local logarithmic sensitivity of the Planck function, b equals the partial derivative of log radiance with respect to log temperature, is 12.3 at 3.9 micrometres versus 4.4 at 11 micrometres for a 300 kelvin scene. The radiance ratio of a 1000 kelvin flame to a 300 kelvin background is 5616 at 3.9 micrometres versus 28.6 at 11 micrometres, a factor of roughly 196. A pixel that is 0.5 percent covered by 1000 kelvin fire reads 413 kelvin at 3.9 micrometres but only 307 kelvin at 11 micrometres. VHAGAR uses the exact Planck computation; the commonly published constant-b linearisation under-reads by about 19 kelvin.</w:t>
      </w:r>
    </w:p>
    <w:p>
      <w:pPr>
        <w:pStyle w:val="Heading2"/>
        <w:spacing w:after="80" w:before="200"/>
      </w:pPr>
      <w:r>
        <w:rPr>
          <w:b/>
          <w:bCs/>
          <w:color w:val="111418"/>
        </w:rPr>
        <w:t xml:space="preserve">5.2 FRP, saturation, and atmosphere</w:t>
      </w:r>
    </w:p>
    <w:p>
      <w:pPr>
        <w:spacing w:after="120" w:line="276"/>
      </w:pPr>
      <w:r>
        <w:rPr>
          <w:b w:val="false"/>
          <w:bCs w:val="false"/>
          <w:i w:val="false"/>
          <w:iCs w:val="false"/>
          <w:color w:val="111418"/>
        </w:rPr>
        <w:t xml:space="preserve">Because b is approximately 4 over the 650 to 1350 kelvin range, fire temperature and fire fraction cancel in the Dozier mixture, giving the Wooster fire-radiative-power equation, accurate to about plus or minus 12 percent for flame temperatures from 665 to 1365 kelvin, and fire radiative energy converts to dry matter consumed at 0.368 plus or minus 0.015 kilograms per megajoule. FRP errors are multiplicative and lognormal, so FRP is predicted in log space or as a bounded correction factor. Saturation is censoring, not noise, and is handled with a censored mean-squared-error loss; saturation temperatures range from about 311 kelvin for SLSTR S7 to about 650 kelvin for VIIRS M13. Atmosphere is the largest correctable systematic: setting transmittance to one carries roughly a 31 percent low bias at nadir, and view-angle attenuation scales as transmittance to the secant of the view zenith, giving multipliers of about 1.45 at nadir, 2.1 at 60 degrees, and 3 near 70 to 75 degrees. Degrading the background characterisation by only 10 kelvin inflated simulated GOES FRP by 82 percent, which is why background characterisation is treated as a first-order term.</w:t>
      </w:r>
    </w:p>
    <w:p>
      <w:pPr>
        <w:pStyle w:val="Heading2"/>
        <w:spacing w:after="80" w:before="200"/>
      </w:pPr>
      <w:r>
        <w:rPr>
          <w:b/>
          <w:bCs/>
          <w:color w:val="111418"/>
        </w:rPr>
        <w:t xml:space="preserve">5.3 Parallax, false alarms, and the staged plan</w:t>
      </w:r>
    </w:p>
    <w:p>
      <w:pPr>
        <w:spacing w:after="120" w:line="276"/>
      </w:pPr>
      <w:r>
        <w:rPr>
          <w:b w:val="false"/>
          <w:bCs w:val="false"/>
          <w:i w:val="false"/>
          <w:iCs w:val="false"/>
          <w:color w:val="111418"/>
        </w:rPr>
        <w:t xml:space="preserve">Terrain parallax and footprint growth make the effective geostationary pixel materially larger than its nominal size, which is why detection matching between a geostationary and a polar sensor uses a parallax-aware tolerance rather than a fixed radius. False alarms are addressed with physics: gas flares sit near 1750 kelvin colour temperature versus about 1000 kelvin for biomass and are separated by shortwave and mid-infrared ratios and persistence; solar reflectors are screened by glint angle; newly commissioned industrial sources are the hardest class and are handled by online persistence rather than a frozen mask. Roughly 70 percent of the achievable false-alarm reduction comes from physics-as-features plus temporal and persistence context, which contain little novel physics-ML; the differentiable transmittance surrogate and constrained FRP head are a later stage. Sub-pixel retrieval of fire fraction and temperature is ill-conditioned, so FRP ships with a condition number attached and returns not-a-number when the geometry is untrustworthy.</w:t>
      </w:r>
    </w:p>
    <w:p>
      <w:pPr>
        <w:pStyle w:val="Heading1"/>
        <w:spacing w:after="120" w:before="280"/>
      </w:pPr>
      <w:r>
        <w:rPr>
          <w:b/>
          <w:bCs/>
          <w:color w:val="111418"/>
        </w:rPr>
        <w:t xml:space="preserve">6. T1 detection</w:t>
      </w:r>
    </w:p>
    <w:p>
      <w:pPr>
        <w:spacing w:after="120" w:line="276"/>
      </w:pPr>
      <w:r>
        <w:rPr>
          <w:b w:val="false"/>
          <w:bCs w:val="false"/>
          <w:i w:val="false"/>
          <w:iCs w:val="false"/>
          <w:color w:val="111418"/>
        </w:rPr>
        <w:t xml:space="preserve">T1 runs in two stages. Stage 1 ingests operational contextual products as-is and adds one learned component, a temporal anomaly model on the geostationary 3.9 micrometre time series that forecasts the next brightness-temperature frame from clear-sky history and needs no fire labels. Stage 2 clusters candidate detections into spatiotemporal fire events with a parallax-aware geostationary-to-polar tolerance, then scores each event with a gradient-boosted classifier using FRP trajectory, multi-sensor agreement, persistence, the mid-infrared minus thermal-infrared difference, shortwave ratio, land cover, distance to the static thermal mask, and view zenith. Raw coordinates are excluded as features.</w:t>
      </w:r>
    </w:p>
    <w:p>
      <w:pPr>
        <w:pStyle w:val="Heading2"/>
        <w:spacing w:after="80" w:before="200"/>
      </w:pPr>
      <w:r>
        <w:rPr>
          <w:b/>
          <w:bCs/>
          <w:color w:val="111418"/>
        </w:rPr>
        <w:t xml:space="preserve">6.1 Stage-0 fusion geometry</w:t>
      </w:r>
    </w:p>
    <w:p>
      <w:pPr>
        <w:spacing w:after="120" w:line="276"/>
      </w:pPr>
      <w:r>
        <w:rPr>
          <w:b w:val="false"/>
          <w:bCs w:val="false"/>
          <w:i w:val="false"/>
          <w:iCs w:val="false"/>
          <w:color w:val="111418"/>
        </w:rPr>
        <w:t xml:space="preserve">The Stage-0 experiment matched GOES-18 CONUS detections for the week of 1 to 7 August 2026 against VIIRS on NOAA-20 and S-NPP. The parallax-aware tolerance is the key lever.</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2288"/>
        <w:gridCol w:w="1248"/>
        <w:gridCol w:w="1248"/>
        <w:gridCol w:w="1456"/>
        <w:gridCol w:w="1248"/>
        <w:gridCol w:w="1872"/>
      </w:tblGrid>
      <w:tr>
        <w:trPr>
          <w:tblHeader/>
        </w:trPr>
        <w:tc>
          <w:tcPr>
            <w:tcW w:type="dxa" w:w="2288"/>
            <w:shd w:fill="EAF1FB" w:color="auto" w:val="clear"/>
            <w:tcMar>
              <w:top w:type="dxa" w:w="40"/>
              <w:left w:type="dxa" w:w="90"/>
              <w:bottom w:type="dxa" w:w="40"/>
              <w:right w:type="dxa" w:w="90"/>
            </w:tcMar>
          </w:tcPr>
          <w:p>
            <w:pPr>
              <w:spacing w:after="0" w:line="252"/>
              <w:jc w:val="left"/>
            </w:pPr>
            <w:r>
              <w:rPr>
                <w:b/>
                <w:bCs/>
                <w:color w:val="111418"/>
                <w:sz w:val="19"/>
                <w:szCs w:val="19"/>
              </w:rPr>
              <w:t xml:space="preserve">Matching</w:t>
            </w:r>
          </w:p>
        </w:tc>
        <w:tc>
          <w:tcPr>
            <w:tcW w:type="dxa" w:w="1248"/>
            <w:shd w:fill="EAF1FB" w:color="auto" w:val="clear"/>
            <w:tcMar>
              <w:top w:type="dxa" w:w="40"/>
              <w:left w:type="dxa" w:w="90"/>
              <w:bottom w:type="dxa" w:w="40"/>
              <w:right w:type="dxa" w:w="90"/>
            </w:tcMar>
          </w:tcPr>
          <w:p>
            <w:pPr>
              <w:spacing w:after="0" w:line="252"/>
              <w:jc w:val="left"/>
            </w:pPr>
            <w:r>
              <w:rPr>
                <w:b/>
                <w:bCs/>
                <w:color w:val="111418"/>
                <w:sz w:val="19"/>
                <w:szCs w:val="19"/>
              </w:rPr>
              <w:t xml:space="preserve">Cell</w:t>
            </w:r>
          </w:p>
        </w:tc>
        <w:tc>
          <w:tcPr>
            <w:tcW w:type="dxa" w:w="1248"/>
            <w:shd w:fill="EAF1FB" w:color="auto" w:val="clear"/>
            <w:tcMar>
              <w:top w:type="dxa" w:w="40"/>
              <w:left w:type="dxa" w:w="90"/>
              <w:bottom w:type="dxa" w:w="40"/>
              <w:right w:type="dxa" w:w="90"/>
            </w:tcMar>
          </w:tcPr>
          <w:p>
            <w:pPr>
              <w:spacing w:after="0" w:line="252"/>
              <w:jc w:val="left"/>
            </w:pPr>
            <w:r>
              <w:rPr>
                <w:b/>
                <w:bCs/>
                <w:color w:val="111418"/>
                <w:sz w:val="19"/>
                <w:szCs w:val="19"/>
              </w:rPr>
              <w:t xml:space="preserve">POD</w:t>
            </w:r>
          </w:p>
        </w:tc>
        <w:tc>
          <w:tcPr>
            <w:tcW w:type="dxa" w:w="1456"/>
            <w:shd w:fill="EAF1FB" w:color="auto" w:val="clear"/>
            <w:tcMar>
              <w:top w:type="dxa" w:w="40"/>
              <w:left w:type="dxa" w:w="90"/>
              <w:bottom w:type="dxa" w:w="40"/>
              <w:right w:type="dxa" w:w="90"/>
            </w:tcMar>
          </w:tcPr>
          <w:p>
            <w:pPr>
              <w:spacing w:after="0" w:line="252"/>
              <w:jc w:val="left"/>
            </w:pPr>
            <w:r>
              <w:rPr>
                <w:b/>
                <w:bCs/>
                <w:color w:val="111418"/>
                <w:sz w:val="19"/>
                <w:szCs w:val="19"/>
              </w:rPr>
              <w:t xml:space="preserve">Precision</w:t>
            </w:r>
          </w:p>
        </w:tc>
        <w:tc>
          <w:tcPr>
            <w:tcW w:type="dxa" w:w="1248"/>
            <w:shd w:fill="EAF1FB" w:color="auto" w:val="clear"/>
            <w:tcMar>
              <w:top w:type="dxa" w:w="40"/>
              <w:left w:type="dxa" w:w="90"/>
              <w:bottom w:type="dxa" w:w="40"/>
              <w:right w:type="dxa" w:w="90"/>
            </w:tcMar>
          </w:tcPr>
          <w:p>
            <w:pPr>
              <w:spacing w:after="0" w:line="252"/>
              <w:jc w:val="left"/>
            </w:pPr>
            <w:r>
              <w:rPr>
                <w:b/>
                <w:bCs/>
                <w:color w:val="111418"/>
                <w:sz w:val="19"/>
                <w:szCs w:val="19"/>
              </w:rPr>
              <w:t xml:space="preserve">FAR</w:t>
            </w:r>
          </w:p>
        </w:tc>
        <w:tc>
          <w:tcPr>
            <w:tcW w:type="dxa" w:w="1872"/>
            <w:shd w:fill="EAF1FB" w:color="auto" w:val="clear"/>
            <w:tcMar>
              <w:top w:type="dxa" w:w="40"/>
              <w:left w:type="dxa" w:w="90"/>
              <w:bottom w:type="dxa" w:w="40"/>
              <w:right w:type="dxa" w:w="90"/>
            </w:tcMar>
          </w:tcPr>
          <w:p>
            <w:pPr>
              <w:spacing w:after="0" w:line="252"/>
              <w:jc w:val="left"/>
            </w:pPr>
            <w:r>
              <w:rPr>
                <w:b/>
                <w:bCs/>
                <w:color w:val="111418"/>
                <w:sz w:val="19"/>
                <w:szCs w:val="19"/>
              </w:rPr>
              <w:t xml:space="preserve">Median gap</w:t>
            </w:r>
          </w:p>
        </w:tc>
      </w:tr>
      <w:tr>
        <w:tc>
          <w:tcPr>
            <w:tcW w:type="dxa" w:w="2288"/>
            <w:tcMar>
              <w:top w:type="dxa" w:w="40"/>
              <w:left w:type="dxa" w:w="90"/>
              <w:bottom w:type="dxa" w:w="40"/>
              <w:right w:type="dxa" w:w="90"/>
            </w:tcMar>
          </w:tcPr>
          <w:p>
            <w:pPr>
              <w:spacing w:after="0" w:line="252"/>
              <w:jc w:val="left"/>
            </w:pPr>
            <w:r>
              <w:rPr>
                <w:b w:val="false"/>
                <w:bCs w:val="false"/>
                <w:color w:val="111418"/>
                <w:sz w:val="19"/>
                <w:szCs w:val="19"/>
              </w:rPr>
              <w:t xml:space="preserve">Naive</w:t>
            </w:r>
          </w:p>
        </w:tc>
        <w:tc>
          <w:tcPr>
            <w:tcW w:type="dxa" w:w="1248"/>
            <w:tcMar>
              <w:top w:type="dxa" w:w="40"/>
              <w:left w:type="dxa" w:w="90"/>
              <w:bottom w:type="dxa" w:w="40"/>
              <w:right w:type="dxa" w:w="90"/>
            </w:tcMar>
          </w:tcPr>
          <w:p>
            <w:pPr>
              <w:spacing w:after="0" w:line="252"/>
              <w:jc w:val="left"/>
            </w:pPr>
            <w:r>
              <w:rPr>
                <w:b w:val="false"/>
                <w:bCs w:val="false"/>
                <w:color w:val="111418"/>
                <w:sz w:val="19"/>
                <w:szCs w:val="19"/>
              </w:rPr>
              <w:t xml:space="preserve">2 km</w:t>
            </w:r>
          </w:p>
        </w:tc>
        <w:tc>
          <w:tcPr>
            <w:tcW w:type="dxa" w:w="1248"/>
            <w:tcMar>
              <w:top w:type="dxa" w:w="40"/>
              <w:left w:type="dxa" w:w="90"/>
              <w:bottom w:type="dxa" w:w="40"/>
              <w:right w:type="dxa" w:w="90"/>
            </w:tcMar>
          </w:tcPr>
          <w:p>
            <w:pPr>
              <w:spacing w:after="0" w:line="252"/>
              <w:jc w:val="left"/>
            </w:pPr>
            <w:r>
              <w:rPr>
                <w:b w:val="false"/>
                <w:bCs w:val="false"/>
                <w:color w:val="111418"/>
                <w:sz w:val="19"/>
                <w:szCs w:val="19"/>
              </w:rPr>
              <w:t xml:space="preserve">0.376</w:t>
            </w:r>
          </w:p>
        </w:tc>
        <w:tc>
          <w:tcPr>
            <w:tcW w:type="dxa" w:w="1456"/>
            <w:tcMar>
              <w:top w:type="dxa" w:w="40"/>
              <w:left w:type="dxa" w:w="90"/>
              <w:bottom w:type="dxa" w:w="40"/>
              <w:right w:type="dxa" w:w="90"/>
            </w:tcMar>
          </w:tcPr>
          <w:p>
            <w:pPr>
              <w:spacing w:after="0" w:line="252"/>
              <w:jc w:val="left"/>
            </w:pPr>
            <w:r>
              <w:rPr>
                <w:b w:val="false"/>
                <w:bCs w:val="false"/>
                <w:color w:val="111418"/>
                <w:sz w:val="19"/>
                <w:szCs w:val="19"/>
              </w:rPr>
              <w:t xml:space="preserve">0.843</w:t>
            </w:r>
          </w:p>
        </w:tc>
        <w:tc>
          <w:tcPr>
            <w:tcW w:type="dxa" w:w="1248"/>
            <w:tcMar>
              <w:top w:type="dxa" w:w="40"/>
              <w:left w:type="dxa" w:w="90"/>
              <w:bottom w:type="dxa" w:w="40"/>
              <w:right w:type="dxa" w:w="90"/>
            </w:tcMar>
          </w:tcPr>
          <w:p>
            <w:pPr>
              <w:spacing w:after="0" w:line="252"/>
              <w:jc w:val="left"/>
            </w:pPr>
            <w:r>
              <w:rPr>
                <w:b w:val="false"/>
                <w:bCs w:val="false"/>
                <w:color w:val="111418"/>
                <w:sz w:val="19"/>
                <w:szCs w:val="19"/>
              </w:rPr>
              <w:t xml:space="preserve">0.157</w:t>
            </w:r>
          </w:p>
        </w:tc>
        <w:tc>
          <w:tcPr>
            <w:tcW w:type="dxa" w:w="1872"/>
            <w:tcMar>
              <w:top w:type="dxa" w:w="40"/>
              <w:left w:type="dxa" w:w="90"/>
              <w:bottom w:type="dxa" w:w="40"/>
              <w:right w:type="dxa" w:w="90"/>
            </w:tcMar>
          </w:tcPr>
          <w:p>
            <w:pPr>
              <w:spacing w:after="0" w:line="252"/>
              <w:jc w:val="left"/>
            </w:pPr>
            <w:r>
              <w:rPr>
                <w:b w:val="false"/>
                <w:bCs w:val="false"/>
                <w:color w:val="111418"/>
                <w:sz w:val="19"/>
                <w:szCs w:val="19"/>
              </w:rPr>
              <w:t xml:space="preserve">2 min</w:t>
            </w:r>
          </w:p>
        </w:tc>
      </w:tr>
      <w:tr>
        <w:tc>
          <w:tcPr>
            <w:tcW w:type="dxa" w:w="22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Parallax-aware</w:t>
            </w:r>
          </w:p>
        </w:tc>
        <w:tc>
          <w:tcPr>
            <w:tcW w:type="dxa" w:w="124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4 km</w:t>
            </w:r>
          </w:p>
        </w:tc>
        <w:tc>
          <w:tcPr>
            <w:tcW w:type="dxa" w:w="124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0.499</w:t>
            </w:r>
          </w:p>
        </w:tc>
        <w:tc>
          <w:tcPr>
            <w:tcW w:type="dxa" w:w="145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0.944</w:t>
            </w:r>
          </w:p>
        </w:tc>
        <w:tc>
          <w:tcPr>
            <w:tcW w:type="dxa" w:w="124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0.056</w:t>
            </w:r>
          </w:p>
        </w:tc>
        <w:tc>
          <w:tcPr>
            <w:tcW w:type="dxa" w:w="18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2 min</w:t>
            </w:r>
          </w:p>
        </w:tc>
      </w:tr>
    </w:tbl>
    <w:p>
      <w:pPr>
        <w:spacing w:after="120" w:line="276"/>
      </w:pPr>
      <w:r>
        <w:rPr>
          <w:b w:val="false"/>
          <w:bCs w:val="false"/>
          <w:i w:val="false"/>
          <w:iCs w:val="false"/>
          <w:color w:val="111418"/>
        </w:rPr>
        <w:t xml:space="preserve">Honest reading: GOES fire-detection characterisation sees about half of VIIRS's fire pixels (probability of detection near 0.50) near-simultaneously (median gap 2 minutes), which is the credible number for a 2 kilometre geostationary detector against a 375 metre polar one. The gain from 0.376 to 0.499 and the false-alarm-rate drop from 15.7 to 5.6 percent are geometry, footprint quantisation and terrain parallax, not model quality, and they land inside the published naive-to-parallax range. A first attempt using event-centroid matching over a large bounding box reported a probability of detection of 0.047 and was caught as a broken metric, not a real detection rate.</w:t>
      </w:r>
    </w:p>
    <w:p>
      <w:pPr>
        <w:pStyle w:val="Heading2"/>
        <w:spacing w:after="80" w:before="200"/>
      </w:pPr>
      <w:r>
        <w:rPr>
          <w:b/>
          <w:bCs/>
          <w:color w:val="111418"/>
        </w:rPr>
        <w:t xml:space="preserve">6.2 The latitude and longitude leakage test</w:t>
      </w:r>
    </w:p>
    <w:p>
      <w:pPr>
        <w:spacing w:after="120" w:line="276"/>
      </w:pPr>
      <w:r>
        <w:rPr>
          <w:b w:val="false"/>
          <w:bCs w:val="false"/>
          <w:i w:val="false"/>
          <w:iCs w:val="false"/>
          <w:color w:val="111418"/>
        </w:rPr>
        <w:t xml:space="preserve">The Stage-2 gradient-boosted classifier reproduces the published leakage pattern qualitatively. Adding raw coordinates helps in-region and hurts out-of-region.</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191"/>
        <w:gridCol w:w="1915"/>
        <w:gridCol w:w="1915"/>
        <w:gridCol w:w="2340"/>
      </w:tblGrid>
      <w:tr>
        <w:trPr>
          <w:tblHeader/>
        </w:trPr>
        <w:tc>
          <w:tcPr>
            <w:tcW w:type="dxa" w:w="3191"/>
            <w:shd w:fill="EAF1FB" w:color="auto" w:val="clear"/>
            <w:tcMar>
              <w:top w:type="dxa" w:w="40"/>
              <w:left w:type="dxa" w:w="90"/>
              <w:bottom w:type="dxa" w:w="40"/>
              <w:right w:type="dxa" w:w="90"/>
            </w:tcMar>
          </w:tcPr>
          <w:p>
            <w:pPr>
              <w:spacing w:after="0" w:line="252"/>
              <w:jc w:val="left"/>
            </w:pPr>
            <w:r>
              <w:rPr>
                <w:b/>
                <w:bCs/>
                <w:color w:val="111418"/>
                <w:sz w:val="19"/>
                <w:szCs w:val="19"/>
              </w:rPr>
              <w:t xml:space="preserve">Split</w:t>
            </w:r>
          </w:p>
        </w:tc>
        <w:tc>
          <w:tcPr>
            <w:tcW w:type="dxa" w:w="1915"/>
            <w:shd w:fill="EAF1FB" w:color="auto" w:val="clear"/>
            <w:tcMar>
              <w:top w:type="dxa" w:w="40"/>
              <w:left w:type="dxa" w:w="90"/>
              <w:bottom w:type="dxa" w:w="40"/>
              <w:right w:type="dxa" w:w="90"/>
            </w:tcMar>
          </w:tcPr>
          <w:p>
            <w:pPr>
              <w:spacing w:after="0" w:line="252"/>
              <w:jc w:val="left"/>
            </w:pPr>
            <w:r>
              <w:rPr>
                <w:b/>
                <w:bCs/>
                <w:color w:val="111418"/>
                <w:sz w:val="19"/>
                <w:szCs w:val="19"/>
              </w:rPr>
              <w:t xml:space="preserve">Physical F1</w:t>
            </w:r>
          </w:p>
        </w:tc>
        <w:tc>
          <w:tcPr>
            <w:tcW w:type="dxa" w:w="1915"/>
            <w:shd w:fill="EAF1FB" w:color="auto" w:val="clear"/>
            <w:tcMar>
              <w:top w:type="dxa" w:w="40"/>
              <w:left w:type="dxa" w:w="90"/>
              <w:bottom w:type="dxa" w:w="40"/>
              <w:right w:type="dxa" w:w="90"/>
            </w:tcMar>
          </w:tcPr>
          <w:p>
            <w:pPr>
              <w:spacing w:after="0" w:line="252"/>
              <w:jc w:val="left"/>
            </w:pPr>
            <w:r>
              <w:rPr>
                <w:b/>
                <w:bCs/>
                <w:color w:val="111418"/>
                <w:sz w:val="19"/>
                <w:szCs w:val="19"/>
              </w:rPr>
              <w:t xml:space="preserve">Plus lat/lon</w:t>
            </w:r>
          </w:p>
        </w:tc>
        <w:tc>
          <w:tcPr>
            <w:tcW w:type="dxa" w:w="2340"/>
            <w:shd w:fill="EAF1FB" w:color="auto" w:val="clear"/>
            <w:tcMar>
              <w:top w:type="dxa" w:w="40"/>
              <w:left w:type="dxa" w:w="90"/>
              <w:bottom w:type="dxa" w:w="40"/>
              <w:right w:type="dxa" w:w="90"/>
            </w:tcMar>
          </w:tcPr>
          <w:p>
            <w:pPr>
              <w:spacing w:after="0" w:line="252"/>
              <w:jc w:val="left"/>
            </w:pPr>
            <w:r>
              <w:rPr>
                <w:b/>
                <w:bCs/>
                <w:color w:val="111418"/>
                <w:sz w:val="19"/>
                <w:szCs w:val="19"/>
              </w:rPr>
              <w:t xml:space="preserve">Coordinate gain</w:t>
            </w:r>
          </w:p>
        </w:tc>
      </w:tr>
      <w:tr>
        <w:tc>
          <w:tcPr>
            <w:tcW w:type="dxa" w:w="3191"/>
            <w:tcMar>
              <w:top w:type="dxa" w:w="40"/>
              <w:left w:type="dxa" w:w="90"/>
              <w:bottom w:type="dxa" w:w="40"/>
              <w:right w:type="dxa" w:w="90"/>
            </w:tcMar>
          </w:tcPr>
          <w:p>
            <w:pPr>
              <w:spacing w:after="0" w:line="252"/>
              <w:jc w:val="left"/>
            </w:pPr>
            <w:r>
              <w:rPr>
                <w:b w:val="false"/>
                <w:bCs w:val="false"/>
                <w:color w:val="111418"/>
                <w:sz w:val="19"/>
                <w:szCs w:val="19"/>
              </w:rPr>
              <w:t xml:space="preserve">Random</w:t>
            </w:r>
          </w:p>
        </w:tc>
        <w:tc>
          <w:tcPr>
            <w:tcW w:type="dxa" w:w="1915"/>
            <w:tcMar>
              <w:top w:type="dxa" w:w="40"/>
              <w:left w:type="dxa" w:w="90"/>
              <w:bottom w:type="dxa" w:w="40"/>
              <w:right w:type="dxa" w:w="90"/>
            </w:tcMar>
          </w:tcPr>
          <w:p>
            <w:pPr>
              <w:spacing w:after="0" w:line="252"/>
              <w:jc w:val="left"/>
            </w:pPr>
            <w:r>
              <w:rPr>
                <w:b w:val="false"/>
                <w:bCs w:val="false"/>
                <w:color w:val="111418"/>
                <w:sz w:val="19"/>
                <w:szCs w:val="19"/>
              </w:rPr>
              <w:t xml:space="preserve">0.767</w:t>
            </w:r>
          </w:p>
        </w:tc>
        <w:tc>
          <w:tcPr>
            <w:tcW w:type="dxa" w:w="1915"/>
            <w:tcMar>
              <w:top w:type="dxa" w:w="40"/>
              <w:left w:type="dxa" w:w="90"/>
              <w:bottom w:type="dxa" w:w="40"/>
              <w:right w:type="dxa" w:w="90"/>
            </w:tcMar>
          </w:tcPr>
          <w:p>
            <w:pPr>
              <w:spacing w:after="0" w:line="252"/>
              <w:jc w:val="left"/>
            </w:pPr>
            <w:r>
              <w:rPr>
                <w:b w:val="false"/>
                <w:bCs w:val="false"/>
                <w:color w:val="111418"/>
                <w:sz w:val="19"/>
                <w:szCs w:val="19"/>
              </w:rPr>
              <w:t xml:space="preserve">0.790</w:t>
            </w:r>
          </w:p>
        </w:tc>
        <w:tc>
          <w:tcPr>
            <w:tcW w:type="dxa" w:w="2340"/>
            <w:tcMar>
              <w:top w:type="dxa" w:w="40"/>
              <w:left w:type="dxa" w:w="90"/>
              <w:bottom w:type="dxa" w:w="40"/>
              <w:right w:type="dxa" w:w="90"/>
            </w:tcMar>
          </w:tcPr>
          <w:p>
            <w:pPr>
              <w:spacing w:after="0" w:line="252"/>
              <w:jc w:val="left"/>
            </w:pPr>
            <w:r>
              <w:rPr>
                <w:b w:val="false"/>
                <w:bCs w:val="false"/>
                <w:color w:val="111418"/>
                <w:sz w:val="19"/>
                <w:szCs w:val="19"/>
              </w:rPr>
              <w:t xml:space="preserve">+0.023</w:t>
            </w:r>
          </w:p>
        </w:tc>
      </w:tr>
      <w:tr>
        <w:tc>
          <w:tcPr>
            <w:tcW w:type="dxa" w:w="3191"/>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Cell-grouped (event-aware)</w:t>
            </w:r>
          </w:p>
        </w:tc>
        <w:tc>
          <w:tcPr>
            <w:tcW w:type="dxa" w:w="191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0.752</w:t>
            </w:r>
          </w:p>
        </w:tc>
        <w:tc>
          <w:tcPr>
            <w:tcW w:type="dxa" w:w="191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0.778</w:t>
            </w:r>
          </w:p>
        </w:tc>
        <w:tc>
          <w:tcPr>
            <w:tcW w:type="dxa" w:w="234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+0.026</w:t>
            </w:r>
          </w:p>
        </w:tc>
      </w:tr>
      <w:tr>
        <w:tc>
          <w:tcPr>
            <w:tcW w:type="dxa" w:w="3191"/>
            <w:tcMar>
              <w:top w:type="dxa" w:w="40"/>
              <w:left w:type="dxa" w:w="90"/>
              <w:bottom w:type="dxa" w:w="40"/>
              <w:right w:type="dxa" w:w="90"/>
            </w:tcMar>
          </w:tcPr>
          <w:p>
            <w:pPr>
              <w:spacing w:after="0" w:line="252"/>
              <w:jc w:val="left"/>
            </w:pPr>
            <w:r>
              <w:rPr>
                <w:b w:val="false"/>
                <w:bCs w:val="false"/>
                <w:color w:val="111418"/>
                <w:sz w:val="19"/>
                <w:szCs w:val="19"/>
              </w:rPr>
              <w:t xml:space="preserve">5-degree spatial block</w:t>
            </w:r>
          </w:p>
        </w:tc>
        <w:tc>
          <w:tcPr>
            <w:tcW w:type="dxa" w:w="1915"/>
            <w:tcMar>
              <w:top w:type="dxa" w:w="40"/>
              <w:left w:type="dxa" w:w="90"/>
              <w:bottom w:type="dxa" w:w="40"/>
              <w:right w:type="dxa" w:w="90"/>
            </w:tcMar>
          </w:tcPr>
          <w:p>
            <w:pPr>
              <w:spacing w:after="0" w:line="252"/>
              <w:jc w:val="left"/>
            </w:pPr>
            <w:r>
              <w:rPr>
                <w:b w:val="false"/>
                <w:bCs w:val="false"/>
                <w:color w:val="111418"/>
                <w:sz w:val="19"/>
                <w:szCs w:val="19"/>
              </w:rPr>
              <w:t xml:space="preserve">0.642</w:t>
            </w:r>
          </w:p>
        </w:tc>
        <w:tc>
          <w:tcPr>
            <w:tcW w:type="dxa" w:w="1915"/>
            <w:tcMar>
              <w:top w:type="dxa" w:w="40"/>
              <w:left w:type="dxa" w:w="90"/>
              <w:bottom w:type="dxa" w:w="40"/>
              <w:right w:type="dxa" w:w="90"/>
            </w:tcMar>
          </w:tcPr>
          <w:p>
            <w:pPr>
              <w:spacing w:after="0" w:line="252"/>
              <w:jc w:val="left"/>
            </w:pPr>
            <w:r>
              <w:rPr>
                <w:b w:val="false"/>
                <w:bCs w:val="false"/>
                <w:color w:val="111418"/>
                <w:sz w:val="19"/>
                <w:szCs w:val="19"/>
              </w:rPr>
              <w:t xml:space="preserve">0.602</w:t>
            </w:r>
          </w:p>
        </w:tc>
        <w:tc>
          <w:tcPr>
            <w:tcW w:type="dxa" w:w="2340"/>
            <w:tcMar>
              <w:top w:type="dxa" w:w="40"/>
              <w:left w:type="dxa" w:w="90"/>
              <w:bottom w:type="dxa" w:w="40"/>
              <w:right w:type="dxa" w:w="90"/>
            </w:tcMar>
          </w:tcPr>
          <w:p>
            <w:pPr>
              <w:spacing w:after="0" w:line="252"/>
              <w:jc w:val="left"/>
            </w:pPr>
            <w:r>
              <w:rPr>
                <w:b w:val="false"/>
                <w:bCs w:val="false"/>
                <w:color w:val="111418"/>
                <w:sz w:val="19"/>
                <w:szCs w:val="19"/>
              </w:rPr>
              <w:t xml:space="preserve">-0.040</w:t>
            </w:r>
          </w:p>
        </w:tc>
      </w:tr>
    </w:tbl>
    <w:p>
      <w:pPr>
        <w:spacing w:after="120" w:line="276"/>
      </w:pPr>
      <w:r>
        <w:rPr>
          <w:b w:val="false"/>
          <w:bCs w:val="false"/>
          <w:i/>
          <w:iCs/>
          <w:color w:val="5A6472"/>
        </w:rPr>
        <w:t xml:space="preserve">F1 falls from 0.767 to 0.642 with the same shape as the published 0.985 to 0.627 collapse, and the coordinate gain flips from positive in-region to negative out-of-region. The magnitude is smaller than the published 89 percent of gain because one week of CONUS data with a 3 percent-positive coincidence label is a weak proxy; the direction is the finding, and the magnitude needs more data.</w:t>
      </w:r>
    </w:p>
    <w:p>
      <w:pPr>
        <w:pStyle w:val="Heading2"/>
        <w:spacing w:after="80" w:before="200"/>
      </w:pPr>
      <w:r>
        <w:rPr>
          <w:b/>
          <w:bCs/>
          <w:color w:val="111418"/>
        </w:rPr>
        <w:t xml:space="preserve">6.3 Temporal early detection, an honest negative</w:t>
      </w:r>
    </w:p>
    <w:p>
      <w:pPr>
        <w:spacing w:after="120" w:line="276"/>
      </w:pPr>
      <w:r>
        <w:rPr>
          <w:b w:val="false"/>
          <w:bCs w:val="false"/>
          <w:i w:val="false"/>
          <w:iCs w:val="false"/>
          <w:color w:val="111418"/>
        </w:rPr>
        <w:t xml:space="preserve">A synthetic night-fire demonstration showed 70 to 75 minutes of lead over an absolute-brightness threshold at matched false-alarm rates, grounded in a real 3.9 micrometre climatology whose median diurnal amplitude is 32.9 kelvin. On real data, after five separate artifacts were each caught by a collapse-across-false-alarm-rate diagnostic (baseline contamination, night-blindness from a global threshold, first-crossing false alarms, training on test, and non-detection masked as a zero-lead tie), the trustworthy read is negative: a crude single-band 3.9 micrometre temporal-residual detector, scored honestly, does not beat the operational fire-detection product. A stratified cohort showed low sensitivity (about 25 percent of fire pixels detected), which rules it out as a stand-alone detector, alongside a directional signal conditional on detection: at night, detected pixels lead the operational product by a median of 72 minutes, while by day they lag. Firming this up would require dozens of fires per stratum and multi-band context, not more single-band tuning.</w:t>
      </w:r>
    </w:p>
    <w:p>
      <w:pPr>
        <w:pStyle w:val="Heading1"/>
        <w:spacing w:after="120" w:before="280"/>
      </w:pPr>
      <w:r>
        <w:rPr>
          <w:b/>
          <w:bCs/>
          <w:color w:val="111418"/>
        </w:rPr>
        <w:t xml:space="preserve">7. T2 burned area and severity</w:t>
      </w:r>
    </w:p>
    <w:p>
      <w:pPr>
        <w:spacing w:after="120" w:line="276"/>
      </w:pPr>
      <w:r>
        <w:rPr>
          <w:b w:val="false"/>
          <w:bCs w:val="false"/>
          <w:i w:val="false"/>
          <w:iCs w:val="false"/>
          <w:color w:val="111418"/>
        </w:rPr>
        <w:t xml:space="preserve">T2 estimates a 20 to 30 metre burned-area polygon and a continuous severity field. The method stack is a spectral threshold, then a U-Net over the spectral field, then a multi-channel and Siamese change model, then a foundation-model fine-tune. The relativised burn ratio, RBR equals delta normalised-burn-ratio divided by pre-fire normalised-burn-ratio plus a small constant, is the primary continuous severity index and beat the alternatives on 1,681 field plots (pooled R2 0.705 versus 0.677 and 0.646).</w:t>
      </w:r>
    </w:p>
    <w:p>
      <w:pPr>
        <w:pStyle w:val="Heading2"/>
        <w:spacing w:after="80" w:before="200"/>
      </w:pPr>
      <w:r>
        <w:rPr>
          <w:b/>
          <w:bCs/>
          <w:color w:val="111418"/>
        </w:rPr>
        <w:t xml:space="preserve">7.1 The reference bug, the defining lesson</w:t>
      </w:r>
    </w:p>
    <w:p>
      <w:pPr>
        <w:spacing w:after="120" w:line="276"/>
      </w:pPr>
      <w:r>
        <w:rPr>
          <w:b w:val="false"/>
          <w:bCs w:val="false"/>
          <w:i w:val="false"/>
          <w:iCs w:val="false"/>
          <w:color w:val="111418"/>
        </w:rPr>
        <w:t xml:space="preserve">An early headline of F1 0.865 was retracted. The MTBS reference had discarded the unburned surround, which turned the task into severity within an almost-entirely-burned perimeter rather than burned-area detection. On such windows the trivial predict-all-burned baseline scores F1 0.896 to 0.911, and the calibrated threshold beat it on zero of 34 folds. After correcting the reference to include background (mean burned fraction 0.10, leave-one-fire-out), the true structure appeared.</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744"/>
        <w:gridCol w:w="3120"/>
        <w:gridCol w:w="2496"/>
      </w:tblGrid>
      <w:tr>
        <w:trPr>
          <w:tblHeader/>
        </w:trPr>
        <w:tc>
          <w:tcPr>
            <w:tcW w:type="dxa" w:w="3744"/>
            <w:shd w:fill="EAF1FB" w:color="auto" w:val="clear"/>
            <w:tcMar>
              <w:top w:type="dxa" w:w="40"/>
              <w:left w:type="dxa" w:w="90"/>
              <w:bottom w:type="dxa" w:w="40"/>
              <w:right w:type="dxa" w:w="90"/>
            </w:tcMar>
          </w:tcPr>
          <w:p>
            <w:pPr>
              <w:spacing w:after="0" w:line="252"/>
              <w:jc w:val="left"/>
            </w:pPr>
            <w:r>
              <w:rPr>
                <w:b/>
                <w:bCs/>
                <w:color w:val="111418"/>
                <w:sz w:val="19"/>
                <w:szCs w:val="19"/>
              </w:rPr>
              <w:t xml:space="preserve">Method</w:t>
            </w:r>
          </w:p>
        </w:tc>
        <w:tc>
          <w:tcPr>
            <w:tcW w:type="dxa" w:w="3120"/>
            <w:shd w:fill="EAF1FB" w:color="auto" w:val="clear"/>
            <w:tcMar>
              <w:top w:type="dxa" w:w="40"/>
              <w:left w:type="dxa" w:w="90"/>
              <w:bottom w:type="dxa" w:w="40"/>
              <w:right w:type="dxa" w:w="90"/>
            </w:tcMar>
          </w:tcPr>
          <w:p>
            <w:pPr>
              <w:spacing w:after="0" w:line="252"/>
              <w:jc w:val="left"/>
            </w:pPr>
            <w:r>
              <w:rPr>
                <w:b/>
                <w:bCs/>
                <w:color w:val="111418"/>
                <w:sz w:val="19"/>
                <w:szCs w:val="19"/>
              </w:rPr>
              <w:t xml:space="preserve">Mean skill over naive</w:t>
            </w:r>
          </w:p>
        </w:tc>
        <w:tc>
          <w:tcPr>
            <w:tcW w:type="dxa" w:w="2496"/>
            <w:shd w:fill="EAF1FB" w:color="auto" w:val="clear"/>
            <w:tcMar>
              <w:top w:type="dxa" w:w="40"/>
              <w:left w:type="dxa" w:w="90"/>
              <w:bottom w:type="dxa" w:w="40"/>
              <w:right w:type="dxa" w:w="90"/>
            </w:tcMar>
          </w:tcPr>
          <w:p>
            <w:pPr>
              <w:spacing w:after="0" w:line="252"/>
              <w:jc w:val="left"/>
            </w:pPr>
            <w:r>
              <w:rPr>
                <w:b/>
                <w:bCs/>
                <w:color w:val="111418"/>
                <w:sz w:val="19"/>
                <w:szCs w:val="19"/>
              </w:rPr>
              <w:t xml:space="preserve">Fires beating naive</w:t>
            </w:r>
          </w:p>
        </w:tc>
      </w:tr>
      <w:tr>
        <w:tc>
          <w:tcPr>
            <w:tcW w:type="dxa" w:w="3744"/>
            <w:tcMar>
              <w:top w:type="dxa" w:w="40"/>
              <w:left w:type="dxa" w:w="90"/>
              <w:bottom w:type="dxa" w:w="40"/>
              <w:right w:type="dxa" w:w="90"/>
            </w:tcMar>
          </w:tcPr>
          <w:p>
            <w:pPr>
              <w:spacing w:after="0" w:line="252"/>
              <w:jc w:val="left"/>
            </w:pPr>
            <w:r>
              <w:rPr>
                <w:b w:val="false"/>
                <w:bCs w:val="false"/>
                <w:color w:val="111418"/>
                <w:sz w:val="19"/>
                <w:szCs w:val="19"/>
              </w:rPr>
              <w:t xml:space="preserve">Global single threshold</w:t>
            </w:r>
          </w:p>
        </w:tc>
        <w:tc>
          <w:tcPr>
            <w:tcW w:type="dxa" w:w="3120"/>
            <w:tcMar>
              <w:top w:type="dxa" w:w="40"/>
              <w:left w:type="dxa" w:w="90"/>
              <w:bottom w:type="dxa" w:w="40"/>
              <w:right w:type="dxa" w:w="90"/>
            </w:tcMar>
          </w:tcPr>
          <w:p>
            <w:pPr>
              <w:spacing w:after="0" w:line="252"/>
              <w:jc w:val="left"/>
            </w:pPr>
            <w:r>
              <w:rPr>
                <w:b w:val="false"/>
                <w:bCs w:val="false"/>
                <w:color w:val="111418"/>
                <w:sz w:val="19"/>
                <w:szCs w:val="19"/>
              </w:rPr>
              <w:t xml:space="preserve">+0.000</w:t>
            </w:r>
          </w:p>
        </w:tc>
        <w:tc>
          <w:tcPr>
            <w:tcW w:type="dxa" w:w="2496"/>
            <w:tcMar>
              <w:top w:type="dxa" w:w="40"/>
              <w:left w:type="dxa" w:w="90"/>
              <w:bottom w:type="dxa" w:w="40"/>
              <w:right w:type="dxa" w:w="90"/>
            </w:tcMar>
          </w:tcPr>
          <w:p>
            <w:pPr>
              <w:spacing w:after="0" w:line="252"/>
              <w:jc w:val="left"/>
            </w:pPr>
            <w:r>
              <w:rPr>
                <w:b w:val="false"/>
                <w:bCs w:val="false"/>
                <w:color w:val="111418"/>
                <w:sz w:val="19"/>
                <w:szCs w:val="19"/>
              </w:rPr>
              <w:t xml:space="preserve">9 / 29</w:t>
            </w:r>
          </w:p>
        </w:tc>
      </w:tr>
      <w:tr>
        <w:tc>
          <w:tcPr>
            <w:tcW w:type="dxa" w:w="3744"/>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Per-stratum Koppen climate</w:t>
            </w:r>
          </w:p>
        </w:tc>
        <w:tc>
          <w:tcPr>
            <w:tcW w:type="dxa" w:w="312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+0.097</w:t>
            </w:r>
          </w:p>
        </w:tc>
        <w:tc>
          <w:tcPr>
            <w:tcW w:type="dxa" w:w="249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17 / 29</w:t>
            </w:r>
          </w:p>
        </w:tc>
      </w:tr>
      <w:tr>
        <w:tc>
          <w:tcPr>
            <w:tcW w:type="dxa" w:w="3744"/>
            <w:tcMar>
              <w:top w:type="dxa" w:w="40"/>
              <w:left w:type="dxa" w:w="90"/>
              <w:bottom w:type="dxa" w:w="40"/>
              <w:right w:type="dxa" w:w="90"/>
            </w:tcMar>
          </w:tcPr>
          <w:p>
            <w:pPr>
              <w:spacing w:after="0" w:line="252"/>
              <w:jc w:val="left"/>
            </w:pPr>
            <w:r>
              <w:rPr>
                <w:b w:val="false"/>
                <w:bCs w:val="false"/>
                <w:color w:val="111418"/>
                <w:sz w:val="19"/>
                <w:szCs w:val="19"/>
              </w:rPr>
              <w:t xml:space="preserve">Per-fire oracle (ceiling)</w:t>
            </w:r>
          </w:p>
        </w:tc>
        <w:tc>
          <w:tcPr>
            <w:tcW w:type="dxa" w:w="3120"/>
            <w:tcMar>
              <w:top w:type="dxa" w:w="40"/>
              <w:left w:type="dxa" w:w="90"/>
              <w:bottom w:type="dxa" w:w="40"/>
              <w:right w:type="dxa" w:w="90"/>
            </w:tcMar>
          </w:tcPr>
          <w:p>
            <w:pPr>
              <w:spacing w:after="0" w:line="252"/>
              <w:jc w:val="left"/>
            </w:pPr>
            <w:r>
              <w:rPr>
                <w:b w:val="false"/>
                <w:bCs w:val="false"/>
                <w:color w:val="111418"/>
                <w:sz w:val="19"/>
                <w:szCs w:val="19"/>
              </w:rPr>
              <w:t xml:space="preserve">+0.464</w:t>
            </w:r>
          </w:p>
        </w:tc>
        <w:tc>
          <w:tcPr>
            <w:tcW w:type="dxa" w:w="2496"/>
            <w:tcMar>
              <w:top w:type="dxa" w:w="40"/>
              <w:left w:type="dxa" w:w="90"/>
              <w:bottom w:type="dxa" w:w="40"/>
              <w:right w:type="dxa" w:w="90"/>
            </w:tcMar>
          </w:tcPr>
          <w:p>
            <w:pPr>
              <w:spacing w:after="0" w:line="252"/>
              <w:jc w:val="left"/>
            </w:pPr>
            <w:r>
              <w:rPr>
                <w:b w:val="false"/>
                <w:bCs w:val="false"/>
                <w:color w:val="111418"/>
                <w:sz w:val="19"/>
                <w:szCs w:val="19"/>
              </w:rPr>
              <w:t xml:space="preserve">29 / 29</w:t>
            </w:r>
          </w:p>
        </w:tc>
      </w:tr>
    </w:tbl>
    <w:p>
      <w:pPr>
        <w:pStyle w:val="Heading2"/>
        <w:spacing w:after="80" w:before="200"/>
      </w:pPr>
      <w:r>
        <w:rPr>
          <w:b/>
          <w:bCs/>
          <w:color w:val="111418"/>
        </w:rPr>
        <w:t xml:space="preserve">7.2 The spatial model closes the gap</w:t>
      </w:r>
    </w:p>
    <w:p>
      <w:pPr>
        <w:spacing w:after="120" w:line="276"/>
      </w:pPr>
      <w:r>
        <w:rPr>
          <w:b w:val="false"/>
          <w:bCs w:val="false"/>
          <w:i w:val="false"/>
          <w:iCs w:val="false"/>
          <w:color w:val="111418"/>
        </w:rPr>
        <w:t xml:space="preserve">A U-Net over the RBR field reaches the per-fire oracle ceiling, and richer inputs help more than a fancier architecture.</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368"/>
        <w:gridCol w:w="2704"/>
        <w:gridCol w:w="2288"/>
      </w:tblGrid>
      <w:tr>
        <w:trPr>
          <w:tblHeader/>
        </w:trPr>
        <w:tc>
          <w:tcPr>
            <w:tcW w:type="dxa" w:w="4368"/>
            <w:shd w:fill="EAF1FB" w:color="auto" w:val="clear"/>
            <w:tcMar>
              <w:top w:type="dxa" w:w="40"/>
              <w:left w:type="dxa" w:w="90"/>
              <w:bottom w:type="dxa" w:w="40"/>
              <w:right w:type="dxa" w:w="90"/>
            </w:tcMar>
          </w:tcPr>
          <w:p>
            <w:pPr>
              <w:spacing w:after="0" w:line="252"/>
              <w:jc w:val="left"/>
            </w:pPr>
            <w:r>
              <w:rPr>
                <w:b/>
                <w:bCs/>
                <w:color w:val="111418"/>
                <w:sz w:val="19"/>
                <w:szCs w:val="19"/>
              </w:rPr>
              <w:t xml:space="preserve">Model (32 fires, 5 leakage-proof folds)</w:t>
            </w:r>
          </w:p>
        </w:tc>
        <w:tc>
          <w:tcPr>
            <w:tcW w:type="dxa" w:w="2704"/>
            <w:shd w:fill="EAF1FB" w:color="auto" w:val="clear"/>
            <w:tcMar>
              <w:top w:type="dxa" w:w="40"/>
              <w:left w:type="dxa" w:w="90"/>
              <w:bottom w:type="dxa" w:w="40"/>
              <w:right w:type="dxa" w:w="90"/>
            </w:tcMar>
          </w:tcPr>
          <w:p>
            <w:pPr>
              <w:spacing w:after="0" w:line="252"/>
              <w:jc w:val="left"/>
            </w:pPr>
            <w:r>
              <w:rPr>
                <w:b/>
                <w:bCs/>
                <w:color w:val="111418"/>
                <w:sz w:val="19"/>
                <w:szCs w:val="19"/>
              </w:rPr>
              <w:t xml:space="preserve">Mean skill over naive</w:t>
            </w:r>
          </w:p>
        </w:tc>
        <w:tc>
          <w:tcPr>
            <w:tcW w:type="dxa" w:w="2288"/>
            <w:shd w:fill="EAF1FB" w:color="auto" w:val="clear"/>
            <w:tcMar>
              <w:top w:type="dxa" w:w="40"/>
              <w:left w:type="dxa" w:w="90"/>
              <w:bottom w:type="dxa" w:w="40"/>
              <w:right w:type="dxa" w:w="90"/>
            </w:tcMar>
          </w:tcPr>
          <w:p>
            <w:pPr>
              <w:spacing w:after="0" w:line="252"/>
              <w:jc w:val="left"/>
            </w:pPr>
            <w:r>
              <w:rPr>
                <w:b/>
                <w:bCs/>
                <w:color w:val="111418"/>
                <w:sz w:val="19"/>
                <w:szCs w:val="19"/>
              </w:rPr>
              <w:t xml:space="preserve">Wins vs naive</w:t>
            </w:r>
          </w:p>
        </w:tc>
      </w:tr>
      <w:tr>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Global threshold (Youden)</w:t>
            </w:r>
          </w:p>
        </w:tc>
        <w:tc>
          <w:tcPr>
            <w:tcW w:type="dxa" w:w="2704"/>
            <w:tcMar>
              <w:top w:type="dxa" w:w="40"/>
              <w:left w:type="dxa" w:w="90"/>
              <w:bottom w:type="dxa" w:w="40"/>
              <w:right w:type="dxa" w:w="90"/>
            </w:tcMar>
          </w:tcPr>
          <w:p>
            <w:pPr>
              <w:spacing w:after="0" w:line="252"/>
              <w:jc w:val="left"/>
            </w:pPr>
            <w:r>
              <w:rPr>
                <w:b w:val="false"/>
                <w:bCs w:val="false"/>
                <w:color w:val="111418"/>
                <w:sz w:val="19"/>
                <w:szCs w:val="19"/>
              </w:rPr>
              <w:t xml:space="preserve">+0.000</w:t>
            </w:r>
          </w:p>
        </w:tc>
        <w:tc>
          <w:tcPr>
            <w:tcW w:type="dxa" w:w="2288"/>
            <w:tcMar>
              <w:top w:type="dxa" w:w="40"/>
              <w:left w:type="dxa" w:w="90"/>
              <w:bottom w:type="dxa" w:w="40"/>
              <w:right w:type="dxa" w:w="90"/>
            </w:tcMar>
          </w:tcPr>
          <w:p>
            <w:pPr>
              <w:spacing w:after="0" w:line="252"/>
              <w:jc w:val="left"/>
            </w:pPr>
            <w:r>
              <w:rPr>
                <w:b w:val="false"/>
                <w:bCs w:val="false"/>
                <w:color w:val="111418"/>
                <w:sz w:val="19"/>
                <w:szCs w:val="19"/>
              </w:rPr>
              <w:t xml:space="preserve">~1 / 32</w:t>
            </w:r>
          </w:p>
        </w:tc>
      </w:tr>
      <w:tr>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RBR U-Net (1 channel)</w:t>
            </w:r>
          </w:p>
        </w:tc>
        <w:tc>
          <w:tcPr>
            <w:tcW w:type="dxa" w:w="2704"/>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+0.448</w:t>
            </w:r>
          </w:p>
        </w:tc>
        <w:tc>
          <w:tcPr>
            <w:tcW w:type="dxa" w:w="22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29 / 32</w:t>
            </w:r>
          </w:p>
        </w:tc>
      </w:tr>
      <w:tr>
        <w:tc>
          <w:tcPr>
            <w:tcW w:type="dxa" w:w="4368"/>
            <w:tcMar>
              <w:top w:type="dxa" w:w="40"/>
              <w:left w:type="dxa" w:w="90"/>
              <w:bottom w:type="dxa" w:w="40"/>
              <w:right w:type="dxa" w:w="90"/>
            </w:tcMar>
          </w:tcPr>
          <w:p>
            <w:pPr>
              <w:spacing w:after="0" w:line="252"/>
              <w:jc w:val="left"/>
            </w:pPr>
            <w:r>
              <w:rPr>
                <w:b w:val="false"/>
                <w:bCs w:val="false"/>
                <w:color w:val="111418"/>
                <w:sz w:val="19"/>
                <w:szCs w:val="19"/>
              </w:rPr>
              <w:t xml:space="preserve">Stack U-Net (pre/post NBR + dNBR)</w:t>
            </w:r>
          </w:p>
        </w:tc>
        <w:tc>
          <w:tcPr>
            <w:tcW w:type="dxa" w:w="2704"/>
            <w:tcMar>
              <w:top w:type="dxa" w:w="40"/>
              <w:left w:type="dxa" w:w="90"/>
              <w:bottom w:type="dxa" w:w="40"/>
              <w:right w:type="dxa" w:w="90"/>
            </w:tcMar>
          </w:tcPr>
          <w:p>
            <w:pPr>
              <w:spacing w:after="0" w:line="252"/>
              <w:jc w:val="left"/>
            </w:pPr>
            <w:r>
              <w:rPr>
                <w:b w:val="false"/>
                <w:bCs w:val="false"/>
                <w:color w:val="111418"/>
                <w:sz w:val="19"/>
                <w:szCs w:val="19"/>
              </w:rPr>
              <w:t xml:space="preserve">+0.538</w:t>
            </w:r>
          </w:p>
        </w:tc>
        <w:tc>
          <w:tcPr>
            <w:tcW w:type="dxa" w:w="2288"/>
            <w:tcMar>
              <w:top w:type="dxa" w:w="40"/>
              <w:left w:type="dxa" w:w="90"/>
              <w:bottom w:type="dxa" w:w="40"/>
              <w:right w:type="dxa" w:w="90"/>
            </w:tcMar>
          </w:tcPr>
          <w:p>
            <w:pPr>
              <w:spacing w:after="0" w:line="252"/>
              <w:jc w:val="left"/>
            </w:pPr>
            <w:r>
              <w:rPr>
                <w:b w:val="false"/>
                <w:bCs w:val="false"/>
                <w:color w:val="111418"/>
                <w:sz w:val="19"/>
                <w:szCs w:val="19"/>
              </w:rPr>
              <w:t xml:space="preserve">30 / 32</w:t>
            </w:r>
          </w:p>
        </w:tc>
      </w:tr>
      <w:tr>
        <w:tc>
          <w:tcPr>
            <w:tcW w:type="dxa" w:w="436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Siamese change model</w:t>
            </w:r>
          </w:p>
        </w:tc>
        <w:tc>
          <w:tcPr>
            <w:tcW w:type="dxa" w:w="2704"/>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+0.533</w:t>
            </w:r>
          </w:p>
        </w:tc>
        <w:tc>
          <w:tcPr>
            <w:tcW w:type="dxa" w:w="22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30 / 32</w:t>
            </w:r>
          </w:p>
        </w:tc>
      </w:tr>
    </w:tbl>
    <w:p>
      <w:pPr>
        <w:spacing w:after="120" w:line="276"/>
      </w:pPr>
      <w:r>
        <w:rPr>
          <w:b w:val="false"/>
          <w:bCs w:val="false"/>
          <w:i w:val="false"/>
          <w:iCs w:val="false"/>
          <w:color w:val="111418"/>
        </w:rPr>
        <w:t xml:space="preserve">Inputs matter more than architecture, and the spatial model matters most: the stack U-Net beats the single-channel RBR U-Net by about 20 percent relative, while the Siamese architecture earns nothing over a plain multi-channel U-Net.</w:t>
      </w:r>
    </w:p>
    <w:p>
      <w:pPr>
        <w:pStyle w:val="Heading2"/>
        <w:spacing w:after="80" w:before="200"/>
      </w:pPr>
      <w:r>
        <w:rPr>
          <w:b/>
          <w:bCs/>
          <w:color w:val="111418"/>
        </w:rPr>
        <w:t xml:space="preserve">7.3 Cross-continent transfer and the foundation model</w:t>
      </w:r>
    </w:p>
    <w:p>
      <w:pPr>
        <w:spacing w:after="120" w:line="276"/>
      </w:pPr>
      <w:r>
        <w:rPr>
          <w:b w:val="false"/>
          <w:bCs w:val="false"/>
          <w:i w:val="false"/>
          <w:iCs w:val="false"/>
          <w:color w:val="111418"/>
        </w:rPr>
        <w:t xml:space="preserve">Training on US MTBS and testing on Greek EMS fires, the RBR threshold falls from within-CONUS F1 0.87 to cross-continent F1 0.582, a roughly 0.28 generalisation gap; a result near 0.87 here would have signalled leakage. Climate stratification recovers most of the achievable skill within a zone, but a single transferred threshold fails outright in the Csb zone even where the local oracle is strong, which points to the scale-adaptive U-Net as the durable fix. The Prithvi-EO-2.0 300M BurnScars foundation model, fine-tuned with class rebalancing and a Dice loss, reached per-fire mean skill +0.398 (from +0.054 naive), beat a same-fire post-fire NBR threshold (+0.398 versus +0.163), and, most importantly, transferred from CONUS to nine unseen European fires better than a CONUS-tuned threshold.</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784"/>
        <w:gridCol w:w="2288"/>
        <w:gridCol w:w="2288"/>
      </w:tblGrid>
      <w:tr>
        <w:trPr>
          <w:tblHeader/>
        </w:trPr>
        <w:tc>
          <w:tcPr>
            <w:tcW w:type="dxa" w:w="4784"/>
            <w:shd w:fill="EAF1FB" w:color="auto" w:val="clear"/>
            <w:tcMar>
              <w:top w:type="dxa" w:w="40"/>
              <w:left w:type="dxa" w:w="90"/>
              <w:bottom w:type="dxa" w:w="40"/>
              <w:right w:type="dxa" w:w="90"/>
            </w:tcMar>
          </w:tcPr>
          <w:p>
            <w:pPr>
              <w:spacing w:after="0" w:line="252"/>
              <w:jc w:val="left"/>
            </w:pPr>
            <w:r>
              <w:rPr>
                <w:b/>
                <w:bCs/>
                <w:color w:val="111418"/>
                <w:sz w:val="19"/>
                <w:szCs w:val="19"/>
              </w:rPr>
              <w:t xml:space="preserve">Leave-one-continent-out (CONUS to Europe)</w:t>
            </w:r>
          </w:p>
        </w:tc>
        <w:tc>
          <w:tcPr>
            <w:tcW w:type="dxa" w:w="2288"/>
            <w:shd w:fill="EAF1FB" w:color="auto" w:val="clear"/>
            <w:tcMar>
              <w:top w:type="dxa" w:w="40"/>
              <w:left w:type="dxa" w:w="90"/>
              <w:bottom w:type="dxa" w:w="40"/>
              <w:right w:type="dxa" w:w="90"/>
            </w:tcMar>
          </w:tcPr>
          <w:p>
            <w:pPr>
              <w:spacing w:after="0" w:line="252"/>
              <w:jc w:val="left"/>
            </w:pPr>
            <w:r>
              <w:rPr>
                <w:b/>
                <w:bCs/>
                <w:color w:val="111418"/>
                <w:sz w:val="19"/>
                <w:szCs w:val="19"/>
              </w:rPr>
              <w:t xml:space="preserve">Mean skill</w:t>
            </w:r>
          </w:p>
        </w:tc>
        <w:tc>
          <w:tcPr>
            <w:tcW w:type="dxa" w:w="2288"/>
            <w:shd w:fill="EAF1FB" w:color="auto" w:val="clear"/>
            <w:tcMar>
              <w:top w:type="dxa" w:w="40"/>
              <w:left w:type="dxa" w:w="90"/>
              <w:bottom w:type="dxa" w:w="40"/>
              <w:right w:type="dxa" w:w="90"/>
            </w:tcMar>
          </w:tcPr>
          <w:p>
            <w:pPr>
              <w:spacing w:after="0" w:line="252"/>
              <w:jc w:val="left"/>
            </w:pPr>
            <w:r>
              <w:rPr>
                <w:b/>
                <w:bCs/>
                <w:color w:val="111418"/>
                <w:sz w:val="19"/>
                <w:szCs w:val="19"/>
              </w:rPr>
              <w:t xml:space="preserve">Fires won</w:t>
            </w:r>
          </w:p>
        </w:tc>
      </w:tr>
      <w:tr>
        <w:tc>
          <w:tcPr>
            <w:tcW w:type="dxa" w:w="4784"/>
            <w:tcMar>
              <w:top w:type="dxa" w:w="40"/>
              <w:left w:type="dxa" w:w="90"/>
              <w:bottom w:type="dxa" w:w="40"/>
              <w:right w:type="dxa" w:w="90"/>
            </w:tcMar>
          </w:tcPr>
          <w:p>
            <w:pPr>
              <w:spacing w:after="0" w:line="252"/>
              <w:jc w:val="left"/>
            </w:pPr>
            <w:r>
              <w:rPr>
                <w:b w:val="false"/>
                <w:bCs w:val="false"/>
                <w:color w:val="111418"/>
                <w:sz w:val="19"/>
                <w:szCs w:val="19"/>
              </w:rPr>
              <w:t xml:space="preserve">CONUS-trained Prithvi on Europe</w:t>
            </w:r>
          </w:p>
        </w:tc>
        <w:tc>
          <w:tcPr>
            <w:tcW w:type="dxa" w:w="2288"/>
            <w:tcMar>
              <w:top w:type="dxa" w:w="40"/>
              <w:left w:type="dxa" w:w="90"/>
              <w:bottom w:type="dxa" w:w="40"/>
              <w:right w:type="dxa" w:w="90"/>
            </w:tcMar>
          </w:tcPr>
          <w:p>
            <w:pPr>
              <w:spacing w:after="0" w:line="252"/>
              <w:jc w:val="left"/>
            </w:pPr>
            <w:r>
              <w:rPr>
                <w:b w:val="false"/>
                <w:bCs w:val="false"/>
                <w:color w:val="111418"/>
                <w:sz w:val="19"/>
                <w:szCs w:val="19"/>
              </w:rPr>
              <w:t xml:space="preserve">+0.488</w:t>
            </w:r>
          </w:p>
        </w:tc>
        <w:tc>
          <w:tcPr>
            <w:tcW w:type="dxa" w:w="2288"/>
            <w:tcMar>
              <w:top w:type="dxa" w:w="40"/>
              <w:left w:type="dxa" w:w="90"/>
              <w:bottom w:type="dxa" w:w="40"/>
              <w:right w:type="dxa" w:w="90"/>
            </w:tcMar>
          </w:tcPr>
          <w:p>
            <w:pPr>
              <w:spacing w:after="0" w:line="252"/>
              <w:jc w:val="left"/>
            </w:pPr>
            <w:r>
              <w:rPr>
                <w:b w:val="false"/>
                <w:bCs w:val="false"/>
                <w:color w:val="111418"/>
                <w:sz w:val="19"/>
                <w:szCs w:val="19"/>
              </w:rPr>
              <w:t xml:space="preserve">6 / 9</w:t>
            </w:r>
          </w:p>
        </w:tc>
      </w:tr>
      <w:tr>
        <w:tc>
          <w:tcPr>
            <w:tcW w:type="dxa" w:w="4784"/>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CONUS-tuned NBR threshold on Europe</w:t>
            </w:r>
          </w:p>
        </w:tc>
        <w:tc>
          <w:tcPr>
            <w:tcW w:type="dxa" w:w="22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+0.372</w:t>
            </w:r>
          </w:p>
        </w:tc>
        <w:tc>
          <w:tcPr>
            <w:tcW w:type="dxa" w:w="22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3 / 9</w:t>
            </w:r>
          </w:p>
        </w:tc>
      </w:tr>
    </w:tbl>
    <w:p>
      <w:pPr>
        <w:spacing w:after="120" w:line="276"/>
      </w:pPr>
      <w:r>
        <w:rPr>
          <w:b w:val="false"/>
          <w:bCs w:val="false"/>
          <w:i/>
          <w:iCs/>
          <w:color w:val="5A6472"/>
        </w:rPr>
        <w:t xml:space="preserve">The pretraining bought real cross-continent generalisation. Honest scope: nine European fires is modest and Prithvi loses three of nine; a strict same-fire comparison at larger scale remains future work. A separate CONUS-2021 census found that a rasterised MTBS perimeter overstates burned area by 18.2 percent relative to the severity-classified area.</w:t>
      </w:r>
    </w:p>
    <w:p>
      <w:pPr>
        <w:pStyle w:val="Heading1"/>
        <w:spacing w:after="120" w:before="280"/>
      </w:pPr>
      <w:r>
        <w:rPr>
          <w:b/>
          <w:bCs/>
          <w:color w:val="111418"/>
        </w:rPr>
        <w:t xml:space="preserve">8. T3 fire danger</w:t>
      </w:r>
    </w:p>
    <w:p>
      <w:pPr>
        <w:spacing w:after="120" w:line="276"/>
      </w:pPr>
      <w:r>
        <w:rPr>
          <w:b w:val="false"/>
          <w:bCs w:val="false"/>
          <w:i w:val="false"/>
          <w:iCs w:val="false"/>
          <w:color w:val="111418"/>
        </w:rPr>
        <w:t xml:space="preserve">T3 refuses to collapse fire danger into a single number. It surfaces three separate quantities, each with its own model and scoring, both in the user interface and in the /v1/danger endpoint.</w:t>
      </w:r>
    </w:p>
    <w:p>
      <w:pPr>
        <w:pStyle w:val="ListParagraph"/>
        <w:numPr>
          <w:ilvl w:val="0"/>
          <w:numId w:val="1"/>
        </w:numPr>
        <w:spacing w:after="60" w:line="264"/>
      </w:pPr>
      <w:r>
        <w:rPr>
          <w:color w:val="111418"/>
        </w:rPr>
        <w:t xml:space="preserve">Fire danger indices (FWI, energy release component, burning index): conditional intensity, how a fire behaves if it starts, carrying no ignition information. The Canadian Fire Weather Index system is implemented end to end (FFMC, DMC, DC, ISI, BUI, FWI).</w:t>
      </w:r>
    </w:p>
    <w:p>
      <w:pPr>
        <w:pStyle w:val="ListParagraph"/>
        <w:numPr>
          <w:ilvl w:val="0"/>
          <w:numId w:val="1"/>
        </w:numPr>
        <w:spacing w:after="60" w:line="264"/>
      </w:pPr>
      <w:r>
        <w:rPr>
          <w:color w:val="111418"/>
        </w:rPr>
        <w:t xml:space="preserve">Ignition probability, the probability of at least one ignition in a cell on a day: a rare-event binary with base rates of 10 to the minus 5 through 10 to the minus 7 at 1 kilometre.</w:t>
      </w:r>
    </w:p>
    <w:p>
      <w:pPr>
        <w:pStyle w:val="ListParagraph"/>
        <w:numPr>
          <w:ilvl w:val="0"/>
          <w:numId w:val="1"/>
        </w:numPr>
        <w:spacing w:after="60" w:line="264"/>
      </w:pPr>
      <w:r>
        <w:rPr>
          <w:color w:val="111418"/>
        </w:rPr>
        <w:t xml:space="preserve">Expected burned area, the product of ignition probability and the expected burned area given ignition.</w:t>
      </w:r>
    </w:p>
    <w:p>
      <w:pPr>
        <w:pStyle w:val="Heading2"/>
        <w:spacing w:after="80" w:before="200"/>
      </w:pPr>
      <w:r>
        <w:rPr>
          <w:b/>
          <w:bCs/>
          <w:color w:val="111418"/>
        </w:rPr>
        <w:t xml:space="preserve">8.1 The sampling trap and its mitigations</w:t>
      </w:r>
    </w:p>
    <w:p>
      <w:pPr>
        <w:spacing w:after="120" w:line="276"/>
      </w:pPr>
      <w:r>
        <w:rPr>
          <w:b w:val="false"/>
          <w:bCs w:val="false"/>
          <w:i w:val="false"/>
          <w:iCs w:val="false"/>
          <w:color w:val="111418"/>
        </w:rPr>
        <w:t xml:space="preserve">Ignition databases are presence-only with strong reporting bias: detection rises with population and road proximity, which are the very covariates being modelled. VHAGAR applies four mitigations: target-group background sampling, negative stratification to the positive land-cover distribution, preferring satellite-detected active fire, and the King and Zeng rare-event prior correction that maps the down-sampled base rate back to the true one. On a synthetic world where true ignition depends only on weather and fuel while reporting depends on the human footprint, the effect is stark.</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536"/>
        <w:gridCol w:w="2080"/>
        <w:gridCol w:w="3744"/>
      </w:tblGrid>
      <w:tr>
        <w:trPr>
          <w:tblHeader/>
        </w:trPr>
        <w:tc>
          <w:tcPr>
            <w:tcW w:type="dxa" w:w="3536"/>
            <w:shd w:fill="EAF1FB" w:color="auto" w:val="clear"/>
            <w:tcMar>
              <w:top w:type="dxa" w:w="40"/>
              <w:left w:type="dxa" w:w="90"/>
              <w:bottom w:type="dxa" w:w="40"/>
              <w:right w:type="dxa" w:w="90"/>
            </w:tcMar>
          </w:tcPr>
          <w:p>
            <w:pPr>
              <w:spacing w:after="0" w:line="252"/>
              <w:jc w:val="left"/>
            </w:pPr>
            <w:r>
              <w:rPr>
                <w:b/>
                <w:bCs/>
                <w:color w:val="111418"/>
                <w:sz w:val="19"/>
                <w:szCs w:val="19"/>
              </w:rPr>
              <w:t xml:space="preserve">Background sampling</w:t>
            </w:r>
          </w:p>
        </w:tc>
        <w:tc>
          <w:tcPr>
            <w:tcW w:type="dxa" w:w="2080"/>
            <w:shd w:fill="EAF1FB" w:color="auto" w:val="clear"/>
            <w:tcMar>
              <w:top w:type="dxa" w:w="40"/>
              <w:left w:type="dxa" w:w="90"/>
              <w:bottom w:type="dxa" w:w="40"/>
              <w:right w:type="dxa" w:w="90"/>
            </w:tcMar>
          </w:tcPr>
          <w:p>
            <w:pPr>
              <w:spacing w:after="0" w:line="252"/>
              <w:jc w:val="left"/>
            </w:pPr>
            <w:r>
              <w:rPr>
                <w:b/>
                <w:bCs/>
                <w:color w:val="111418"/>
                <w:sz w:val="19"/>
                <w:szCs w:val="19"/>
              </w:rPr>
              <w:t xml:space="preserve">AUPRC</w:t>
            </w:r>
          </w:p>
        </w:tc>
        <w:tc>
          <w:tcPr>
            <w:tcW w:type="dxa" w:w="3744"/>
            <w:shd w:fill="EAF1FB" w:color="auto" w:val="clear"/>
            <w:tcMar>
              <w:top w:type="dxa" w:w="40"/>
              <w:left w:type="dxa" w:w="90"/>
              <w:bottom w:type="dxa" w:w="40"/>
              <w:right w:type="dxa" w:w="90"/>
            </w:tcMar>
          </w:tcPr>
          <w:p>
            <w:pPr>
              <w:spacing w:after="0" w:line="252"/>
              <w:jc w:val="left"/>
            </w:pPr>
            <w:r>
              <w:rPr>
                <w:b/>
                <w:bCs/>
                <w:color w:val="111418"/>
                <w:sz w:val="19"/>
                <w:szCs w:val="19"/>
              </w:rPr>
              <w:t xml:space="preserve">Human-footprint importance</w:t>
            </w:r>
          </w:p>
        </w:tc>
      </w:tr>
      <w:tr>
        <w:tc>
          <w:tcPr>
            <w:tcW w:type="dxa" w:w="3536"/>
            <w:tcMar>
              <w:top w:type="dxa" w:w="40"/>
              <w:left w:type="dxa" w:w="90"/>
              <w:bottom w:type="dxa" w:w="40"/>
              <w:right w:type="dxa" w:w="90"/>
            </w:tcMar>
          </w:tcPr>
          <w:p>
            <w:pPr>
              <w:spacing w:after="0" w:line="252"/>
              <w:jc w:val="left"/>
            </w:pPr>
            <w:r>
              <w:rPr>
                <w:b w:val="false"/>
                <w:bCs w:val="false"/>
                <w:color w:val="111418"/>
                <w:sz w:val="19"/>
                <w:szCs w:val="19"/>
              </w:rPr>
              <w:t xml:space="preserve">Naive random background</w:t>
            </w:r>
          </w:p>
        </w:tc>
        <w:tc>
          <w:tcPr>
            <w:tcW w:type="dxa" w:w="2080"/>
            <w:tcMar>
              <w:top w:type="dxa" w:w="40"/>
              <w:left w:type="dxa" w:w="90"/>
              <w:bottom w:type="dxa" w:w="40"/>
              <w:right w:type="dxa" w:w="90"/>
            </w:tcMar>
          </w:tcPr>
          <w:p>
            <w:pPr>
              <w:spacing w:after="0" w:line="252"/>
              <w:jc w:val="left"/>
            </w:pPr>
            <w:r>
              <w:rPr>
                <w:b w:val="false"/>
                <w:bCs w:val="false"/>
                <w:color w:val="111418"/>
                <w:sz w:val="19"/>
                <w:szCs w:val="19"/>
              </w:rPr>
              <w:t xml:space="preserve">~0.33</w:t>
            </w:r>
          </w:p>
        </w:tc>
        <w:tc>
          <w:tcPr>
            <w:tcW w:type="dxa" w:w="3744"/>
            <w:tcMar>
              <w:top w:type="dxa" w:w="40"/>
              <w:left w:type="dxa" w:w="90"/>
              <w:bottom w:type="dxa" w:w="40"/>
              <w:right w:type="dxa" w:w="90"/>
            </w:tcMar>
          </w:tcPr>
          <w:p>
            <w:pPr>
              <w:spacing w:after="0" w:line="252"/>
              <w:jc w:val="left"/>
            </w:pPr>
            <w:r>
              <w:rPr>
                <w:b w:val="false"/>
                <w:bCs w:val="false"/>
                <w:color w:val="111418"/>
                <w:sz w:val="19"/>
                <w:szCs w:val="19"/>
              </w:rPr>
              <w:t xml:space="preserve">+0.043 (people is a top feature)</w:t>
            </w:r>
          </w:p>
        </w:tc>
      </w:tr>
      <w:tr>
        <w:tc>
          <w:tcPr>
            <w:tcW w:type="dxa" w:w="3536"/>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Target-group background</w:t>
            </w:r>
          </w:p>
        </w:tc>
        <w:tc>
          <w:tcPr>
            <w:tcW w:type="dxa" w:w="208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~0.29</w:t>
            </w:r>
          </w:p>
        </w:tc>
        <w:tc>
          <w:tcPr>
            <w:tcW w:type="dxa" w:w="3744"/>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+0.011 (collapsed)</w:t>
            </w:r>
          </w:p>
        </w:tc>
      </w:tr>
    </w:tbl>
    <w:p>
      <w:pPr>
        <w:spacing w:after="120" w:line="276"/>
      </w:pPr>
      <w:r>
        <w:rPr>
          <w:b w:val="false"/>
          <w:bCs w:val="false"/>
          <w:i/>
          <w:iCs/>
          <w:color w:val="5A6472"/>
        </w:rPr>
        <w:t xml:space="preserve">Naive background inflates apparent skill and leans on the reporting artifact; target-group background drawn from the same reporting process collapses that reliance and reveals the honest, lower skill.</w:t>
      </w:r>
    </w:p>
    <w:p>
      <w:pPr>
        <w:pStyle w:val="Heading2"/>
        <w:spacing w:after="80" w:before="200"/>
      </w:pPr>
      <w:r>
        <w:rPr>
          <w:b/>
          <w:bCs/>
          <w:color w:val="111418"/>
        </w:rPr>
        <w:t xml:space="preserve">8.2 The expected-burned-area head and the deep challenger</w:t>
      </w:r>
    </w:p>
    <w:p>
      <w:pPr>
        <w:spacing w:after="120" w:line="276"/>
      </w:pPr>
      <w:r>
        <w:rPr>
          <w:b w:val="false"/>
          <w:bCs w:val="false"/>
          <w:i w:val="false"/>
          <w:iCs w:val="false"/>
          <w:color w:val="111418"/>
        </w:rPr>
        <w:t xml:space="preserve">Burned area given ignition is heavy-tailed, so VHAGAR fits the distribution, not the mean: log-space quantile gradient boosting with a generalised-Pareto peaks-over-threshold tail for the far quantiles, scored with the continuous ranked probability score and the pinball loss, never RMSE. On a synthetic world with a p99 near 1,700 hectares and a maximum near 176,000 hectares, the model beats climatology by about 9 percent on CRPS, while the RMSE fold standard deviation is about 0.9 of its mean, which is exactly why the architecture forbids selecting on it. A deep spatial challenger (a compact U-Net trained with a differentiable soft fractions-skill-score loss) is admitted only in shadow mode and promoted only if it beats gradient boosting on base-rate-preserving AUPRC and Brier; on a denoisable synthetic world it earned promotion (AUPRC about 0.12 to 0.16, fractions-skill-score at 40 kilometres 0.58 to 0.64). The gate is the deliverable, not the verdict.</w:t>
      </w:r>
    </w:p>
    <w:p>
      <w:pPr>
        <w:spacing w:after="120" w:line="276"/>
      </w:pPr>
      <w:r>
        <w:rPr>
          <w:rFonts w:ascii="Times New Roman" w:hAnsi="Times New Roman" w:eastAsia="Times New Roman"/>
        </w:rPr>
        <w:t>Real-data results (2026-09-20). Both T3 heads were trained and evaluated on the real FPA-FOD corpus (455,864 CONUS fires, 2015 to 2020) with leakage-safe protocols. The ignition occurrence climatology reaches temporal-holdout AUPRC 0.72 against a 0.43 base rate (Brier 0.194 versus 0.245), evidence that historical persistence carries real skill; on spatially held-out 5-degree blocks it ties the base rate (AUPRC 0.71), the honest limit that predicting ignition in unseen locations needs weather and fuel covariates, which remains future work. The conditional burned-area size model, using cause and season features only, improves on the size climatology by just 0.5 percent CRPS (45.89 versus 46.14; fold-to-fold RMSE 1290 plus or minus 363 confirms the tail instability that motivates CRPS over RMSE), the honest finding that fire size is governed by weather, fuel, and suppression rather than cause and season.</w:t>
      </w:r>
    </w:p>
    <w:p>
      <w:pPr>
        <w:pStyle w:val="Heading1"/>
        <w:spacing w:after="120" w:before="280"/>
      </w:pPr>
      <w:r>
        <w:rPr>
          <w:b/>
          <w:bCs/>
          <w:color w:val="111418"/>
        </w:rPr>
        <w:t xml:space="preserve">9. T4 spread</w:t>
      </w:r>
    </w:p>
    <w:p>
      <w:pPr>
        <w:spacing w:after="120" w:line="276"/>
      </w:pPr>
      <w:r>
        <w:rPr>
          <w:b w:val="false"/>
          <w:bCs w:val="false"/>
          <w:i w:val="false"/>
          <w:iCs w:val="false"/>
          <w:color w:val="111418"/>
        </w:rPr>
        <w:t xml:space="preserve">T4 forecasts where an active fire goes over the next 12 to 72 hours. The stated ceiling is deliberately modest: next-day burned-mask average precision of 0.35 to 0.45 and intersection-over-union of 0.6 to 0.8 on wind-driven fires with assimilation, materially worse on plume-dominated ones. The binding constraints are label quality, fuel-map error, wind downscaling, and unmodelled suppression, not model architecture. Any claim much above 0.5 average precision on next-day spread is almost certainly a leaky split or cumulative-rather-than-incremental burned area.</w:t>
      </w:r>
    </w:p>
    <w:p>
      <w:pPr>
        <w:pStyle w:val="Heading2"/>
        <w:spacing w:after="80" w:before="200"/>
      </w:pPr>
      <w:r>
        <w:rPr>
          <w:b/>
          <w:bCs/>
          <w:color w:val="111418"/>
        </w:rPr>
        <w:t xml:space="preserve">9.1 The physics propagation core</w:t>
      </w:r>
    </w:p>
    <w:p>
      <w:pPr>
        <w:spacing w:after="120" w:line="276"/>
      </w:pPr>
      <w:r>
        <w:rPr>
          <w:b w:val="false"/>
          <w:bCs w:val="false"/>
          <w:i w:val="false"/>
          <w:iCs w:val="false"/>
          <w:color w:val="111418"/>
        </w:rPr>
        <w:t xml:space="preserve">A fire perimeter is the level set of an arrival-time field that satisfies the Eikonal equation, gradient magnitude equals one over the rate of spread. VHAGAR solves it with a hand-rolled Fast Marching Method (order N log N, exact upwind, no time stepping, no self-intersecting polygons). Wind-driven anisotropy uses the Richards elliptical wavelet, with eccentricity from a wind-driven length-to-breadth ratio. The anisotropic solver was verified: zero wind produces a circle (measured length-to-breadth 1.00), and wind elongates the head downwind (measured length-to-breadth 2.12, 3.46, and 3.86 at increasing wind, tracking the prescribed values).</w:t>
      </w:r>
    </w:p>
    <w:p>
      <w:pPr>
        <w:pStyle w:val="Heading2"/>
        <w:spacing w:after="80" w:before="200"/>
      </w:pPr>
      <w:r>
        <w:rPr>
          <w:b/>
          <w:bCs/>
          <w:color w:val="111418"/>
        </w:rPr>
        <w:t xml:space="preserve">9.2 Honest validation and the assimilation win</w:t>
      </w:r>
    </w:p>
    <w:p>
      <w:pPr>
        <w:spacing w:after="120" w:line="276"/>
      </w:pPr>
      <w:r>
        <w:rPr>
          <w:b w:val="false"/>
          <w:bCs w:val="false"/>
          <w:i w:val="false"/>
          <w:iCs w:val="false"/>
          <w:color w:val="111418"/>
        </w:rPr>
        <w:t xml:space="preserve">The validation harness grows a synthetic fire to truth, then hides three effects the forecaster cannot see (suppression, spotting, fine-scale fuel heterogeneity) and gives the forecaster only the initial perimeter plus a spatially correlated wrong rate of spread. Scoring is on the incremental new-burn region only, never cumulative.</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3315"/>
        <w:gridCol w:w="1365"/>
        <w:gridCol w:w="1365"/>
        <w:gridCol w:w="1365"/>
        <w:gridCol w:w="1950"/>
      </w:tblGrid>
      <w:tr>
        <w:trPr>
          <w:tblHeader/>
        </w:trPr>
        <w:tc>
          <w:tcPr>
            <w:tcW w:type="dxa" w:w="3315"/>
            <w:shd w:fill="EAF1FB" w:color="auto" w:val="clear"/>
            <w:tcMar>
              <w:top w:type="dxa" w:w="40"/>
              <w:left w:type="dxa" w:w="90"/>
              <w:bottom w:type="dxa" w:w="40"/>
              <w:right w:type="dxa" w:w="90"/>
            </w:tcMar>
          </w:tcPr>
          <w:p>
            <w:pPr>
              <w:spacing w:after="0" w:line="252"/>
              <w:jc w:val="left"/>
            </w:pPr>
            <w:r>
              <w:rPr>
                <w:b/>
                <w:bCs/>
                <w:color w:val="111418"/>
                <w:sz w:val="19"/>
                <w:szCs w:val="19"/>
              </w:rPr>
              <w:t xml:space="preserve">Model</w:t>
            </w:r>
          </w:p>
        </w:tc>
        <w:tc>
          <w:tcPr>
            <w:tcW w:type="dxa" w:w="1365"/>
            <w:shd w:fill="EAF1FB" w:color="auto" w:val="clear"/>
            <w:tcMar>
              <w:top w:type="dxa" w:w="40"/>
              <w:left w:type="dxa" w:w="90"/>
              <w:bottom w:type="dxa" w:w="40"/>
              <w:right w:type="dxa" w:w="90"/>
            </w:tcMar>
          </w:tcPr>
          <w:p>
            <w:pPr>
              <w:spacing w:after="0" w:line="252"/>
              <w:jc w:val="left"/>
            </w:pPr>
            <w:r>
              <w:rPr>
                <w:b/>
                <w:bCs/>
                <w:color w:val="111418"/>
                <w:sz w:val="19"/>
                <w:szCs w:val="19"/>
              </w:rPr>
              <w:t xml:space="preserve">AP</w:t>
            </w:r>
          </w:p>
        </w:tc>
        <w:tc>
          <w:tcPr>
            <w:tcW w:type="dxa" w:w="1365"/>
            <w:shd w:fill="EAF1FB" w:color="auto" w:val="clear"/>
            <w:tcMar>
              <w:top w:type="dxa" w:w="40"/>
              <w:left w:type="dxa" w:w="90"/>
              <w:bottom w:type="dxa" w:w="40"/>
              <w:right w:type="dxa" w:w="90"/>
            </w:tcMar>
          </w:tcPr>
          <w:p>
            <w:pPr>
              <w:spacing w:after="0" w:line="252"/>
              <w:jc w:val="left"/>
            </w:pPr>
            <w:r>
              <w:rPr>
                <w:b/>
                <w:bCs/>
                <w:color w:val="111418"/>
                <w:sz w:val="19"/>
                <w:szCs w:val="19"/>
              </w:rPr>
              <w:t xml:space="preserve">IoU</w:t>
            </w:r>
          </w:p>
        </w:tc>
        <w:tc>
          <w:tcPr>
            <w:tcW w:type="dxa" w:w="1365"/>
            <w:shd w:fill="EAF1FB" w:color="auto" w:val="clear"/>
            <w:tcMar>
              <w:top w:type="dxa" w:w="40"/>
              <w:left w:type="dxa" w:w="90"/>
              <w:bottom w:type="dxa" w:w="40"/>
              <w:right w:type="dxa" w:w="90"/>
            </w:tcMar>
          </w:tcPr>
          <w:p>
            <w:pPr>
              <w:spacing w:after="0" w:line="252"/>
              <w:jc w:val="left"/>
            </w:pPr>
            <w:r>
              <w:rPr>
                <w:b/>
                <w:bCs/>
                <w:color w:val="111418"/>
                <w:sz w:val="19"/>
                <w:szCs w:val="19"/>
              </w:rPr>
              <w:t xml:space="preserve">Dice</w:t>
            </w:r>
          </w:p>
        </w:tc>
        <w:tc>
          <w:tcPr>
            <w:tcW w:type="dxa" w:w="1950"/>
            <w:shd w:fill="EAF1FB" w:color="auto" w:val="clear"/>
            <w:tcMar>
              <w:top w:type="dxa" w:w="40"/>
              <w:left w:type="dxa" w:w="90"/>
              <w:bottom w:type="dxa" w:w="40"/>
              <w:right w:type="dxa" w:w="90"/>
            </w:tcMar>
          </w:tcPr>
          <w:p>
            <w:pPr>
              <w:spacing w:after="0" w:line="252"/>
              <w:jc w:val="left"/>
            </w:pPr>
            <w:r>
              <w:rPr>
                <w:b/>
                <w:bCs/>
                <w:color w:val="111418"/>
                <w:sz w:val="19"/>
                <w:szCs w:val="19"/>
              </w:rPr>
              <w:t xml:space="preserve">Burned-area ratio</w:t>
            </w:r>
          </w:p>
        </w:tc>
      </w:tr>
      <w:tr>
        <w:tc>
          <w:tcPr>
            <w:tcW w:type="dxa" w:w="3315"/>
            <w:tcMar>
              <w:top w:type="dxa" w:w="40"/>
              <w:left w:type="dxa" w:w="90"/>
              <w:bottom w:type="dxa" w:w="40"/>
              <w:right w:type="dxa" w:w="90"/>
            </w:tcMar>
          </w:tcPr>
          <w:p>
            <w:pPr>
              <w:spacing w:after="0" w:line="252"/>
              <w:jc w:val="left"/>
            </w:pPr>
            <w:r>
              <w:rPr>
                <w:b w:val="false"/>
                <w:bCs w:val="false"/>
                <w:color w:val="111418"/>
                <w:sz w:val="19"/>
                <w:szCs w:val="19"/>
              </w:rPr>
              <w:t xml:space="preserve">Physics level-set</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~0.77</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~0.57</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~0.72</w:t>
            </w:r>
          </w:p>
        </w:tc>
        <w:tc>
          <w:tcPr>
            <w:tcW w:type="dxa" w:w="1950"/>
            <w:tcMar>
              <w:top w:type="dxa" w:w="40"/>
              <w:left w:type="dxa" w:w="90"/>
              <w:bottom w:type="dxa" w:w="40"/>
              <w:right w:type="dxa" w:w="90"/>
            </w:tcMar>
          </w:tcPr>
          <w:p>
            <w:pPr>
              <w:spacing w:after="0" w:line="252"/>
              <w:jc w:val="left"/>
            </w:pPr>
            <w:r>
              <w:rPr>
                <w:b w:val="false"/>
                <w:bCs w:val="false"/>
                <w:color w:val="111418"/>
                <w:sz w:val="19"/>
                <w:szCs w:val="19"/>
              </w:rPr>
              <w:t xml:space="preserve">~1.4</w:t>
            </w:r>
          </w:p>
        </w:tc>
      </w:tr>
      <w:tr>
        <w:tc>
          <w:tcPr>
            <w:tcW w:type="dxa" w:w="331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Persistence + calibrated buffer</w:t>
            </w:r>
          </w:p>
        </w:tc>
        <w:tc>
          <w:tcPr>
            <w:tcW w:type="dxa" w:w="136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~0.75</w:t>
            </w:r>
          </w:p>
        </w:tc>
        <w:tc>
          <w:tcPr>
            <w:tcW w:type="dxa" w:w="136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~0.45</w:t>
            </w:r>
          </w:p>
        </w:tc>
        <w:tc>
          <w:tcPr>
            <w:tcW w:type="dxa" w:w="1365"/>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~0.62</w:t>
            </w:r>
          </w:p>
        </w:tc>
        <w:tc>
          <w:tcPr>
            <w:tcW w:type="dxa" w:w="1950"/>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~0.65</w:t>
            </w:r>
          </w:p>
        </w:tc>
      </w:tr>
      <w:tr>
        <w:tc>
          <w:tcPr>
            <w:tcW w:type="dxa" w:w="3315"/>
            <w:tcMar>
              <w:top w:type="dxa" w:w="40"/>
              <w:left w:type="dxa" w:w="90"/>
              <w:bottom w:type="dxa" w:w="40"/>
              <w:right w:type="dxa" w:w="90"/>
            </w:tcMar>
          </w:tcPr>
          <w:p>
            <w:pPr>
              <w:spacing w:after="0" w:line="252"/>
              <w:jc w:val="left"/>
            </w:pPr>
            <w:r>
              <w:rPr>
                <w:b w:val="false"/>
                <w:bCs w:val="false"/>
                <w:color w:val="111418"/>
                <w:sz w:val="19"/>
                <w:szCs w:val="19"/>
              </w:rPr>
              <w:t xml:space="preserve">Persistence</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~0.11</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w:t>
            </w:r>
          </w:p>
        </w:tc>
        <w:tc>
          <w:tcPr>
            <w:tcW w:type="dxa" w:w="1365"/>
            <w:tcMar>
              <w:top w:type="dxa" w:w="40"/>
              <w:left w:type="dxa" w:w="90"/>
              <w:bottom w:type="dxa" w:w="40"/>
              <w:right w:type="dxa" w:w="90"/>
            </w:tcMar>
          </w:tcPr>
          <w:p>
            <w:pPr>
              <w:spacing w:after="0" w:line="252"/>
              <w:jc w:val="left"/>
            </w:pPr>
            <w:r>
              <w:rPr>
                <w:b w:val="false"/>
                <w:bCs w:val="false"/>
                <w:color w:val="111418"/>
                <w:sz w:val="19"/>
                <w:szCs w:val="19"/>
              </w:rPr>
              <w:t xml:space="preserve">0</w:t>
            </w:r>
          </w:p>
        </w:tc>
        <w:tc>
          <w:tcPr>
            <w:tcW w:type="dxa" w:w="1950"/>
            <w:tcMar>
              <w:top w:type="dxa" w:w="40"/>
              <w:left w:type="dxa" w:w="90"/>
              <w:bottom w:type="dxa" w:w="40"/>
              <w:right w:type="dxa" w:w="90"/>
            </w:tcMar>
          </w:tcPr>
          <w:p>
            <w:pPr>
              <w:spacing w:after="0" w:line="252"/>
              <w:jc w:val="left"/>
            </w:pPr>
            <w:r>
              <w:rPr>
                <w:b w:val="false"/>
                <w:bCs w:val="false"/>
                <w:color w:val="111418"/>
                <w:sz w:val="19"/>
                <w:szCs w:val="19"/>
              </w:rPr>
              <w:t xml:space="preserve">0</w:t>
            </w:r>
          </w:p>
        </w:tc>
      </w:tr>
    </w:tbl>
    <w:p>
      <w:pPr>
        <w:spacing w:after="120" w:line="276"/>
      </w:pPr>
      <w:r>
        <w:rPr>
          <w:b w:val="false"/>
          <w:bCs w:val="false"/>
          <w:i/>
          <w:iCs/>
          <w:color w:val="5A6472"/>
        </w:rPr>
        <w:t xml:space="preserve">Physics beats both mandatory baselines and the intersection-over-union sits at the edge of the cited wind-driven band, but the absolute average precision of 0.77 is flagged optimistic because the synthetic truth is a perturbed level set close to the forecaster's own model class; the real ceiling is 0.35 to 0.45. A burned-area ratio above one is the honest tell of over-prediction from unseen suppression.</w:t>
      </w:r>
    </w:p>
    <w:p>
      <w:pPr/>
      <w:r>
        <w:t>Update, real-data forward run, a held-out-detection check, not a perimeter validation. The assimilation loop was also run on real NASA FIRMS VIIRS timed detections (August 2026) for the six largest western United States fire complexes, calibrating the per-fire rate-of-spread scale on the early detections and scoring the forecast against held-out later detections on new burn only. The mean held-out Sorensen coefficient is 0.30, with mean probability of detection 1.00 and mean false-alarm ratio 0.82, which lands in the real-skill band predicted above and far below the optimistic synthetic average precision of 0.77. The honest failure mode is over-prediction: the forecast recalls essentially all new burn but over-spreads, which points to real fuels and a suppression term. Scope: the truth is coarse, roughly 1 kilometre, held-out VIIRS active-fire detections, a recall proxy, not a mapped future perimeter or an incremental burned-area mask; the run uses a nominal rate-of-spread prior (only the scalar scale is calibrated from real data) and half-degree FIRMS detection clusters. See scripts/t4_real_viirs.py.</w:t>
      </w:r>
    </w:p>
    <w:p>
      <w:pPr/>
      <w:r>
        <w:rPr>
          <w:rFonts w:ascii="Times New Roman" w:hAnsi="Times New Roman" w:eastAsia="Times New Roman"/>
        </w:rPr>
        <w:t>Update, mapped-perimeter validation against MTBS. The front was also scored against real mapped fire perimeters, not only detection proxies, using the MTBS 2021 CONUS severity raster for five large western fires (Dixie, Caldor, Bootleg, Monument, River Complex, about 800,000 hectares total). The elliptical arrival-time front's reconstructed perimeter is compared to the real burned mask by intersection-over-union and Sorensen against an equal-area circle baseline. Honest scope: this is a shape-family adequacy test, the final area, dominant axis and length-to-breadth are taken from the truth mask, so only the front geometry is under test; it is not a blind next-day forecast. The result is an honest split decision: mean intersection-over-union is 0.46 for the front against 0.50 for the circle, so the single-wind ellipse does not win on average, because large multi-day footprints trend round. But it beats the circle on every strongly wind-elongated fire (Dixie length-to-breadth 2.3, 0.42 against 0.36; Caldor 2.6, 0.59 against 0.51; River Complex 1.9, 0.54 against 0.53) and loses only on the compact ones (Bootleg 1.7, Monument 1.5). The reading is that a single-wind ellipse earns its keep precisely when the fire is wind-driven; reproducing compact multi-day complexes needs time-resolved perimeters with time-varying wind and fuel breaks. See vhagar.eval.perimeter_shape and scripts/t4_mtbs_perimeter.py.</w:t>
      </w:r>
    </w:p>
    <w:p>
      <w:pPr>
        <w:pStyle w:val="Heading2"/>
        <w:spacing w:after="80" w:before="200"/>
      </w:pPr>
      <w:r>
        <w:rPr>
          <w:b/>
          <w:bCs/>
          <w:color w:val="111418"/>
        </w:rPr>
        <w:t xml:space="preserve">9.3 State estimation, assimilation, and the conditional GAN</w:t>
      </w:r>
    </w:p>
    <w:p>
      <w:pPr>
        <w:spacing w:after="120" w:line="276"/>
      </w:pPr>
      <w:r>
        <w:rPr>
          <w:b w:val="false"/>
          <w:bCs w:val="false"/>
          <w:i w:val="false"/>
          <w:iCs w:val="false"/>
          <w:color w:val="111418"/>
        </w:rPr>
        <w:t xml:space="preserve">The highest-return-on-investment piece is arrival-time state estimation. Because arrival time scales as one over the rate of spread, a single robust per-fire scale, the median of prior arrival over observed detection time, aligns the mapped-fuel prior to the timed detections, and the analysis field is the prior divided by that scale. Re-calibrating after each satellite pass and re-forecasting recovers a prior rate-of-spread bias of 0.6 (recovered scale about 1.73 versus the ideal 1.67), reaches a full-perimeter Sorensen index near 0.79 (the published conditional-GAN result is about 0.81), and on the between-pass new burn beats naive persistence and the uncalibrated prior by a wide margin (incremental Sorensen 0.43 versus 0.06 versus 0.00). On top of this sits a conditional generative model: a U-Net generator conditioned on the observed perimeter, a normalised detection-time channel, and mapped covariates, trained with a least-squares adversarial loss, an L1 reconstruction loss, and an Eikonal-consistency term that ties the generated arrival field to the level-set physics so it cannot hallucinate a geometrically impossible front. The physics-free numpy components are unit-tested; the torch generator, discriminator, and training loop are guarded for a GPU host.</w:t>
      </w:r>
    </w:p>
    <w:p>
      <w:pPr>
        <w:pStyle w:val="Heading2"/>
      </w:pPr>
      <w:r>
        <w:t>9.4 Rothermel surface fire rate of spread</w:t>
      </w:r>
    </w:p>
    <w:p>
      <w:pPr/>
      <w:r>
        <w:t>The T4 front consumes a rate-of-spread field. By default that field is a documented fuel-and-wind surrogate (a relative fuel factor times a base rate). VHAGAR now also provides the canonical Rothermel (1972) surface fire spread model (models/rothermel.py, following Andrews 2018, RMRS-GTR-371), the same equation that underlies BehavePlus, FlamMap, and FARSITE. It computes head rate of spread in meters per minute from fuel-model parameters, dead-fuel moisture, midflame wind, and slope, through the reaction intensity, propagating flux ratio, wind and slope factors, packing ratio, effective heating number, and heat of preignition. Tests confirm the physics: rate of spread rises with wind and slope, falls with moisture, and is zero at or above the moisture of extinction and on non-burnable fuel.</w:t>
      </w:r>
    </w:p>
    <w:p>
      <w:pPr/>
      <w:r>
        <w:t>It couples to the front cleanly. Rothermel supplies the head, the maximum downwind, rate-of-spread magnitude including wind and slope; the anisotropic arrival-time solver then distributes that magnitude directionally through the Richards ellipse. So Rothermel sets the rate and the ellipse sets the shape, and wind is not double-counted, because the ellipse uses wind only for eccentricity. The batch catalogue can drive each event with it (EventSpec use_rothermel), and the CLI t4-rothermel prints rate of spread by fuel group.</w:t>
      </w:r>
    </w:p>
    <w:p>
      <w:pPr/>
      <w:r>
        <w:t>Honest scope: this is the standard single characteristic surface-area-to-volume formulation with representative per-group fuel parameters. It does not yet do the full multi-size-class dead-and-live weighting of the forty Scott and Burgan models, which is the remaining refinement, and the wind input is the midflame wind, so open winds must be reduced first. This closes the physics rate-of-spread core; the multi-class weighting is the next step. docs/20.</w:t>
      </w:r>
    </w:p>
    <w:p>
      <w:pPr>
        <w:pStyle w:val="Heading1"/>
      </w:pPr>
      <w:r>
        <w:t>10. T4 WUI extension: ember spotting and structure loss</w:t>
      </w:r>
    </w:p>
    <w:p>
      <w:pPr>
        <w:pStyle w:val="Heading2"/>
      </w:pPr>
      <w:r>
        <w:t>10.1 The wildland-urban-interface model</w:t>
      </w:r>
    </w:p>
    <w:p>
      <w:pPr/>
      <w:r>
        <w:t>The T4 arrival-time core forecasts where the fire front goes. In the wildland-urban interface (WUI) the question shifts from area to structures: which buildings the fire destroys. VHAGAR adds a WUI layer on the same anisotropic arrival-time front (vhagar.models.wui). It rasterizes structures onto the analysis grid as an exposure field, generates firebrands with a wind-oriented spotting kernel that lands embers downwind under Poisson thinning, and propagates structure-to-structure conflagration as a k-d-tree graph so a burning building can ignite its close neighbours independent of the wildland front. The output is a per-structure destroyed or survived prediction; eval/wui.py scores it against CAL FIRE DINS (Damage Inspection) records as probability of detection, false-alarm rate, precision, recall, and F1.</w:t>
      </w:r>
    </w:p>
    <w:p>
      <w:pPr>
        <w:pStyle w:val="Heading2"/>
      </w:pPr>
      <w:r>
        <w:t>10.2 DINS calibration and the faithful result</w:t>
      </w:r>
    </w:p>
    <w:p>
      <w:pPr/>
      <w:r>
        <w:t>Two calibration harnesses (vhagar.eval.wui_calibrate) drive structure loss from each fire's real ignition point and RAWS wind. A leave-one-fire-out run over Eaton, Palisades, Camp, and Tubbs gives a mean held-out F1 of 0.75. Read against the mandatory baseline, that number does not survive: the DINS-inspected structures in these fires are 51 to 94 percent destroyed, so a trivial predict-all-destroyed baseline already scores a mean F1 of 0.81. The model ties that baseline on Camp and Tubbs, beats it only marginally on Eaton, and underperforms it on Palisades, for a mean of 0.75 against the baseline's 0.81. A review also found that the default forecast horizon was derived from the destroyed-structure extent of the fire being scored, an outcome leak; it has been fixed to use the ex-ante exposure extent, and the rerun is essentially unchanged, which confirms the result was base-rate driven rather than skill. The WUI tier is therefore a working prototype on a base-rate-dominated task, not a validated skill result, and a fair evaluation needs a balanced structure set that includes survivors outside the burn.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fill="1F3864"/>
          </w:tcPr>
          <w:p>
            <w:r>
              <w:rPr>
                <w:b/>
                <w:color w:val="FFFFFF"/>
                <w:sz w:val="18"/>
              </w:rPr>
              <w:t>Fire</w:t>
            </w:r>
          </w:p>
        </w:tc>
        <w:tc>
          <w:tcPr>
            <w:tcW w:type="dxa" w:w="4680"/>
            <w:shd w:val="clear" w:fill="1F3864"/>
          </w:tcPr>
          <w:p>
            <w:r>
              <w:rPr>
                <w:b/>
                <w:color w:val="FFFFFF"/>
                <w:sz w:val="18"/>
              </w:rPr>
              <w:t>Held-out F1 (leave-one-fire-out)</w:t>
            </w:r>
          </w:p>
        </w:tc>
      </w:tr>
      <w:tr>
        <w:tc>
          <w:tcPr>
            <w:tcW w:type="dxa" w:w="4680"/>
          </w:tcPr>
          <w:p>
            <w:r>
              <w:rPr>
                <w:sz w:val="18"/>
              </w:rPr>
              <w:t>Eaton</w:t>
            </w:r>
          </w:p>
        </w:tc>
        <w:tc>
          <w:tcPr>
            <w:tcW w:type="dxa" w:w="4680"/>
          </w:tcPr>
          <w:p>
            <w:r>
              <w:rPr>
                <w:sz w:val="18"/>
              </w:rPr>
              <w:t>0.68</w:t>
            </w:r>
          </w:p>
        </w:tc>
      </w:tr>
      <w:tr>
        <w:tc>
          <w:tcPr>
            <w:tcW w:type="dxa" w:w="4680"/>
          </w:tcPr>
          <w:p>
            <w:r>
              <w:rPr>
                <w:sz w:val="18"/>
              </w:rPr>
              <w:t>Palisades</w:t>
            </w:r>
          </w:p>
        </w:tc>
        <w:tc>
          <w:tcPr>
            <w:tcW w:type="dxa" w:w="4680"/>
          </w:tcPr>
          <w:p>
            <w:r>
              <w:rPr>
                <w:sz w:val="18"/>
              </w:rPr>
              <w:t>0.47</w:t>
            </w:r>
          </w:p>
        </w:tc>
      </w:tr>
      <w:tr>
        <w:tc>
          <w:tcPr>
            <w:tcW w:type="dxa" w:w="4680"/>
          </w:tcPr>
          <w:p>
            <w:r>
              <w:rPr>
                <w:sz w:val="18"/>
              </w:rPr>
              <w:t>Camp</w:t>
            </w:r>
          </w:p>
        </w:tc>
        <w:tc>
          <w:tcPr>
            <w:tcW w:type="dxa" w:w="4680"/>
          </w:tcPr>
          <w:p>
            <w:r>
              <w:rPr>
                <w:sz w:val="18"/>
              </w:rPr>
              <w:t>0.89</w:t>
            </w:r>
          </w:p>
        </w:tc>
      </w:tr>
      <w:tr>
        <w:tc>
          <w:tcPr>
            <w:tcW w:type="dxa" w:w="4680"/>
          </w:tcPr>
          <w:p>
            <w:r>
              <w:rPr>
                <w:sz w:val="18"/>
              </w:rPr>
              <w:t>Tubbs</w:t>
            </w:r>
          </w:p>
        </w:tc>
        <w:tc>
          <w:tcPr>
            <w:tcW w:type="dxa" w:w="4680"/>
          </w:tcPr>
          <w:p>
            <w:r>
              <w:rPr>
                <w:sz w:val="18"/>
              </w:rPr>
              <w:t>0.97</w:t>
            </w:r>
          </w:p>
        </w:tc>
      </w:tr>
      <w:tr>
        <w:tc>
          <w:tcPr>
            <w:tcW w:type="dxa" w:w="4680"/>
          </w:tcPr>
          <w:p>
            <w:r>
              <w:rPr>
                <w:sz w:val="18"/>
              </w:rPr>
              <w:t>Mean</w:t>
            </w:r>
          </w:p>
        </w:tc>
        <w:tc>
          <w:tcPr>
            <w:tcW w:type="dxa" w:w="4680"/>
          </w:tcPr>
          <w:p>
            <w:r>
              <w:rPr>
                <w:sz w:val="18"/>
              </w:rPr>
              <w:t>0.75</w:t>
            </w:r>
          </w:p>
        </w:tc>
      </w:tr>
    </w:tbl>
    <w:p>
      <w:pPr>
        <w:pStyle w:val="Heading2"/>
      </w:pPr>
      <w:r>
        <w:t>10.3 The fuels honest negative</w:t>
      </w:r>
    </w:p>
    <w:p>
      <w:pPr/>
      <w:r>
        <w:t>Wiring the real LANDFIRE FBFM40 fuel field into the front, on the expectation that fuel breaks would cut the false-alarm rate, did the opposite: mean held-out F1 fell from 0.75 to 0.41, and Camp collapsed to near-zero recall. The cause is real, not a bug. A fuel-blocked front cannot enter the non-burnable urban cells where the structures are, and it cannot jump the non-fuel gaps that real fires cross by long-range spotting, such as Camp's canyon and the Highway 101 corridor. Edge-seeding the front into structures adjacent to the burned area barely helped. This is reported as a genuine limitation, in keeping with the measurement-honesty rules: the next step is a stronger long-range-spotting and built-environment spread model, not simply adding fuels to the wildland front.</w:t>
      </w:r>
    </w:p>
    <w:p>
      <w:pPr>
        <w:pStyle w:val="Heading1"/>
      </w:pPr>
      <w:r>
        <w:t>11. T5 catastrophe loss and exceedance-probability curves</w:t>
      </w:r>
    </w:p>
    <w:p>
      <w:pPr>
        <w:pStyle w:val="Heading2"/>
      </w:pPr>
      <w:r>
        <w:t>11.1 The hazard-to-loss chain</w:t>
      </w:r>
    </w:p>
    <w:p>
      <w:pPr/>
      <w:r>
        <w:t>Catastrophe modelling for the insurance market turns hazard into money and then into the two curves an insurer prices on. VHAGAR's T5 tier (vhagar.models.loss) implements the standard chain: hazard drives exposure, exposure and a vulnerability damage-ratio curve give ground-up loss per event, a rated event catalogue gives the average annual loss (AAL), and the loss distribution gives the exceedance-probability curves. Both standard curves are provided: the occurrence exceedance probability (OEP), in closed form under a Poisson event process, and the aggregate exceedance probability (AEP), by Monte-Carlo simulation of Poisson event years, with the Monte-Carlo AAL agreeing with the analytic AAL as a built-in sanity check. The module is generic and reproduces no vendor platform; the vulnerability curve is a documented logistic surrogate that a curve fitted to DINS damage classes drops straight into.</w:t>
      </w:r>
    </w:p>
    <w:p>
      <w:pPr>
        <w:pStyle w:val="Heading2"/>
      </w:pPr>
      <w:r>
        <w:t>11.2 Validation on the CAL FIRE DINS record</w:t>
      </w:r>
    </w:p>
    <w:p>
      <w:pPr/>
      <w:r>
        <w:t>The tier was run on the full CAL FIRE DINS record (scripts/dins_t5_loss.py), 70,390 destroyed structures across 284 fires, using each parcel's assessed improved value as exposure. Total ground-up loss is about 23.0 billion dollars, and the average annual loss is about 1.77 billion dollars per year, with the Monte-Carlo AEP AAL agreeing with the analytic AAL to within about half a percent. This is a historical loss accounting and a check of the AAL, OEP, and AEP mathematics, not a predictive validation of the hazard-to-loss model: the occurrence rates are assigned from the record span rather than fitted, the exposure is the observed destroyed set rather than a completed portfolio, and there is no out-of-time or out-of-fire hold-out. Assessor-value outliers are winsorized at the 98th percentile.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fill="1F3864"/>
          </w:tcPr>
          <w:p>
            <w:r>
              <w:rPr>
                <w:b/>
                <w:color w:val="FFFFFF"/>
                <w:sz w:val="18"/>
              </w:rPr>
              <w:t>T5 loss on CAL FIRE DINS</w:t>
            </w:r>
          </w:p>
        </w:tc>
        <w:tc>
          <w:tcPr>
            <w:tcW w:type="dxa" w:w="4680"/>
            <w:shd w:val="clear" w:fill="1F3864"/>
          </w:tcPr>
          <w:p>
            <w:r>
              <w:rPr>
                <w:b/>
                <w:color w:val="FFFFFF"/>
                <w:sz w:val="18"/>
              </w:rPr>
              <w:t>Value</w:t>
            </w:r>
          </w:p>
        </w:tc>
      </w:tr>
      <w:tr>
        <w:tc>
          <w:tcPr>
            <w:tcW w:type="dxa" w:w="4680"/>
          </w:tcPr>
          <w:p>
            <w:r>
              <w:rPr>
                <w:sz w:val="18"/>
              </w:rPr>
              <w:t>Destroyed structures</w:t>
            </w:r>
          </w:p>
        </w:tc>
        <w:tc>
          <w:tcPr>
            <w:tcW w:type="dxa" w:w="4680"/>
          </w:tcPr>
          <w:p>
            <w:r>
              <w:rPr>
                <w:sz w:val="18"/>
              </w:rPr>
              <w:t>70,390</w:t>
            </w:r>
          </w:p>
        </w:tc>
      </w:tr>
      <w:tr>
        <w:tc>
          <w:tcPr>
            <w:tcW w:type="dxa" w:w="4680"/>
          </w:tcPr>
          <w:p>
            <w:r>
              <w:rPr>
                <w:sz w:val="18"/>
              </w:rPr>
              <w:t>Fires</w:t>
            </w:r>
          </w:p>
        </w:tc>
        <w:tc>
          <w:tcPr>
            <w:tcW w:type="dxa" w:w="4680"/>
          </w:tcPr>
          <w:p>
            <w:r>
              <w:rPr>
                <w:sz w:val="18"/>
              </w:rPr>
              <w:t>284</w:t>
            </w:r>
          </w:p>
        </w:tc>
      </w:tr>
      <w:tr>
        <w:tc>
          <w:tcPr>
            <w:tcW w:type="dxa" w:w="4680"/>
          </w:tcPr>
          <w:p>
            <w:r>
              <w:rPr>
                <w:sz w:val="18"/>
              </w:rPr>
              <w:t>Total ground-up loss</w:t>
            </w:r>
          </w:p>
        </w:tc>
        <w:tc>
          <w:tcPr>
            <w:tcW w:type="dxa" w:w="4680"/>
          </w:tcPr>
          <w:p>
            <w:r>
              <w:rPr>
                <w:sz w:val="18"/>
              </w:rPr>
              <w:t>~$23.0B</w:t>
            </w:r>
          </w:p>
        </w:tc>
      </w:tr>
      <w:tr>
        <w:tc>
          <w:tcPr>
            <w:tcW w:type="dxa" w:w="4680"/>
          </w:tcPr>
          <w:p>
            <w:r>
              <w:rPr>
                <w:sz w:val="18"/>
              </w:rPr>
              <w:t>Average annual loss (AAL)</w:t>
            </w:r>
          </w:p>
        </w:tc>
        <w:tc>
          <w:tcPr>
            <w:tcW w:type="dxa" w:w="4680"/>
          </w:tcPr>
          <w:p>
            <w:r>
              <w:rPr>
                <w:sz w:val="18"/>
              </w:rPr>
              <w:t>~$1.77B/yr</w:t>
            </w:r>
          </w:p>
        </w:tc>
      </w:tr>
      <w:tr>
        <w:tc>
          <w:tcPr>
            <w:tcW w:type="dxa" w:w="4680"/>
          </w:tcPr>
          <w:p>
            <w:r>
              <w:rPr>
                <w:sz w:val="18"/>
              </w:rPr>
              <w:t>Monte-Carlo AEP AAL agreement</w:t>
            </w:r>
          </w:p>
        </w:tc>
        <w:tc>
          <w:tcPr>
            <w:tcW w:type="dxa" w:w="4680"/>
          </w:tcPr>
          <w:p>
            <w:r>
              <w:rPr>
                <w:sz w:val="18"/>
              </w:rPr>
              <w:t>~0.5%</w:t>
            </w:r>
          </w:p>
        </w:tc>
      </w:tr>
    </w:tbl>
    <w:p>
      <w:pPr>
        <w:pStyle w:val="Heading1"/>
      </w:pPr>
      <w:r>
        <w:t>12. Batch event catalogue and live-fire spread forecasts</w:t>
      </w:r>
    </w:p>
    <w:p>
      <w:pPr>
        <w:pStyle w:val="Heading2"/>
      </w:pPr>
      <w:r>
        <w:t>12.1 The catalogue runner</w:t>
      </w:r>
    </w:p>
    <w:p>
      <w:pPr/>
      <w:r>
        <w:t>Catastrophe modelling does not price on a single fire; it runs a catalogue of many events under varied drivers and aggregates them into an exceedance-probability curve. The batch runner (vhagar.eval.catalog, CLI t4-catalog) does exactly that on VHAGAR's own engine: it generates an ignition catalogue spanning fuel scenarios (grass, shrub, timber, mixed) and wind, runs each event through the T4 anisotropic spread core and the T5 loss chain in parallel, and reports per-event burned-area and throughput statistics plus the aggregate AAL and OEP return-period losses. Two properties matter. Results are invariant to the worker count, because every event is fully seeded, and a test asserts that serial and parallel runs give identical losses; and fuel visibly drives spread, with grass burning about 884 hectares mean against timber's 26, and a test asserting the ordering. A 300-event synthetic run completes at about 0.3 seconds per event, mean burned area about 390 hectares, with an OEP curve rising from about 6 million dollars at the 10-year return period to about 15.5 million at the 250-year. These synthetic figures demonstrate the pipeline, not a real portfolio.</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fill="1F3864"/>
          </w:tcPr>
          <w:p>
            <w:r>
              <w:rPr>
                <w:b/>
                <w:color w:val="FFFFFF"/>
                <w:sz w:val="18"/>
              </w:rPr>
              <w:t>Catalogue OEP (300 synthetic events)</w:t>
            </w:r>
          </w:p>
        </w:tc>
        <w:tc>
          <w:tcPr>
            <w:tcW w:type="dxa" w:w="4680"/>
            <w:shd w:val="clear" w:fill="1F3864"/>
          </w:tcPr>
          <w:p>
            <w:r>
              <w:rPr>
                <w:b/>
                <w:color w:val="FFFFFF"/>
                <w:sz w:val="18"/>
              </w:rPr>
              <w:t>Loss</w:t>
            </w:r>
          </w:p>
        </w:tc>
      </w:tr>
      <w:tr>
        <w:tc>
          <w:tcPr>
            <w:tcW w:type="dxa" w:w="4680"/>
          </w:tcPr>
          <w:p>
            <w:r>
              <w:rPr>
                <w:sz w:val="18"/>
              </w:rPr>
              <w:t>Average annual loss</w:t>
            </w:r>
          </w:p>
        </w:tc>
        <w:tc>
          <w:tcPr>
            <w:tcW w:type="dxa" w:w="4680"/>
          </w:tcPr>
          <w:p>
            <w:r>
              <w:rPr>
                <w:sz w:val="18"/>
              </w:rPr>
              <w:t>~$13.0M/yr</w:t>
            </w:r>
          </w:p>
        </w:tc>
      </w:tr>
      <w:tr>
        <w:tc>
          <w:tcPr>
            <w:tcW w:type="dxa" w:w="4680"/>
          </w:tcPr>
          <w:p>
            <w:r>
              <w:rPr>
                <w:sz w:val="18"/>
              </w:rPr>
              <w:t>10-year return period</w:t>
            </w:r>
          </w:p>
        </w:tc>
        <w:tc>
          <w:tcPr>
            <w:tcW w:type="dxa" w:w="4680"/>
          </w:tcPr>
          <w:p>
            <w:r>
              <w:rPr>
                <w:sz w:val="18"/>
              </w:rPr>
              <w:t>~$6.0M</w:t>
            </w:r>
          </w:p>
        </w:tc>
      </w:tr>
      <w:tr>
        <w:tc>
          <w:tcPr>
            <w:tcW w:type="dxa" w:w="4680"/>
          </w:tcPr>
          <w:p>
            <w:r>
              <w:rPr>
                <w:sz w:val="18"/>
              </w:rPr>
              <w:t>25-year</w:t>
            </w:r>
          </w:p>
        </w:tc>
        <w:tc>
          <w:tcPr>
            <w:tcW w:type="dxa" w:w="4680"/>
          </w:tcPr>
          <w:p>
            <w:r>
              <w:rPr>
                <w:sz w:val="18"/>
              </w:rPr>
              <w:t>~$8.9M</w:t>
            </w:r>
          </w:p>
        </w:tc>
      </w:tr>
      <w:tr>
        <w:tc>
          <w:tcPr>
            <w:tcW w:type="dxa" w:w="4680"/>
          </w:tcPr>
          <w:p>
            <w:r>
              <w:rPr>
                <w:sz w:val="18"/>
              </w:rPr>
              <w:t>50-year</w:t>
            </w:r>
          </w:p>
        </w:tc>
        <w:tc>
          <w:tcPr>
            <w:tcW w:type="dxa" w:w="4680"/>
          </w:tcPr>
          <w:p>
            <w:r>
              <w:rPr>
                <w:sz w:val="18"/>
              </w:rPr>
              <w:t>~$11.7M</w:t>
            </w:r>
          </w:p>
        </w:tc>
      </w:tr>
      <w:tr>
        <w:tc>
          <w:tcPr>
            <w:tcW w:type="dxa" w:w="4680"/>
          </w:tcPr>
          <w:p>
            <w:r>
              <w:rPr>
                <w:sz w:val="18"/>
              </w:rPr>
              <w:t>100-year</w:t>
            </w:r>
          </w:p>
        </w:tc>
        <w:tc>
          <w:tcPr>
            <w:tcW w:type="dxa" w:w="4680"/>
          </w:tcPr>
          <w:p>
            <w:r>
              <w:rPr>
                <w:sz w:val="18"/>
              </w:rPr>
              <w:t>~$14.1M</w:t>
            </w:r>
          </w:p>
        </w:tc>
      </w:tr>
      <w:tr>
        <w:tc>
          <w:tcPr>
            <w:tcW w:type="dxa" w:w="4680"/>
          </w:tcPr>
          <w:p>
            <w:r>
              <w:rPr>
                <w:sz w:val="18"/>
              </w:rPr>
              <w:t>250-year</w:t>
            </w:r>
          </w:p>
        </w:tc>
        <w:tc>
          <w:tcPr>
            <w:tcW w:type="dxa" w:w="4680"/>
          </w:tcPr>
          <w:p>
            <w:r>
              <w:rPr>
                <w:sz w:val="18"/>
              </w:rPr>
              <w:t>~$15.5M</w:t>
            </w:r>
          </w:p>
        </w:tc>
      </w:tr>
    </w:tbl>
    <w:p>
      <w:pPr>
        <w:pStyle w:val="Heading2"/>
      </w:pPr>
      <w:r>
        <w:t>12.2 Real-data mode and modeled-versus-actual</w:t>
      </w:r>
    </w:p>
    <w:p>
      <w:pPr/>
      <w:r>
        <w:t>A real mode runs the four CAL FIRE DINS fires on real ignitions, RAWS wind, real DINS structures with real assessed values, and real LANDFIRE fuels, and reports modeled destroyed structures and loss against what actually burned, which is the verification-against-observed-events task. With the validated uniform rate-of-spread field, the modeled destroyed-structure value totals about 6.1 billion dollars against an actual 13.1 billion; the under-prediction is honest and expected, because the WUI parameters here are fixed global values rather than the per-fire leave-one-out selection, and the fuel-aware front under-predicts further for the reasons given in section 10.3. Reporting that gap, rather than tuning it away, is the point.</w:t>
      </w:r>
    </w:p>
    <w:p>
      <w:pPr>
        <w:pStyle w:val="Heading2"/>
      </w:pPr>
      <w:r>
        <w:t>12.3 Live-fire applications</w:t>
      </w:r>
    </w:p>
    <w:p>
      <w:pPr/>
      <w:r>
        <w:t>The upgraded T4 front was applied to live ignitions as forward forecasts. For the Dome Fire north of Wawona in Yosemite, seeded at the CAL FIRE ignition point on real Open-Meteo wind over LANDFIRE fuels, the front runs about 0.8, 1.7, and 3.6 kilometres northeast at 6, 12, and 24 hours, with Wawona on the upwind backing flank and not reached within 24 hours, independently reproducing CAL FIRE's own read that the fire was moving away from Wawona. For the Davis Coulee grass fire in Montana, the 24-hour projection of about 13,000 acres tracks the reported acreage and the southward, away-from-Crow-Agency direction. For the Floriston Fire in the Truckee River Canyon, the front runs northeast down-canyon on the real southwest wind, with Truckee upwind and clear. Each of these is a forward forecast with no perimeter to fit, so it is a directional projection rather than a metered perimeter, and the canyon cases are where the absence of an explicit slope term in the current front is most visible.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val="clear" w:fill="1F3864"/>
          </w:tcPr>
          <w:p>
            <w:r>
              <w:rPr>
                <w:b/>
                <w:color w:val="FFFFFF"/>
                <w:sz w:val="18"/>
              </w:rPr>
              <w:t>Live fire</w:t>
            </w:r>
          </w:p>
        </w:tc>
        <w:tc>
          <w:tcPr>
            <w:tcW w:type="dxa" w:w="1872"/>
            <w:shd w:val="clear" w:fill="1F3864"/>
          </w:tcPr>
          <w:p>
            <w:r>
              <w:rPr>
                <w:b/>
                <w:color w:val="FFFFFF"/>
                <w:sz w:val="18"/>
              </w:rPr>
              <w:t>Fuel / terrain</w:t>
            </w:r>
          </w:p>
        </w:tc>
        <w:tc>
          <w:tcPr>
            <w:tcW w:type="dxa" w:w="1872"/>
            <w:shd w:val="clear" w:fill="1F3864"/>
          </w:tcPr>
          <w:p>
            <w:r>
              <w:rPr>
                <w:b/>
                <w:color w:val="FFFFFF"/>
                <w:sz w:val="18"/>
              </w:rPr>
              <w:t>Wind</w:t>
            </w:r>
          </w:p>
        </w:tc>
        <w:tc>
          <w:tcPr>
            <w:tcW w:type="dxa" w:w="1872"/>
            <w:shd w:val="clear" w:fill="1F3864"/>
          </w:tcPr>
          <w:p>
            <w:r>
              <w:rPr>
                <w:b/>
                <w:color w:val="FFFFFF"/>
                <w:sz w:val="18"/>
              </w:rPr>
              <w:t>24 h head</w:t>
            </w:r>
          </w:p>
        </w:tc>
        <w:tc>
          <w:tcPr>
            <w:tcW w:type="dxa" w:w="1872"/>
            <w:shd w:val="clear" w:fill="1F3864"/>
          </w:tcPr>
          <w:p>
            <w:r>
              <w:rPr>
                <w:b/>
                <w:color w:val="FFFFFF"/>
                <w:sz w:val="18"/>
              </w:rPr>
              <w:t>Community</w:t>
            </w:r>
          </w:p>
        </w:tc>
      </w:tr>
      <w:tr>
        <w:tc>
          <w:tcPr>
            <w:tcW w:type="dxa" w:w="1872"/>
          </w:tcPr>
          <w:p>
            <w:r>
              <w:rPr>
                <w:sz w:val="18"/>
              </w:rPr>
              <w:t>Dome (Yosemite)</w:t>
            </w:r>
          </w:p>
        </w:tc>
        <w:tc>
          <w:tcPr>
            <w:tcW w:type="dxa" w:w="1872"/>
          </w:tcPr>
          <w:p>
            <w:r>
              <w:rPr>
                <w:sz w:val="18"/>
              </w:rPr>
              <w:t>Timber-brush</w:t>
            </w:r>
          </w:p>
        </w:tc>
        <w:tc>
          <w:tcPr>
            <w:tcW w:type="dxa" w:w="1872"/>
          </w:tcPr>
          <w:p>
            <w:r>
              <w:rPr>
                <w:sz w:val="18"/>
              </w:rPr>
              <w:t>SW ~5.5 m/s</w:t>
            </w:r>
          </w:p>
        </w:tc>
        <w:tc>
          <w:tcPr>
            <w:tcW w:type="dxa" w:w="1872"/>
          </w:tcPr>
          <w:p>
            <w:r>
              <w:rPr>
                <w:sz w:val="18"/>
              </w:rPr>
              <w:t>~3.6 km NE</w:t>
            </w:r>
          </w:p>
        </w:tc>
        <w:tc>
          <w:tcPr>
            <w:tcW w:type="dxa" w:w="1872"/>
          </w:tcPr>
          <w:p>
            <w:r>
              <w:rPr>
                <w:sz w:val="18"/>
              </w:rPr>
              <w:t>Wawona upwind, clear</w:t>
            </w:r>
          </w:p>
        </w:tc>
      </w:tr>
      <w:tr>
        <w:tc>
          <w:tcPr>
            <w:tcW w:type="dxa" w:w="1872"/>
          </w:tcPr>
          <w:p>
            <w:r>
              <w:rPr>
                <w:sz w:val="18"/>
              </w:rPr>
              <w:t>Davis Coulee (MT)</w:t>
            </w:r>
          </w:p>
        </w:tc>
        <w:tc>
          <w:tcPr>
            <w:tcW w:type="dxa" w:w="1872"/>
          </w:tcPr>
          <w:p>
            <w:r>
              <w:rPr>
                <w:sz w:val="18"/>
              </w:rPr>
              <w:t>Short grass</w:t>
            </w:r>
          </w:p>
        </w:tc>
        <w:tc>
          <w:tcPr>
            <w:tcW w:type="dxa" w:w="1872"/>
          </w:tcPr>
          <w:p>
            <w:r>
              <w:rPr>
                <w:sz w:val="18"/>
              </w:rPr>
              <w:t>N ~4.4 m/s</w:t>
            </w:r>
          </w:p>
        </w:tc>
        <w:tc>
          <w:tcPr>
            <w:tcW w:type="dxa" w:w="1872"/>
          </w:tcPr>
          <w:p>
            <w:r>
              <w:rPr>
                <w:sz w:val="18"/>
              </w:rPr>
              <w:t>~16 km S</w:t>
            </w:r>
          </w:p>
        </w:tc>
        <w:tc>
          <w:tcPr>
            <w:tcW w:type="dxa" w:w="1872"/>
          </w:tcPr>
          <w:p>
            <w:r>
              <w:rPr>
                <w:sz w:val="18"/>
              </w:rPr>
              <w:t>Crow Agency upwind, clear</w:t>
            </w:r>
          </w:p>
        </w:tc>
      </w:tr>
      <w:tr>
        <w:tc>
          <w:tcPr>
            <w:tcW w:type="dxa" w:w="1872"/>
          </w:tcPr>
          <w:p>
            <w:r>
              <w:rPr>
                <w:sz w:val="18"/>
              </w:rPr>
              <w:t>Floriston (CA/NV)</w:t>
            </w:r>
          </w:p>
        </w:tc>
        <w:tc>
          <w:tcPr>
            <w:tcW w:type="dxa" w:w="1872"/>
          </w:tcPr>
          <w:p>
            <w:r>
              <w:rPr>
                <w:sz w:val="18"/>
              </w:rPr>
              <w:t>Montane, canyon</w:t>
            </w:r>
          </w:p>
        </w:tc>
        <w:tc>
          <w:tcPr>
            <w:tcW w:type="dxa" w:w="1872"/>
          </w:tcPr>
          <w:p>
            <w:r>
              <w:rPr>
                <w:sz w:val="18"/>
              </w:rPr>
              <w:t>SW ~6.6 m/s</w:t>
            </w:r>
          </w:p>
        </w:tc>
        <w:tc>
          <w:tcPr>
            <w:tcW w:type="dxa" w:w="1872"/>
          </w:tcPr>
          <w:p>
            <w:r>
              <w:rPr>
                <w:sz w:val="18"/>
              </w:rPr>
              <w:t>~3.8 km NE</w:t>
            </w:r>
          </w:p>
        </w:tc>
        <w:tc>
          <w:tcPr>
            <w:tcW w:type="dxa" w:w="1872"/>
          </w:tcPr>
          <w:p>
            <w:r>
              <w:rPr>
                <w:sz w:val="18"/>
              </w:rPr>
              <w:t>Truckee upwind, clear</w:t>
            </w:r>
          </w:p>
        </w:tc>
      </w:tr>
    </w:tbl>
    <w:p>
      <w:pPr>
        <w:pStyle w:val="Heading1"/>
        <w:spacing w:after="120" w:before="280"/>
      </w:pPr>
      <w:r>
        <w:t>13. Serving platform</w:t>
      </w:r>
    </w:p>
    <w:p>
      <w:pPr>
        <w:spacing w:after="120" w:line="276"/>
      </w:pPr>
      <w:r>
        <w:rPr>
          <w:b w:val="false"/>
          <w:bCs w:val="false"/>
          <w:i w:val="false"/>
          <w:iCs w:val="false"/>
          <w:color w:val="111418"/>
        </w:rPr>
        <w:t xml:space="preserve">The operational layer is a self-hosted FastAPI service that reads the real GOES fire-detection parquet, clusters detections into fire events with VHAGAR's own parallax-aware fusion, and serves the result as GeoJSON to a single-file operations console. The clustering reuses the same parallax-aware geostationary-to-polar tolerance and single-link rule as the research fusion, with the neighbour search swapped for a KD-tree so it scales to a full continental week.</w:t>
      </w:r>
    </w:p>
    <w:p>
      <w:pPr>
        <w:pStyle w:val="Heading2"/>
        <w:spacing w:after="80" w:before="200"/>
      </w:pPr>
      <w:r>
        <w:t>13.1 Endpoints and the console</w:t>
      </w:r>
    </w:p>
    <w:p>
      <w:pPr>
        <w:pStyle w:val="ListParagraph"/>
        <w:numPr>
          <w:ilvl w:val="0"/>
          <w:numId w:val="1"/>
        </w:numPr>
        <w:spacing w:after="60" w:line="264"/>
      </w:pPr>
      <w:r>
        <w:rPr>
          <w:color w:val="111418"/>
        </w:rPr>
        <w:t xml:space="preserve">GET /api/events: clustered fire events as a GeoJSON polygon collection, where each polygon is the convex hull of a cluster's detection pixels.</w:t>
      </w:r>
    </w:p>
    <w:p>
      <w:pPr>
        <w:pStyle w:val="ListParagraph"/>
        <w:numPr>
          <w:ilvl w:val="0"/>
          <w:numId w:val="1"/>
        </w:numPr>
        <w:spacing w:after="60" w:line="264"/>
      </w:pPr>
      <w:r>
        <w:rPr>
          <w:color w:val="111418"/>
        </w:rPr>
        <w:t xml:space="preserve">GET /api/detections: the underlying fire-detection pixels as GeoJSON points.</w:t>
      </w:r>
    </w:p>
    <w:p>
      <w:pPr>
        <w:pStyle w:val="ListParagraph"/>
        <w:numPr>
          <w:ilvl w:val="0"/>
          <w:numId w:val="1"/>
        </w:numPr>
        <w:spacing w:after="60" w:line="264"/>
      </w:pPr>
      <w:r>
        <w:rPr>
          <w:color w:val="111418"/>
        </w:rPr>
        <w:t xml:space="preserve">GET /api/export/geojson and /api/export/kmz: agency-ready downloads, with the KMZ carrying risk-styled event perimeters for Google Earth and GIS.</w:t>
      </w:r>
    </w:p>
    <w:p>
      <w:pPr>
        <w:pStyle w:val="ListParagraph"/>
        <w:numPr>
          <w:ilvl w:val="0"/>
          <w:numId w:val="1"/>
        </w:numPr>
        <w:spacing w:after="60" w:line="264"/>
      </w:pPr>
      <w:r>
        <w:rPr>
          <w:color w:val="111418"/>
        </w:rPr>
        <w:t>GET /v1/danger: the three T3 quantities kept separate (FWI and class, ignition probability, expected burned area). Ignition and expected burned area are now served from models trained on real FPA-FOD records (455,864 fires, CONUS 2015 to 2020): a cause-and-season occurrence climatology for ignition and a conditional fire-size distribution for burned area, with the synthetic-scenario models retained as a fallback.</w:t>
      </w:r>
    </w:p>
    <w:p>
      <w:pPr>
        <w:pStyle w:val="ListParagraph"/>
        <w:numPr>
          <w:ilvl w:val="0"/>
          <w:numId w:val="1"/>
        </w:numPr>
        <w:spacing w:after="60" w:line="264"/>
      </w:pPr>
      <w:r>
        <w:rPr>
          <w:color w:val="111418"/>
        </w:rPr>
        <w:t xml:space="preserve">GET /console: the operations console, a single self-contained HTML file rendered on Mapbox GL, with the Mapbox token injected server-side and never committed.</w:t>
      </w:r>
    </w:p>
    <w:p>
      <w:pPr>
        <w:pStyle w:val="ListParagraph"/>
        <w:numPr>
          <w:ilvl w:val="0"/>
          <w:numId w:val="1"/>
        </w:numPr>
        <w:spacing w:after="60" w:line="264"/>
      </w:pPr>
      <w:r>
        <w:rPr>
          <w:color w:val="111418"/>
        </w:rPr>
        <w:t xml:space="preserve">GET /api/health and /api/debug/weather: operational counts, the data window, and a live weather-probe for diagnostics.</w:t>
      </w:r>
    </w:p>
    <w:p>
      <w:pPr>
        <w:spacing w:after="120" w:line="276"/>
      </w:pPr>
      <w:r>
        <w:rPr>
          <w:b w:val="false"/>
          <w:bCs w:val="false"/>
          <w:i w:val="false"/>
          <w:iCs w:val="false"/>
          <w:color w:val="111418"/>
        </w:rPr>
        <w:t xml:space="preserve">The console is schema-aware and honest by construction. GOES fire-detection data gives position, fire radiative power, brightness temperature, confidence, view zenith, and time. It does not give a validated burned area, so the polygon is labelled as a detection footprint, a detection extent, not a burned-area measurement, and fields the sensor cannot provide are hidden rather than invented. Events are colour-coded by peak fire radiative power or spread-risk class, the feed is ordered by risk tier, and wind arrows show spread direction when weather is present.</w:t>
      </w:r>
    </w:p>
    <w:p>
      <w:pPr>
        <w:pStyle w:val="Heading1"/>
        <w:spacing w:after="120" w:before="280"/>
      </w:pPr>
      <w:r>
        <w:t>14. Live multi-sensor near-real-time pipeline</w:t>
      </w:r>
    </w:p>
    <w:p>
      <w:pPr>
        <w:spacing w:after="120" w:line="276"/>
      </w:pPr>
      <w:r>
        <w:rPr>
          <w:b w:val="false"/>
          <w:bCs w:val="false"/>
          <w:i w:val="false"/>
          <w:iCs w:val="false"/>
          <w:color w:val="111418"/>
        </w:rPr>
        <w:t xml:space="preserve">The deployed feed is genuinely multi-sensor and multi-region, fused in one parallax-aware clustering pass. Every source is mapped into the shared regional analysis grid so the fusion treats a VIIRS pixel and a GOES pixel identically.</w:t>
      </w:r>
    </w:p>
    <w:p>
      <w:pPr>
        <w:pStyle w:val="Heading2"/>
        <w:spacing w:after="80" w:before="200"/>
      </w:pPr>
      <w:r>
        <w:t>14.1 Sensors and fusion</w:t>
      </w:r>
    </w:p>
    <w:p>
      <w:pPr>
        <w:pStyle w:val="ListParagraph"/>
        <w:numPr>
          <w:ilvl w:val="0"/>
          <w:numId w:val="1"/>
        </w:numPr>
        <w:spacing w:after="60" w:line="264"/>
      </w:pPr>
      <w:r>
        <w:rPr>
          <w:color w:val="111418"/>
        </w:rPr>
        <w:t xml:space="preserve">Geostationary: GOES-18 (West) and GOES-19 (East) ABI fire-detection granules from the anonymous NOAA S3 buckets, each satellite pulled into its own store and merged, so the parallax-aware fusion links the same fire seen from two different view angles.</w:t>
      </w:r>
    </w:p>
    <w:p>
      <w:pPr>
        <w:pStyle w:val="ListParagraph"/>
        <w:numPr>
          <w:ilvl w:val="0"/>
          <w:numId w:val="1"/>
        </w:numPr>
        <w:spacing w:after="60" w:line="264"/>
      </w:pPr>
      <w:r>
        <w:rPr>
          <w:color w:val="111418"/>
        </w:rPr>
        <w:t xml:space="preserve">Polar-orbiting: VIIRS on Suomi-NPP, NOAA-20, and NOAA-21, plus MODIS, from NASA FIRMS. The matching tolerance is sensor-aware: geostationary uses the parallax-corrected radius, VIIRS about 1.1 kilometres, MODIS about 3 kilometres, so a fine polar pixel is not merged with the coarse geostationary buffer.</w:t>
      </w:r>
    </w:p>
    <w:p>
      <w:pPr>
        <w:pStyle w:val="ListParagraph"/>
        <w:numPr>
          <w:ilvl w:val="0"/>
          <w:numId w:val="1"/>
        </w:numPr>
        <w:spacing w:after="60" w:line="264"/>
      </w:pPr>
      <w:r>
        <w:rPr>
          <w:color w:val="111418"/>
        </w:rPr>
        <w:t xml:space="preserve">A live build fuses six sensors into a single event set; a representative run clustered 38,155 deduplicated detections into 793 events tagged GOES-18, GOES-19, MODIS, VIIRS-NOAA20, VIIRS-NOAA21, and VIIRS-SNPP.</w:t>
      </w:r>
    </w:p>
    <w:p>
      <w:pPr>
        <w:pStyle w:val="Heading2"/>
        <w:spacing w:after="80" w:before="200"/>
      </w:pPr>
      <w:r>
        <w:t>14.2 Regions</w:t>
      </w:r>
    </w:p>
    <w:p>
      <w:pPr>
        <w:spacing w:after="120" w:line="276"/>
      </w:pPr>
      <w:r>
        <w:rPr>
          <w:b w:val="false"/>
          <w:bCs w:val="false"/>
          <w:i w:val="false"/>
          <w:iCs w:val="false"/>
          <w:color w:val="111418"/>
        </w:rPr>
        <w:t xml:space="preserve">The build fuses three analysis regions in one pass, each on its own projected grid. CONUS on EPSG:5070 carries GOES-18, GOES-19, VIIRS, and MODIS. Canada on EPSG:3979 carries VIIRS and MODIS everywhere plus GOES along the southern border; the geostationary satellites physically cannot see the boreal north, so that coverage is polar-only, which is exactly why the polar sensors matter there. Europe on EPSG:3035 is VIIRS and MODIS only, because GOES observes the Americas, not Europe; the geostationary complement for Europe is Meteosat (SEVIRI and FCI), which is designed for in the fusion tolerance table but has no ingester yet. Each region clusters independently because tile identifiers are region-prefixed, CONUS and Canada meet at 49 degrees north with each satellite pull clipped to its region so a border fire is not double-counted, and the console region picker offers California, US West, CONUS, Canada, and Europe. A representative build ingested about 4,700 polar detections over CONUS, 7,500 over Canada, and 3,100 over Europe, on top of the GOES feeds.</w:t>
      </w:r>
    </w:p>
    <w:p>
      <w:pPr>
        <w:pStyle w:val="Heading2"/>
        <w:spacing w:after="80" w:before="200"/>
      </w:pPr>
      <w:r>
        <w:t>14.3 The snapshot pipeline and weather</w:t>
      </w:r>
    </w:p>
    <w:p>
      <w:pPr>
        <w:spacing w:after="120" w:line="276"/>
      </w:pPr>
      <w:r>
        <w:rPr>
          <w:b w:val="false"/>
          <w:bCs w:val="false"/>
          <w:i w:val="false"/>
          <w:iCs w:val="false"/>
          <w:color w:val="111418"/>
        </w:rPr>
        <w:t xml:space="preserve">A scheduled job runs every 30 minutes on a continuous-integration runner (which has the internet access and memory a free web host lacks). It pulls the newest granules, fuses and clusters them, bakes current Open-Meteo weather and a spread-risk score into each event, and publishes the result as a small rolling snapshot asset. The deployed service pulls that snapshot on load and on each refresh, so a free, sleeping host still serves a near-real-time feed without any always-on ingester, and the satellite data is never more than about half an hour behind real time. Weather is fetched once per build on the runner, in paced and retried batches, which keeps VHAGAR well under the weather provider's rate limits and keeps fire data and weather on the same snapshot. Two operational lessons were captured here: the weather provider rate-limits a shared cloud egress IP, which is why enrichment is done at build time rather than per request; and the polar fire service lags by about a day, so the build requests a two-day window to ensure the most recent processed day is included.</w:t>
      </w:r>
    </w:p>
    <w:p>
      <w:pPr>
        <w:pStyle w:val="Heading1"/>
        <w:spacing w:after="120" w:before="280"/>
      </w:pPr>
      <w:r>
        <w:t>15. Deployment, continuous integration, and reproducibility</w:t>
      </w:r>
    </w:p>
    <w:p>
      <w:pPr>
        <w:spacing w:after="120" w:line="276"/>
      </w:pPr>
      <w:r>
        <w:rPr>
          <w:b w:val="false"/>
          <w:bCs w:val="false"/>
          <w:i w:val="false"/>
          <w:iCs w:val="false"/>
          <w:color w:val="111418"/>
        </w:rPr>
        <w:t xml:space="preserve">The console and API are deployed on a free hosting tier using the native Python runtime: a build command installs the serving dependencies and a start command runs the ASGI server, with the Mapbox token supplied as a secret environment variable and the fire data delivered as a rolling release asset rather than committed to git, so history does not grow. The near-real-time refresh interval is short enough that a newly published snapshot appears within about ten minutes, and a redeploy forces an immediate pull.</w:t>
      </w:r>
    </w:p>
    <w:p>
      <w:pPr>
        <w:spacing w:after="120" w:line="276"/>
      </w:pPr>
      <w:r>
        <w:rPr>
          <w:b w:val="false"/>
          <w:bCs w:val="false"/>
          <w:i w:val="false"/>
          <w:iCs w:val="false"/>
          <w:color w:val="111418"/>
        </w:rPr>
        <w:t xml:space="preserve">Continuous integration runs three workflows. The main test workflow runs ruff and the pytest suite across Python 3.11 and 3.12, with heavy geospatial and deep-learning dependencies guarded so the minimal environment skips them cleanly. A leakage-gate job greps the source tree for random-splitting primitives and runs the split, metric, and mass-conservation tests, so the validation contract is a build gate rather than a convention. A deploy-check workflow reproduces the native deploy, starts the service in snapshot mode, and asserts that the endpoints serve, so a broken deploy path fails before it reaches production. The scheduled live-snapshot workflow is the near-real-time feed itself. Standing project rules include no em dashes in writing or code and the measurement-honesty discipline throughout.</w:t>
      </w:r>
    </w:p>
    <w:p>
      <w:pPr>
        <w:pStyle w:val="Heading1"/>
        <w:spacing w:after="120" w:before="280"/>
      </w:pPr>
      <w:r>
        <w:t>16. Limitations and honest caveats</w:t>
      </w:r>
    </w:p>
    <w:p>
      <w:pPr>
        <w:pStyle w:val="ListParagraph"/>
        <w:numPr>
          <w:ilvl w:val="0"/>
          <w:numId w:val="1"/>
        </w:numPr>
        <w:spacing w:after="60" w:line="264"/>
      </w:pPr>
      <w:r>
        <w:rPr>
          <w:color w:val="111418"/>
        </w:rPr>
        <w:t xml:space="preserve">The live console serves GOES fire-detection footprints and fused polar detections, not validated burned areas. A polygon is a detection extent, and it is labelled as such.</w:t>
      </w:r>
    </w:p>
    <w:p>
      <w:pPr>
        <w:pStyle w:val="ListParagraph"/>
        <w:numPr>
          <w:ilvl w:val="0"/>
          <w:numId w:val="1"/>
        </w:numPr>
        <w:spacing w:after="60" w:line="264"/>
      </w:pPr>
      <w:r>
        <w:rPr>
          <w:color w:val="111418"/>
        </w:rPr>
        <w:t xml:space="preserve">Several headline research numbers are synthetic-optimistic by construction. The T4 physics average precision near 0.77 reflects a synthetic truth close to the forecaster's model class; the real next-day ceiling is 0.35 to 0.45. The T3 skill numbers are on synthetic danger scenarios that demonstrate the contract, not calibrated operational danger.</w:t>
      </w:r>
    </w:p>
    <w:p>
      <w:pPr>
        <w:pStyle w:val="ListParagraph"/>
        <w:numPr>
          <w:ilvl w:val="0"/>
          <w:numId w:val="1"/>
        </w:numPr>
        <w:spacing w:after="60" w:line="264"/>
      </w:pPr>
      <w:r>
        <w:rPr>
          <w:color w:val="111418"/>
        </w:rPr>
        <w:t xml:space="preserve">The T1 temporal-anomaly early detector is an honest negative as a stand-alone detector: about 25 percent pixel sensitivity, with only a directional night-time lead signal conditional on detection.</w:t>
      </w:r>
    </w:p>
    <w:p>
      <w:pPr>
        <w:pStyle w:val="ListParagraph"/>
        <w:numPr>
          <w:ilvl w:val="0"/>
          <w:numId w:val="1"/>
        </w:numPr>
        <w:spacing w:after="60" w:line="264"/>
      </w:pPr>
      <w:r>
        <w:rPr>
          <w:color w:val="111418"/>
        </w:rPr>
        <w:t xml:space="preserve">Cross-continent generalisation is demonstrated on modest cohorts (nine European fires for T2), and the foundation-model transfer, while a genuine win, loses on a minority of fires.</w:t>
      </w:r>
    </w:p>
    <w:p>
      <w:pPr>
        <w:pStyle w:val="ListParagraph"/>
        <w:numPr>
          <w:ilvl w:val="0"/>
          <w:numId w:val="1"/>
        </w:numPr>
        <w:spacing w:after="60" w:line="264"/>
      </w:pPr>
      <w:r>
        <w:rPr>
          <w:color w:val="111418"/>
        </w:rPr>
        <w:t xml:space="preserve">Real absolute spread accuracy awaits scoring against airborne infrared and 12-hour polar perimeters, which is a networked data step; only then are absolute average precision and intersection-over-union meaningful.</w:t>
      </w:r>
    </w:p>
    <w:p>
      <w:pPr>
        <w:pStyle w:val="ListParagraph"/>
        <w:numPr>
          <w:ilvl w:val="0"/>
          <w:numId w:val="1"/>
        </w:numPr>
        <w:spacing w:after="60" w:line="264"/>
      </w:pPr>
      <w:r>
        <w:rPr>
          <w:color w:val="111418"/>
        </w:rPr>
        <w:t xml:space="preserve">Europe is live but polar-only: VIIRS and MODIS via FIRMS on the EPSG:3035 grid, roughly twice-daily coverage. Its geostationary complement is Meteosat (SEVIRI and FCI), which the fusion is designed for but which has no ingester yet, so Europe lacks the 10 to 15 minute geostationary cadence that GOES gives the Americas.</w:t>
      </w:r>
    </w:p>
    <w:p>
      <w:pPr>
        <w:pStyle w:val="Heading1"/>
        <w:spacing w:after="120" w:before="280"/>
      </w:pPr>
      <w:r>
        <w:t>17. Roadmap and status</w:t>
      </w:r>
    </w:p>
    <w:p>
      <w:pPr>
        <w:spacing w:after="120" w:line="276"/>
      </w:pPr>
      <w:r>
        <w:rPr>
          <w:b w:val="false"/>
          <w:bCs w:val="false"/>
          <w:i w:val="false"/>
          <w:iCs w:val="false"/>
          <w:color w:val="111418"/>
        </w:rPr>
        <w:t xml:space="preserve">Phase 0 foundations are complete: the analysis grid and tiling, the leakage-proof splits with continuous-integration enforcement, the label spine, and the event registry. Phase 1, T2 burned area, is complete through the headline generalisation result. Phase 2, T1 detection, is complete through honest Stage-0, Stage-2, and temporal results. Phase 3, T3 danger, and Phase 4, T4 spread, are built through synthetic and physics-validated results including the three-quantity danger contract with its shadow-mode gate and the level-set, anisotropic, assimilation, and conditional-GAN spread stack. Phase 5, the platform and live operations, is the subject of Sections 10 through 12: a FastAPI and Mapbox console on real GOES fire-detection data, near-real-time ingest, the /v1/danger endpoint, weather and spread-risk enrichment, KMZ export, and the multi-sensor, multi-region live fusion of GOES-18 and GOES-19 with VIIRS and MODIS across the United States, Canada, and Europe.</w:t>
      </w:r>
    </w:p>
    <w:p>
      <w:r>
        <w:br w:type="page"/>
      </w:r>
    </w:p>
    <w:p>
      <w:pPr>
        <w:pStyle w:val="Heading1"/>
        <w:spacing w:after="120" w:before="280"/>
      </w:pPr>
      <w:r>
        <w:t>18. How to run: modules and scripts</w:t>
      </w:r>
    </w:p>
    <w:p>
      <w:pPr>
        <w:spacing w:after="120" w:line="276"/>
      </w:pPr>
      <w:r>
        <w:rPr>
          <w:b w:val="false"/>
          <w:bCs w:val="false"/>
          <w:i w:val="false"/>
          <w:iCs w:val="false"/>
          <w:color w:val="111418"/>
        </w:rPr>
        <w:t xml:space="preserve">The Python package is vhagar and exposes a Typer command-line interface (the vhagar entry point). The research and pipeline commands are subcommands of that CLI; the serving components are run as modules with python -m. Every command accepts --help for its full option list; the invocations below show the canonical form and purpose. Target Python is 3.11 or newer.</w:t>
      </w:r>
    </w:p>
    <w:p>
      <w:pPr>
        <w:pStyle w:val="Heading2"/>
        <w:spacing w:after="80" w:before="200"/>
      </w:pPr>
      <w:r>
        <w:t>18.1 Setup and environment</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make install   (pip install -e ".[dev]")</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Core plus dev tools: numpy, pandas, scipy, pyarrow, pydantic, typer, rich, plus pytest, ruff, mypy. No GDAL or torch.</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make install-all   (pip install -e ".[all]")</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Everything: the geo, gbdt, torch, archive, serve, and dev extras.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pip install -e ".[archive]"</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The GOES decode stack (s3fs, xarray, h5netcdf, h5py, pyproj, pyarrow) for the backfill and ingest.</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pip install -e ".[gbdt]" / ".[torch]" / ".[serve]"</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scikit-learn and lightgbm; torch and lightning; fastapi and uvicorn, installed only when needed.</w:t>
            </w:r>
          </w:p>
        </w:tc>
      </w:tr>
    </w:tbl>
    <w:p>
      <w:pPr>
        <w:pStyle w:val="Heading2"/>
        <w:spacing w:after="80" w:before="200"/>
      </w:pPr>
      <w:r>
        <w:t>18.2 Quality gates</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make check</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What CI runs: ruff lint plus the pytest suite.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make lint   (ruff check src tests)</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Static lint.</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make test   (pytest -q --cov=vhagar)</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Unit and property tests with coverage.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make fmt / make typecheck</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ruff format and autofix; mypy type check.</w:t>
            </w:r>
          </w:p>
        </w:tc>
      </w:tr>
    </w:tbl>
    <w:p>
      <w:pPr>
        <w:pStyle w:val="Heading2"/>
        <w:spacing w:after="80" w:before="200"/>
      </w:pPr>
      <w:r>
        <w:t>18.3 Grid, splits, and labels</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grid info --region conus|canada|europe</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Print a region's analysis grid: CRS, tile count, bounds.</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grid tile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Resolve a tile id or a point to its tile.</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splits build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Build a leakage-proof split manifest (event, spatial-block, or leave-one-out).</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splits verify &lt;manifest.json&gt;</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Verify a committed split manifest has no overlap between folds.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labels build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Build the fire-event label registry.</w:t>
            </w:r>
          </w:p>
        </w:tc>
      </w:tr>
    </w:tbl>
    <w:p>
      <w:pPr>
        <w:pStyle w:val="Heading2"/>
        <w:spacing w:after="80" w:before="200"/>
      </w:pPr>
      <w:r>
        <w:t>18.4 Physics and indices</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fwi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Canadian Fire Weather Index components (FFMC, DMC, DC, ISI, BUI, FWI).</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frp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Wooster fire-radiative-power retrieval with the sensor-specific constant.</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sensors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Sensor matching tolerances and the geo/leo parallax term.</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area-estimate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Olofsson error-adjusted burned area with a 95 percent confidence interval.</w:t>
            </w:r>
          </w:p>
        </w:tc>
      </w:tr>
    </w:tbl>
    <w:p>
      <w:pPr>
        <w:pStyle w:val="Heading2"/>
        <w:spacing w:after="80" w:before="200"/>
      </w:pPr>
      <w:r>
        <w:t>18.5 Archive and ingestion</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archive-plan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Size a backfill: granules, bytes, and time to decode.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probe-workers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Tune the decode worker count for the current host.</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backfill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Pull and decode GOES ABI FDC granules into the partitioned parquet store.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climatology-backfill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Build the 3.9 micrometre brightness-temperature climatology.</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compact ...</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Compact many small daily parquet partitions into larger files.</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coverage ...</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Coverage accounting: what was pulled versus never looked at.</w:t>
            </w:r>
          </w:p>
        </w:tc>
      </w:tr>
    </w:tbl>
    <w:p>
      <w:pPr>
        <w:pStyle w:val="Heading2"/>
        <w:spacing w:after="80" w:before="200"/>
      </w:pPr>
      <w:r>
        <w:t>18.6 T1 detection</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t1-stage0</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GEO-versus-LEO fusion geometry: POD, precision, FAR with the parallax-aware tolerance.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t1-classify</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The event classifier and the latitude/longitude leakage test across split schemes.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t1-temporal</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Synthetic temporal-anomaly early-detection demonstration.</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t1-pull-cube</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Pull the geostationary brightness-temperature time cube for a fire.</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t1-temporal-real</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Real-data lead-time evaluation against the operational product.</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t1-cohort-select / t1-cohort-pull / t1-temporal-cohort</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Select a stratified fire cohort, pull its cubes, and run the honest cohort evaluation.</w:t>
            </w:r>
          </w:p>
        </w:tc>
      </w:tr>
    </w:tbl>
    <w:p>
      <w:pPr>
        <w:pStyle w:val="Heading2"/>
        <w:spacing w:after="80" w:before="200"/>
      </w:pPr>
      <w:r>
        <w:t>18.7 T2 burned area</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t2-stage0</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Calibrated RBR spectral-threshold Stage-0.</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t2-unet</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U-Net over the RBR field, leakage-proof folds.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t2-deep</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Multi-channel stack U-Net and the Siamese change model.</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t2-perimeter</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Perimeter-versus-severity census.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t2-continent-out</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Leave-one-continent-out transfer (MTBS to Copernicus EMS).</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emsr-candidates / emsr-ingest</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Curate and ingest the Copernicus EMS held-out European fires.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t2-prithvi-build / -export / -score / -build-emsr / -export-infer / -transfer / -baseline</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The Prithvi-EO-2.0 foundation-model chain: build chips, export for TerraTorch, score, and run the cross-continent transfer and baseline.</w:t>
            </w:r>
          </w:p>
        </w:tc>
      </w:tr>
    </w:tbl>
    <w:p>
      <w:pPr>
        <w:pStyle w:val="Heading2"/>
        <w:spacing w:after="80" w:before="200"/>
      </w:pPr>
      <w:r>
        <w:t>18.8 T3 danger</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t3-ignition</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Cause-stratified ignition model and the target-group sampling-trap demonstration.</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t3-expected-ba</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Expected burned area: quantile gradient boosting with a generalised-Pareto tail, CRPS and pinball scored.</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t3-challenger</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Layer-3 deep challenger in shadow mode with the FSS promotion gate.</w:t>
            </w:r>
          </w:p>
        </w:tc>
      </w:tr>
    </w:tbl>
    <w:p>
      <w:pPr>
        <w:pStyle w:val="Heading2"/>
        <w:spacing w:after="80" w:before="200"/>
      </w:pPr>
      <w:r>
        <w:t>18.9 T4 spread</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t4-spread</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Level-set arrival-time forecast versus persistence and persistence-plus-buffer.</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t4-assimilate</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Online rate-of-spread calibration and sequential assimilation, Sorensen and FAR scored.</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 t4-aniso</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Anisotropic wind-driven elliptical spread verification.</w:t>
            </w:r>
          </w:p>
        </w:tc>
      </w:tr>
    </w:tbl>
    <w:p>
      <w:pPr>
        <w:pStyle w:val="Heading2"/>
        <w:spacing w:after="80" w:before="200"/>
      </w:pPr>
      <w:r>
        <w:t>18.10 Serving and live operations</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uvicorn serve.vhagar_api:app --host 127.0.0.1 --port 8000</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Run the API and console locally, then open http://127.0.0.1:8000/console.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python -m serve.ingest --out data/detections_nrt --sat 18 --interval 300 --retention-days 3</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Near-real-time GOES poller into a rolling store (needs the archive extra and internet).</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python -m serve.build_snapshot --sats 18,19 --regions conus,canada,europe --lookback-hours 12 --out snapshot.tgz</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Build the fused multi-sensor, multi-region snapshot. Set FIRMS_MAP_KEY to include VIIRS and MODIS.</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 firms-fetch ...   (or python -m serve.firms_ingest)</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Pull VIIRS and MODIS active fire from NASA FIRMS for a region.</w:t>
            </w:r>
          </w:p>
        </w:tc>
      </w:tr>
    </w:tbl>
    <w:p>
      <w:pPr>
        <w:spacing w:after="40" w:line="276"/>
      </w:pPr>
      <w:r>
        <w:rPr>
          <w:b/>
          <w:bCs/>
          <w:i w:val="false"/>
          <w:iCs w:val="false"/>
          <w:color w:val="111418"/>
        </w:rPr>
        <w:t xml:space="preserve">API environment variables:</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VHAGAR_MAPBOX_TOKEN</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Mapbox public token (pk...) for the console basemap; injected server-side.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VHAGAR_SNAPSHOT_URL</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Rolling snapshot asset to serve as the live feed; re-pulled on refresh.</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VHAGAR_WEATHER=1</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Enrich each event with current weather and a spread-risk score.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VHAGAR_REFRESH_SEC</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Background re-pull cadence in seconds (for example 600).</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VHAGAR_FROZEN=1 / VHAGAR_FROZEN_DIR</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Serve the committed demo snapshot bundle; the automatic fallback.</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VHAGAR_DET_DIR</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Point the API at a raw detections parquet store for a self-hosted live run.</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FIRMS_MAP_KEY</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Free NASA FIRMS key, used at build time to add VIIRS and MODIS.</w:t>
            </w:r>
          </w:p>
        </w:tc>
      </w:tr>
    </w:tbl>
    <w:p>
      <w:pPr>
        <w:pStyle w:val="Heading2"/>
        <w:spacing w:after="80" w:before="200"/>
      </w:pPr>
      <w:r>
        <w:t>18.11 Deployment and continuous integration</w:t>
      </w:r>
    </w:p>
    <w:tbl>
      <w:tblPr>
        <w:tblW w:type="dxa" w:w="9360"/>
        <w:tblBorders>
          <w:top w:val="single" w:color="C4CDD8" w:sz="2"/>
          <w:left w:val="single" w:color="C4CDD8" w:sz="2"/>
          <w:bottom w:val="single" w:color="C4CDD8" w:sz="2"/>
          <w:right w:val="single" w:color="C4CDD8" w:sz="2"/>
          <w:insideH w:val="single" w:color="DCE3EC" w:sz="1"/>
          <w:insideV w:val="single" w:color="DCE3EC" w:sz="1"/>
        </w:tblBorders>
      </w:tblPr>
      <w:tblGrid>
        <w:gridCol w:w="4472"/>
        <w:gridCol w:w="4888"/>
      </w:tblGrid>
      <w:tr>
        <w:trPr>
          <w:tblHeader/>
        </w:trPr>
        <w:tc>
          <w:tcPr>
            <w:tcW w:type="dxa" w:w="4472"/>
            <w:shd w:fill="EAF1FB" w:color="auto" w:val="clear"/>
            <w:tcMar>
              <w:top w:type="dxa" w:w="40"/>
              <w:left w:type="dxa" w:w="90"/>
              <w:bottom w:type="dxa" w:w="40"/>
              <w:right w:type="dxa" w:w="90"/>
            </w:tcMar>
          </w:tcPr>
          <w:p>
            <w:pPr>
              <w:spacing w:after="0" w:line="252"/>
              <w:jc w:val="left"/>
            </w:pPr>
            <w:r>
              <w:rPr>
                <w:b/>
                <w:bCs/>
                <w:color w:val="111418"/>
                <w:sz w:val="19"/>
                <w:szCs w:val="19"/>
              </w:rPr>
              <w:t xml:space="preserve">Command</w:t>
            </w:r>
          </w:p>
        </w:tc>
        <w:tc>
          <w:tcPr>
            <w:tcW w:type="dxa" w:w="4888"/>
            <w:shd w:fill="EAF1FB" w:color="auto" w:val="clear"/>
            <w:tcMar>
              <w:top w:type="dxa" w:w="40"/>
              <w:left w:type="dxa" w:w="90"/>
              <w:bottom w:type="dxa" w:w="40"/>
              <w:right w:type="dxa" w:w="90"/>
            </w:tcMar>
          </w:tcPr>
          <w:p>
            <w:pPr>
              <w:spacing w:after="0" w:line="252"/>
              <w:jc w:val="left"/>
            </w:pPr>
            <w:r>
              <w:rPr>
                <w:b/>
                <w:bCs/>
                <w:color w:val="111418"/>
                <w:sz w:val="19"/>
                <w:szCs w:val="19"/>
              </w:rPr>
              <w:t xml:space="preserve">What it does</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render.yaml</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Render Blueprint (native Python runtime) that deploys the API and console.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Dockerfile</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Optional container image running the same uvicorn command.</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.github/workflows/ci.yml</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Lint, tests, and the leakage-gate build gate.</w:t>
            </w:r>
          </w:p>
        </w:tc>
      </w:tr>
      <w:tr>
        <w:tc>
          <w:tcPr>
            <w:tcW w:type="dxa" w:w="4472"/>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.github/workflows/deploy-check.yml</w:t>
            </w:r>
          </w:p>
        </w:tc>
        <w:tc>
          <w:tcPr>
            <w:tcW w:type="dxa" w:w="4888"/>
            <w:shd w:fill="F6F8FB" w:color="auto" w:val="clear"/>
            <w:tcMar>
              <w:top w:type="dxa" w:w="40"/>
              <w:left w:type="dxa" w:w="90"/>
              <w:bottom w:type="dxa" w:w="40"/>
              <w:right w:type="dxa" w:w="90"/>
            </w:tcMar>
          </w:tcPr>
          <w:p>
            <w:pPr>
              <w:spacing w:after="0" w:line="252"/>
              <w:jc w:val="left"/>
            </w:pPr>
            <w:r>
              <w:rPr>
                <w:b w:val="false"/>
                <w:bCs w:val="false"/>
                <w:color w:val="111418"/>
                <w:sz w:val="19"/>
                <w:szCs w:val="19"/>
              </w:rPr>
              <w:t xml:space="preserve">Reproduces the deploy and asserts the endpoints serve.</w:t>
            </w:r>
          </w:p>
        </w:tc>
      </w:tr>
      <w:tr>
        <w:tc>
          <w:tcPr>
            <w:tcW w:type="dxa" w:w="4472"/>
            <w:tcMar>
              <w:top w:type="dxa" w:w="40"/>
              <w:left w:type="dxa" w:w="90"/>
              <w:bottom w:type="dxa" w:w="40"/>
              <w:right w:type="dxa" w:w="90"/>
            </w:tcMar>
          </w:tcPr>
          <w:p>
            <w:pPr>
              <w:spacing w:after="0" w:line="252"/>
              <w:jc w:val="left"/>
            </w:pPr>
            <w:r>
              <w:rPr>
                <w:b w:val="false"/>
                <w:bCs w:val="false"/>
                <w:color w:val="111418"/>
                <w:sz w:val="19"/>
                <w:szCs w:val="19"/>
              </w:rPr>
              <w:t xml:space="preserve">.github/workflows/live-snapshot.yml</w:t>
            </w:r>
          </w:p>
        </w:tc>
        <w:tc>
          <w:tcPr>
            <w:tcW w:type="dxa" w:w="4888"/>
            <w:tcMar>
              <w:top w:type="dxa" w:w="40"/>
              <w:left w:type="dxa" w:w="90"/>
              <w:bottom w:type="dxa" w:w="40"/>
              <w:right w:type="dxa" w:w="90"/>
            </w:tcMar>
          </w:tcPr>
          <w:p>
            <w:pPr>
              <w:spacing w:after="0" w:line="252"/>
              <w:jc w:val="left"/>
            </w:pPr>
            <w:r>
              <w:rPr>
                <w:b w:val="false"/>
                <w:bCs w:val="false"/>
                <w:color w:val="111418"/>
                <w:sz w:val="19"/>
                <w:szCs w:val="19"/>
              </w:rPr>
              <w:t xml:space="preserve">Scheduled 30-minute job that builds and publishes the live snapshot asset.</w:t>
            </w:r>
          </w:p>
        </w:tc>
      </w:tr>
    </w:tbl>
    <w:p>
      <w:pPr>
        <w:spacing w:after="80"/>
      </w:pPr>
    </w:p>
    <w:p>
      <w:pPr>
        <w:pBdr>
          <w:bottom w:val="single" w:color="1F6FEB" w:sz="6"/>
        </w:pBdr>
        <w:spacing w:after="120"/>
      </w:pPr>
    </w:p>
    <w:p>
      <w:pPr>
        <w:pStyle w:val="Heading1"/>
      </w:pPr>
      <w:r>
        <w:t>19. References and data sources</w:t>
      </w:r>
    </w:p>
    <w:p>
      <w:pPr/>
      <w:r>
        <w:t>Detection and imagery: GOES-18/19 ABI Fire Detection and Characterization (FDC); VIIRS (Suomi-NPP, NOAA-20) and MODIS active fire via NASA FIRMS; Sentinel-2 (Copernicus).</w:t>
      </w:r>
    </w:p>
    <w:p>
      <w:pPr/>
      <w:r>
        <w:t>Burned area and fuels: MTBS (Monitoring Trends in Burn Severity); LANDFIRE FBFM40 Scott and Burgan (2005) 40 fire-behavior fuel models.</w:t>
      </w:r>
    </w:p>
    <w:p>
      <w:pPr/>
      <w:r>
        <w:t>Structures and loss: CAL FIRE DINS (Damage Inspection) records with parcel assessed values; standard catastrophe-model constructs (AAL, OEP, AEP, return period).</w:t>
      </w:r>
    </w:p>
    <w:p>
      <w:pPr/>
      <w:r>
        <w:t>Danger and weather: FPA-FOD fire-occurrence; Fire Weather Index (FWI) system; Open-Meteo current-conditions API.</w:t>
      </w:r>
    </w:p>
    <w:p>
      <w:pPr/>
      <w:r>
        <w:t>Spread physics: Rothermel (1972) surface fire spread; Richards' elliptical wavelet; the anisotropic Eikonal / level-set family (Ordered Upwind Method as the rigorous counterpart of the 8-connected solver used here), the same lineage as ELMFIRE and FARSITE.</w:t>
      </w:r>
    </w:p>
    <w:p>
      <w:pPr/>
      <w:r>
        <w:t>Models and tooling: Prithvi-EO-2.0 geospatial foundation model via TerraTorch; scikit-learn gradient boosting; PyTorch (guarded, GPU-optional); rasterio and SciPy for geospatial and numerical work.</w:t>
      </w:r>
    </w:p>
    <w:p>
      <w:pPr>
        <w:spacing w:after="120" w:line="276"/>
      </w:pPr>
      <w:r>
        <w:t>Prepared from the VHAGAR repository documentation and the live deployment. All quantitative results are quoted from the project's own experiments and carry the fold standard deviations, baselines, and caveats the project records.</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VHAGAR Technical Report  |  Page </w:t>
    </w:r>
    <w:fldSimple w:instr=" PAGE ">
      <w:r>
        <w:rPr>
          <w:sz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4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VHAGAR End-to-End Technical Report</dc:title>
  <dc:creator>VHAGAR</dc:creator>
  <dc:description>Multi-sensor wildfire intelligence: architecture, methods, validation, platform, operations</dc:description>
  <cp:lastModifiedBy>Un-named</cp:lastModifiedBy>
  <cp:revision>1</cp:revision>
  <dcterms:created xsi:type="dcterms:W3CDTF">2026-08-20T03:51:36.685Z</dcterms:created>
  <dcterms:modified xsi:type="dcterms:W3CDTF">2026-08-20T03:51:36.701Z</dcterms:modified>
</cp:coreProperties>
</file>

<file path=docProps/custom.xml><?xml version="1.0" encoding="utf-8"?>
<Properties xmlns="http://schemas.openxmlformats.org/officeDocument/2006/custom-properties" xmlns:vt="http://schemas.openxmlformats.org/officeDocument/2006/docPropsVTypes"/>
</file>