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7410E"/>
          <w:sz w:val="64"/>
          <w:szCs w:val="64"/>
        </w:rPr>
        <w:t xml:space="preserve">FirePerim Live</w:t>
      </w:r>
    </w:p>
    <w:p>
      <w:pPr>
        <w:spacing w:after="200"/>
        <w:jc w:val="center"/>
      </w:pPr>
      <w:r>
        <w:rPr>
          <w:color w:val="1A1D24"/>
          <w:sz w:val="30"/>
          <w:szCs w:val="30"/>
        </w:rPr>
        <w:t xml:space="preserve">A Satellite-Data Analog of the ORBIT Data Engine</w:t>
      </w:r>
    </w:p>
    <w:p>
      <w:pPr>
        <w:spacing w:after="600"/>
        <w:jc w:val="center"/>
      </w:pPr>
      <w:r>
        <w:rPr>
          <w:i/>
          <w:iCs/>
          <w:sz w:val="24"/>
          <w:szCs w:val="24"/>
        </w:rPr>
        <w:t xml:space="preserve">Technical Report &amp; System Design</w:t>
      </w:r>
    </w:p>
    <w:p>
      <w:pPr>
        <w:spacing w:after="40"/>
        <w:jc w:val="center"/>
      </w:pPr>
      <w:r>
        <w:rPr>
          <w:sz w:val="22"/>
          <w:szCs w:val="22"/>
        </w:rPr>
        <w:t xml:space="preserve">Prepared for the Geospatial Platform Engineer role</w:t>
      </w:r>
    </w:p>
    <w:p>
      <w:pPr>
        <w:spacing w:after="40"/>
        <w:jc w:val="center"/>
      </w:pPr>
      <w:r>
        <w:rPr>
          <w:sz w:val="22"/>
          <w:szCs w:val="22"/>
        </w:rPr>
        <w:t xml:space="preserve">EmberWorks Sensing — Coulson Aviation</w:t>
      </w:r>
    </w:p>
    <w:p>
      <w:pPr>
        <w:spacing w:after="600"/>
        <w:jc w:val="center"/>
      </w:pPr>
      <w:r>
        <w:rPr>
          <w:sz w:val="22"/>
          <w:szCs w:val="22"/>
        </w:rPr>
        <w:t xml:space="preserve">Author: Chidi Ibekwe</w:t>
      </w:r>
    </w:p>
    <w:p>
      <w:pPr>
        <w:spacing w:after="40"/>
        <w:jc w:val="center"/>
      </w:pPr>
      <w:r>
        <w:rPr>
          <w:color w:val="B7410E"/>
          <w:sz w:val="20"/>
          <w:szCs w:val="20"/>
        </w:rPr>
        <w:t xml:space="preserve">Live demo: https://fireperim-live.streamlit.app</w:t>
      </w:r>
    </w:p>
    <w:p>
      <w:pPr>
        <w:jc w:val="center"/>
      </w:pPr>
      <w:r>
        <w:rPr>
          <w:color w:val="B7410E"/>
          <w:sz w:val="20"/>
          <w:szCs w:val="20"/>
        </w:rPr>
        <w:t xml:space="preserve">Repository: github.com/Ibekwemmanuel7/fireperim-live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pPr>
      <w:r>
        <w:t xml:space="preserve">FirePerim Live is a working, publicly deployed geospatial pipeline that ingests live satellite thermal data, detects and bounds active fires, fuses weather to estimate spread risk, and publishes agency-ready georeferenced outputs. It was built as a faithful, end-to-end analog of the ORBIT Data Engine, the EmberWorks/Coulson Aviation product that performs the same job from thermal imagery captured by airborne IR scanners on firefighting aircraft.</w:t>
      </w:r>
    </w:p>
    <w:p>
      <w:pPr>
        <w:spacing w:after="140"/>
      </w:pPr>
      <w:r>
        <w:t xml:space="preserve">The central design idea is a single, well-defined </w:t>
      </w:r>
      <w:r>
        <w:rPr>
          <w:b/>
          <w:bCs/>
        </w:rPr>
        <w:t xml:space="preserve">ingestion seam</w:t>
      </w:r>
      <w:r>
        <w:t xml:space="preserve">. ORBIT ingests airborne IR frames; FirePerim ingests NASA VIIRS/FIRMS satellite detections. Both emit one standardized detection schema, so every stage downstream — clustering, perimeter extraction, weather fusion, risk scoring, visualization, and export — is identical and source-agnostic. The practical claim is precise and testable: replace the ingestion layer with an airborne feed that emits the same schema, and the remaining pipeline runs unchanged.</w:t>
      </w:r>
    </w:p>
    <w:p>
      <w:pPr>
        <w:spacing w:after="140"/>
      </w:pPr>
      <w:r>
        <w:t xml:space="preserve">The system is live at https://fireperim-live.streamlit.app, backed by a public GitHub repository with continuous integration and 23 automated tests. This report documents the architecture, each pipeline stage, the design decisions and trade-offs, the mapping to the ORBIT role, known limitations, and a roadmap toward the full production scope described in the job description.</w:t>
      </w:r>
    </w:p>
    <w:p>
      <w:pPr>
        <w:pStyle w:val="Heading1"/>
      </w:pPr>
      <w:r>
        <w:t xml:space="preserve">2. Context and Problem Framing</w:t>
      </w:r>
    </w:p>
    <w:p>
      <w:pPr>
        <w:spacing w:after="140"/>
      </w:pPr>
      <w:r>
        <w:t xml:space="preserve">EmberWorks Sensing is building a sensor network across a fleet of operational firefighting aircraft to deliver real-time fire data and analytics to host agencies. The geospatial platform must transform raw imagery into agency-ready outputs and present them to operators and dispatchers during active incidents. The core engineering challenge is a streaming geospatial pipeline: take noisy thermal observations, resolve them into discrete fire events with defensible boundaries, enrich them with operational context, and deliver standards-based outputs into the systems agencies already use (ICS, CAL FIRE, NIFC).</w:t>
      </w:r>
    </w:p>
    <w:p>
      <w:pPr>
        <w:spacing w:after="140"/>
      </w:pPr>
      <w:r>
        <w:t xml:space="preserve">Building against ORBIT's airborne feed directly is not possible without access to the hardware and data. Satellite active-fire data is the highest-fidelity public proxy: NASA's VIIRS instrument reports thermal anomalies at 375 m resolution in near real-time, globally and for free. Choosing VIIRS lets the entire downstream architecture be built, tested, and demonstrated today, while keeping the ingestion boundary clean enough that the airborne source can be dropped in later.</w:t>
      </w:r>
    </w:p>
    <w:p>
      <w:pPr>
        <w:pStyle w:val="Heading1"/>
      </w:pPr>
      <w:r>
        <w:t xml:space="preserve">3. System Architecture</w:t>
      </w:r>
    </w:p>
    <w:p>
      <w:pPr>
        <w:spacing w:after="140"/>
      </w:pPr>
      <w:r>
        <w:t xml:space="preserve">The pipeline is a linear, testable sequence of pure transformations over GeoDataFrames. Each stage has a single responsibility and a typed input/output, which keeps the system easy to reason about and to unit-test.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200"/>
        <w:gridCol w:w="3200"/>
      </w:tblGrid>
      <w:tr>
        <w:trPr>
          <w:tblHeader/>
        </w:trPr>
        <w:tc>
          <w:tcPr>
            <w:tcW w:type="dxa" w:w="56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Responsibility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Ingest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ingest/firms.py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Pull live VIIRS/MODIS detections; normalize to one schema</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Cluster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processing/cluster.py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DBSCAN over metres → distinct fire events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Perimeter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processing/perimeter.py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Alpha-shape concave hull + per-event statistics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Weather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weather/open_meteo.py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Batched wind / RH / temperature per event centroid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processing/risk.py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Weather-driven 0–100 spread-risk score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viz/maps.py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Folium/Leaflet points, perimeters, wind arrows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export/geojson_kmz.py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GeoJSON + KMZ for agency GIS</w:t>
            </w:r>
          </w:p>
        </w:tc>
      </w:tr>
    </w:tbl>
    <w:p>
      <w:pPr>
        <w:spacing w:after="80"/>
      </w:pPr>
    </w:p>
    <w:p>
      <w:pPr>
        <w:spacing w:after="140"/>
      </w:pPr>
      <w:r>
        <w:t xml:space="preserve">Data flow: </w:t>
      </w:r>
      <w:r>
        <w:rPr>
          <w:b/>
          <w:bCs/>
        </w:rPr>
        <w:t xml:space="preserve">FIRMS API → standardized detections (EPSG:4326) → DBSCAN events → alpha-shape perimeters → Open-Meteo enrichment → risk score → map + GeoJSON/KMZ.</w:t>
      </w:r>
      <w:r>
        <w:t xml:space="preserve"> The only stage that is sensor-specific is ingestion.</w:t>
      </w:r>
    </w:p>
    <w:p>
      <w:pPr>
        <w:pStyle w:val="Heading2"/>
      </w:pPr>
      <w:r>
        <w:t xml:space="preserve">3.1 The ingestion seam</w:t>
      </w:r>
    </w:p>
    <w:p>
      <w:pPr>
        <w:spacing w:after="140"/>
      </w:pPr>
      <w:r>
        <w:t xml:space="preserve">Every detection source implements one abstract base class and returns one schema:</w:t>
      </w:r>
    </w:p>
    <w:p>
      <w:pPr>
        <w:shd w:fill="F2F2F2" w:val="clear"/>
        <w:spacing w:after="140"/>
      </w:pPr>
      <w:r>
        <w:rPr>
          <w:rFonts w:ascii="Consolas" w:cs="Consolas" w:eastAsia="Consolas" w:hAnsi="Consolas"/>
          <w:sz w:val="18"/>
          <w:szCs w:val="18"/>
        </w:rPr>
        <w:t xml:space="preserve">class DetectionSource(ABC):</w:t>
      </w:r>
    </w:p>
    <w:p>
      <w:pPr>
        <w:shd w:fill="F2F2F2" w:val="clear"/>
        <w:spacing w:after="140"/>
      </w:pPr>
      <w:r>
        <w:rPr>
          <w:rFonts w:ascii="Consolas" w:cs="Consolas" w:eastAsia="Consolas" w:hAnsi="Consolas"/>
          <w:sz w:val="18"/>
          <w:szCs w:val="18"/>
        </w:rPr>
        <w:t xml:space="preserve">    @abstractmethod</w:t>
      </w:r>
    </w:p>
    <w:p>
      <w:pPr>
        <w:shd w:fill="F2F2F2" w:val="clear"/>
        <w:spacing w:after="140"/>
      </w:pPr>
      <w:r>
        <w:rPr>
          <w:rFonts w:ascii="Consolas" w:cs="Consolas" w:eastAsia="Consolas" w:hAnsi="Consolas"/>
          <w:sz w:val="18"/>
          <w:szCs w:val="18"/>
        </w:rPr>
        <w:t xml:space="preserve">    def fetch(self) -&gt; gpd.GeoDataFrame: ...   # DETECTION_COLUMNS, EPSG:4326</w:t>
      </w:r>
    </w:p>
    <w:p>
      <w:pPr>
        <w:spacing w:after="140"/>
      </w:pPr>
      <w:r>
        <w:t xml:space="preserve">A static validator asserts the contract (required columns present, CRS is EPSG:4326) at the boundary, so a malformed source fails fast and loudly rather than corrupting downstream stages. This is the architectural pivot that makes the ORBIT claim literal rather than rhetorical.</w:t>
      </w:r>
    </w:p>
    <w:p>
      <w:pPr>
        <w:pStyle w:val="Heading2"/>
      </w:pPr>
      <w:r>
        <w:t xml:space="preserve">3.2 Standardized detection schema</w:t>
      </w:r>
    </w:p>
    <w:p>
      <w:pPr>
        <w:spacing w:after="140"/>
      </w:pPr>
      <w:r>
        <w:t xml:space="preserve">A detection is one georeferenced thermal anomaly. VIIRS and MODIS expose different raw columns (e.g., VIIRS brightness is bright_ti4; MODIS is brightness; VIIRS confidence is categorical low/nominal/high; MODIS is 0–100). The FIRMS client maps both 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latitude, longitude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Detection centroid (degrees)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acq_datetime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datetime (UTC)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Acquisition time, parsed from date+time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frp_mw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 Radiative Power (MW) — energy proxy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brightness_k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Channel brightness temperature (Kelvin)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confidence / confidence_class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float / 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Normalized 0–100 + low/nominal/high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daynight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 or night overpass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sensor, satellite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Provenance of the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scan_km, track_km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Pixel footprint dimensions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geometry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Shapely point, EPSG:4326</w:t>
            </w:r>
          </w:p>
        </w:tc>
      </w:tr>
    </w:tbl>
    <w:p>
      <w:r>
        <w:br w:type="page"/>
      </w:r>
    </w:p>
    <w:p>
      <w:pPr>
        <w:pStyle w:val="Heading1"/>
      </w:pPr>
      <w:r>
        <w:t xml:space="preserve">4. Pipeline Stages in Detail</w:t>
      </w:r>
    </w:p>
    <w:p>
      <w:pPr>
        <w:pStyle w:val="Heading2"/>
      </w:pPr>
      <w:r>
        <w:t xml:space="preserve">4.1 Ingestion (NASA FIRMS / VIIRS)</w:t>
      </w:r>
    </w:p>
    <w:p>
      <w:pPr>
        <w:spacing w:after="140"/>
      </w:pPr>
      <w:r>
        <w:t xml:space="preserve">The client calls the FIRMS Area API per sensor over a bounding box and look-back window (max 5 days), merges multiple VIIRS platforms (S-NPP, NOAA-20, NOAA-21) plus MODIS into one frame, and normalizes confidence and brightness across sensors. It distinguishes the API's plain-text auth/limit errors from CSV payloads, surfaces a typed FirmsAuthError, and exposes a key-status check for transaction budgeting. A cached VIIRS sample provides an offline mode so the system runs with no key and degrades gracefully.</w:t>
      </w:r>
    </w:p>
    <w:p>
      <w:pPr>
        <w:spacing w:after="140"/>
      </w:pPr>
      <w:r>
        <w:rPr>
          <w:b/>
          <w:bCs/>
        </w:rPr>
        <w:t xml:space="preserve">Design decisions:</w:t>
      </w:r>
      <w:r>
        <w:t xml:space="preserve"> VIIRS 375 m is the default because it is the closest free analog to an airborne scanner's resolution. Multi-sensor merge increases temporal density (more passes per day). Caching with a five-minute TTL keeps the live demo responsive without hammering the API.</w:t>
      </w:r>
    </w:p>
    <w:p>
      <w:pPr>
        <w:pStyle w:val="Heading2"/>
      </w:pPr>
      <w:r>
        <w:t xml:space="preserve">4.2 Clustering (DBSCAN)</w:t>
      </w:r>
    </w:p>
    <w:p>
      <w:pPr>
        <w:spacing w:after="140"/>
      </w:pPr>
      <w:r>
        <w:t xml:space="preserve">Detections are projected to an equal-area CRS (EPSG:5070, metres) so the neighborhood radius is a real ground distance rather than degrees. DBSCAN groups density-reachable detections into events and labels sparse points as noise. Events are renumbered largest-first for stable, readable labels.</w:t>
      </w:r>
    </w:p>
    <w:p>
      <w:pPr>
        <w:spacing w:after="140"/>
      </w:pPr>
      <w:r>
        <w:rPr>
          <w:b/>
          <w:bCs/>
        </w:rPr>
        <w:t xml:space="preserve">Why DBSCAN:</w:t>
      </w:r>
      <w:r>
        <w:t xml:space="preserve"> it requires no preset number of clusters (you do not know how many fires there are), it is shaped by physical distance, and it explicitly models noise — so on a quiet day the pipeline correctly reports zero events instead of inventing fires. Defaults: eps = 1.5 km, min_samples = 5, both tunable live.</w:t>
      </w:r>
    </w:p>
    <w:p>
      <w:pPr>
        <w:pStyle w:val="Heading2"/>
      </w:pPr>
      <w:r>
        <w:t xml:space="preserve">4.3 Perimeter extraction (alpha shapes)</w:t>
      </w:r>
    </w:p>
    <w:p>
      <w:pPr>
        <w:spacing w:after="140"/>
      </w:pPr>
      <w:r>
        <w:t xml:space="preserve">For each event, an alpha shape (concave hull) is fitted in projected metres, then reprojected to EPSG:4326. A concave hull hugs the true detection footprint; a convex hull would over-claim unburned area. Robustness is layered: if the alpha shape degenerates (collinear or tiny clusters) the code falls back to a convex hull, and then to a buffered-point footprint (≈ one VIIRS pixel) for two-point clusters. A final buffer-out/in closes slivers and guarantees valid geometry.</w:t>
      </w:r>
    </w:p>
    <w:p>
      <w:pPr>
        <w:spacing w:after="140"/>
      </w:pPr>
      <w:r>
        <w:t xml:space="preserve">Per-event statistics are computed at this stage: area (hectares), perimeter length (km), detection count, FRP totals/maxima, active time span, and contributing sensors.</w:t>
      </w:r>
    </w:p>
    <w:p>
      <w:pPr>
        <w:pStyle w:val="Heading2"/>
      </w:pPr>
      <w:r>
        <w:t xml:space="preserve">4.4 Weather fusion (Open-Meteo)</w:t>
      </w:r>
    </w:p>
    <w:p>
      <w:pPr>
        <w:spacing w:after="140"/>
      </w:pPr>
      <w:r>
        <w:t xml:space="preserve">All event centroids are sent in a single key-less Open-Meteo request, which accepts comma-separated coordinates and returns current wind speed/direction/gusts, relative humidity, and temperature. Network or parse failures degrade to all-None so perimeters still render without risk. Results are cached for fifteen minutes.</w:t>
      </w:r>
    </w:p>
    <w:p>
      <w:pPr>
        <w:pStyle w:val="Heading2"/>
      </w:pPr>
      <w:r>
        <w:t xml:space="preserve">4.5 Spread-risk scoring</w:t>
      </w:r>
    </w:p>
    <w:p>
      <w:pPr>
        <w:spacing w:after="140"/>
      </w:pPr>
      <w:r>
        <w:t xml:space="preserve">Each event receives a transparent 0–100 spread-risk score. Wind is the dominant driver of fire spread; low humidity and high temperature amplify it. Each component is normalized to an operationally meaningful range and combined by fixed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Normalization</w:t>
            </w:r>
          </w:p>
        </w:tc>
        <w:tc>
          <w:tcPr>
            <w:tcW w:type="dxa" w:w="312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Wind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 ~15 m/s (≈34 mph)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Dryness (low RH)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RH 45% →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Heat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15°C → 40°C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r>
    </w:tbl>
    <w:p>
      <w:pPr>
        <w:spacing w:after="80"/>
      </w:pPr>
    </w:p>
    <w:p>
      <w:pPr>
        <w:spacing w:after="140"/>
      </w:pPr>
      <w:r>
        <w:t xml:space="preserve">Scores bin into Low (&lt;25), Moderate, High, and Extreme (≥75). This is deliberately an explainable operational triage signal, not a calibrated fire-danger index such as the NFDRS or FWI — the weights can be recalibrated, and the formula is simple enough to defend to an operator on the spot.</w:t>
      </w:r>
    </w:p>
    <w:p>
      <w:pPr>
        <w:pStyle w:val="Heading2"/>
      </w:pPr>
      <w:r>
        <w:t xml:space="preserve">4.6 Visualization (Folium / Leaflet)</w:t>
      </w:r>
    </w:p>
    <w:p>
      <w:pPr>
        <w:spacing w:after="140"/>
      </w:pPr>
      <w:r>
        <w:t xml:space="preserve">The map renders detection points sized and colored by FRP, event perimeters colored by spread risk, and downwind direction arrows (the wind blows from the reported bearing, so spread is drawn toward bearing + 180°). To keep the view legible when many events are present, permanent labels are capped to the ten highest-FRP events; the rest carry hover tooltips and click popups. Dark, satellite, and terrain basemaps are toggleable.</w:t>
      </w:r>
    </w:p>
    <w:p>
      <w:pPr>
        <w:pStyle w:val="Heading2"/>
      </w:pPr>
      <w:r>
        <w:t xml:space="preserve">4.7 Export (GeoJSON + KMZ)</w:t>
      </w:r>
    </w:p>
    <w:p>
      <w:pPr>
        <w:spacing w:after="140"/>
      </w:pPr>
      <w:r>
        <w:t xml:space="preserve">Events serialize to two standards-based formats, both produced in memory and served as direct downloads. GeoJSON is the lingua franca for web GIS, ArcGIS, and QGIS; datetimes are emitted as ISO-8601 strings and every statistic, weather value, and risk field is carried as a feature property. KMZ (zipped KML) targets Google Earth and field situational-awareness tools, with polygons styled by risk color and a human-readable description per event. This is the direct analog of ORBIT publishing georeferenced outputs to agency GIS systems.</w:t>
      </w:r>
    </w:p>
    <w:p>
      <w:r>
        <w:br w:type="page"/>
      </w:r>
    </w:p>
    <w:p>
      <w:pPr>
        <w:pStyle w:val="Heading1"/>
      </w:pPr>
      <w:r>
        <w:t xml:space="preserve">5.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Concern</w:t>
            </w:r>
          </w:p>
        </w:tc>
        <w:tc>
          <w:tcPr>
            <w:tcW w:type="dxa" w:w="260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Choice</w:t>
            </w:r>
          </w:p>
        </w:tc>
        <w:tc>
          <w:tcPr>
            <w:tcW w:type="dxa" w:w="396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Geometry / CRS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GeoPandas, Shapely, pyproj</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geospatial stack named in the role; equal-area CRS for honest distances/areas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Clustering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scikit-learn DBSCAN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Density-based, noise-aware, no preset cluster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Perimeters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alphashape + Shapely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Concave hulls with robust fallbacks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Weather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Open-Meteo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key-less, batched, no quota friction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 / 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Streamlit + Folium/Leaflet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Fast to a shareable public URL; Leaflet is map-centric like the target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simplekml + GeoJSON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Standards agencies actually consume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 / deploy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Actions + Streamlit Cloud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Tests on every push; auto-redeploy to a public URL</w:t>
            </w:r>
          </w:p>
        </w:tc>
      </w:tr>
    </w:tbl>
    <w:p>
      <w:pPr>
        <w:spacing w:after="80"/>
      </w:pPr>
    </w:p>
    <w:p>
      <w:pPr>
        <w:spacing w:after="140"/>
      </w:pPr>
      <w:r>
        <w:t xml:space="preserve">Raster libraries (Rasterio, xarray) are scaffolded in requirements for the imagery/COG extension described in Section 8.</w:t>
      </w:r>
    </w:p>
    <w:p>
      <w:pPr>
        <w:pStyle w:val="Heading1"/>
      </w:pPr>
      <w:r>
        <w:t xml:space="preserve">6. Engineering Quality</w:t>
      </w:r>
    </w:p>
    <w:p>
      <w:pPr>
        <w:pStyle w:val="Heading2"/>
      </w:pPr>
      <w:r>
        <w:t xml:space="preserve">6.1 Testing</w:t>
      </w:r>
    </w:p>
    <w:p>
      <w:pPr>
        <w:spacing w:after="140"/>
      </w:pPr>
      <w:r>
        <w:t xml:space="preserve">Twenty-three pytest tests cover the contract and the math, not just the happy path:</w:t>
      </w:r>
    </w:p>
    <w:p>
      <w:pPr>
        <w:pStyle w:val="ListParagraph"/>
        <w:numPr>
          <w:ilvl w:val="0"/>
          <w:numId w:val="2"/>
        </w:numPr>
        <w:spacing w:after="60"/>
      </w:pPr>
      <w:r>
        <w:t xml:space="preserve">Ingestion: URL construction, day-range clamping, multi-sensor confidence/brightness normalization, schema conformance.</w:t>
      </w:r>
    </w:p>
    <w:p>
      <w:pPr>
        <w:pStyle w:val="ListParagraph"/>
        <w:numPr>
          <w:ilvl w:val="0"/>
          <w:numId w:val="2"/>
        </w:numPr>
        <w:spacing w:after="60"/>
      </w:pPr>
      <w:r>
        <w:t xml:space="preserve">Clustering: expected event count on a known sample, size-ordered labeling, empty-input safety.</w:t>
      </w:r>
    </w:p>
    <w:p>
      <w:pPr>
        <w:pStyle w:val="ListParagraph"/>
        <w:numPr>
          <w:ilvl w:val="0"/>
          <w:numId w:val="2"/>
        </w:numPr>
        <w:spacing w:after="60"/>
      </w:pPr>
      <w:r>
        <w:t xml:space="preserve">Perimeters: schema, valid non-empty polygons, positive areas, tiny-cluster buffer fallback.</w:t>
      </w:r>
    </w:p>
    <w:p>
      <w:pPr>
        <w:pStyle w:val="ListParagraph"/>
        <w:numPr>
          <w:ilvl w:val="0"/>
          <w:numId w:val="2"/>
        </w:numPr>
        <w:spacing w:after="60"/>
      </w:pPr>
      <w:r>
        <w:t xml:space="preserve">Weather: response parsing (single and batched), graceful failure to all-None, point alignment.</w:t>
      </w:r>
    </w:p>
    <w:p>
      <w:pPr>
        <w:pStyle w:val="ListParagraph"/>
        <w:numPr>
          <w:ilvl w:val="0"/>
          <w:numId w:val="2"/>
        </w:numPr>
        <w:spacing w:after="60"/>
      </w:pPr>
      <w:r>
        <w:t xml:space="preserve">Risk: monotonicity in wind, extreme/low boundary cases, None handling.</w:t>
      </w:r>
    </w:p>
    <w:p>
      <w:pPr>
        <w:pStyle w:val="ListParagraph"/>
        <w:numPr>
          <w:ilvl w:val="0"/>
          <w:numId w:val="2"/>
        </w:numPr>
        <w:spacing w:after="60"/>
      </w:pPr>
      <w:r>
        <w:t xml:space="preserve">Export: GeoJSON validity and ISO datetime serialization; KMZ is a valid zip containing styled polygons.</w:t>
      </w:r>
    </w:p>
    <w:p>
      <w:pPr>
        <w:pStyle w:val="Heading2"/>
      </w:pPr>
      <w:r>
        <w:t xml:space="preserve">6.2 CI and deployment</w:t>
      </w:r>
    </w:p>
    <w:p>
      <w:pPr>
        <w:spacing w:after="140"/>
      </w:pPr>
      <w:r>
        <w:t xml:space="preserve">GitHub Actions lints and runs the suite on every push. Streamlit Cloud rebuilds automatically from main, so the public demo always reflects the latest commit. Secrets (the FIRMS key) are injected through the platform secret store and never committed.</w:t>
      </w:r>
    </w:p>
    <w:p>
      <w:pPr>
        <w:pStyle w:val="Heading1"/>
      </w:pPr>
      <w:r>
        <w:t xml:space="preserve">7. Alignment with the ORBIT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Role requirement</w:t>
            </w:r>
          </w:p>
        </w:tc>
        <w:tc>
          <w:tcPr>
            <w:tcW w:type="dxa" w:w="4680"/>
            <w:tcBorders>
              <w:top w:val="single" w:color="CCCCCC" w:sz="1"/>
              <w:left w:val="single" w:color="CCCCCC" w:sz="1"/>
              <w:bottom w:val="single" w:color="CCCCCC" w:sz="1"/>
              <w:right w:val="single" w:color="CCCCCC" w:sz="1"/>
            </w:tcBorders>
            <w:shd w:fill="B7410E" w:val="clear"/>
            <w:tcMar>
              <w:top w:type="dxa" w:w="80"/>
              <w:left w:type="dxa" w:w="120"/>
              <w:bottom w:type="dxa" w:w="80"/>
              <w:right w:type="dxa" w:w="120"/>
            </w:tcMar>
          </w:tcPr>
          <w:p>
            <w:r>
              <w:rPr>
                <w:b/>
                <w:bCs/>
                <w:color w:val="FFFFFF"/>
                <w:sz w:val="20"/>
                <w:szCs w:val="20"/>
              </w:rPr>
              <w:t xml:space="preserve">Demonstrated in FirePerim Live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geospatial libraries (GDAL, Rasterio, GeoPandas)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GeoPandas/Shapely/pyproj pipeline; Rasterio/xarray scaffolded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 processing workflows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Stateless transforms deployed to Streamlit Cloud with CI; cloud-worker-ready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Map-centric UIs (Leaflet, Mapbox, Cesium)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Interactive Leaflet map: vector overlays, perimeters, wind arrows, basemaps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Integrate multiple data 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FIRMS detections + Open-Meteo weather fused per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Output products to agency situational-awareness platforms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GeoJSON + KMZ standards-based exports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Comfort with ambiguity / end-to-end ownership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Whole pipeline designed, built, tested, deployed solo</w:t>
            </w:r>
          </w:p>
        </w:tc>
      </w:tr>
    </w:tbl>
    <w:p>
      <w:pPr>
        <w:spacing w:after="80"/>
      </w:pPr>
    </w:p>
    <w:p>
      <w:pPr>
        <w:spacing w:after="140"/>
      </w:pPr>
      <w:r>
        <w:t xml:space="preserve">Gaps relative to the full role are intentional and scoped in Section 8: a production React/JS front end, raster tiling/COG generation, and photogrammetry are the natural next increments rather than parts of this proof of architecture.</w:t>
      </w:r>
    </w:p>
    <w:p>
      <w:pPr>
        <w:pStyle w:val="Heading1"/>
      </w:pPr>
      <w:r>
        <w:t xml:space="preserve">8. Limitations and Roadmap</w:t>
      </w:r>
    </w:p>
    <w:p>
      <w:pPr>
        <w:pStyle w:val="Heading2"/>
      </w:pPr>
      <w:r>
        <w:t xml:space="preserve">8.1 Known limitations</w:t>
      </w:r>
    </w:p>
    <w:p>
      <w:pPr>
        <w:pStyle w:val="ListParagraph"/>
        <w:numPr>
          <w:ilvl w:val="0"/>
          <w:numId w:val="2"/>
        </w:numPr>
        <w:spacing w:after="60"/>
      </w:pPr>
      <w:r>
        <w:rPr>
          <w:b/>
          <w:bCs/>
        </w:rPr>
        <w:t xml:space="preserve">Resolution and cadence:</w:t>
      </w:r>
      <w:r>
        <w:t xml:space="preserve"> VIIRS is 375 m with a few passes per day; an airborne scanner is higher-resolution and continuous. The architecture is unchanged, but fidelity differs.</w:t>
      </w:r>
    </w:p>
    <w:p>
      <w:pPr>
        <w:pStyle w:val="ListParagraph"/>
        <w:numPr>
          <w:ilvl w:val="0"/>
          <w:numId w:val="2"/>
        </w:numPr>
        <w:spacing w:after="60"/>
      </w:pPr>
      <w:r>
        <w:rPr>
          <w:b/>
          <w:bCs/>
        </w:rPr>
        <w:t xml:space="preserve">Risk model:</w:t>
      </w:r>
      <w:r>
        <w:t xml:space="preserve"> heuristic and weather-only; it does not yet incorporate fuel, slope, or calibrated indices.</w:t>
      </w:r>
    </w:p>
    <w:p>
      <w:pPr>
        <w:pStyle w:val="ListParagraph"/>
        <w:numPr>
          <w:ilvl w:val="0"/>
          <w:numId w:val="2"/>
        </w:numPr>
        <w:spacing w:after="60"/>
      </w:pPr>
      <w:r>
        <w:rPr>
          <w:b/>
          <w:bCs/>
        </w:rPr>
        <w:t xml:space="preserve">No persistence:</w:t>
      </w:r>
      <w:r>
        <w:t xml:space="preserve"> events are computed per request; there is no history to track perimeter growth or rate of spread.</w:t>
      </w:r>
    </w:p>
    <w:p>
      <w:pPr>
        <w:pStyle w:val="ListParagraph"/>
        <w:numPr>
          <w:ilvl w:val="0"/>
          <w:numId w:val="2"/>
        </w:numPr>
        <w:spacing w:after="60"/>
      </w:pPr>
      <w:r>
        <w:rPr>
          <w:b/>
          <w:bCs/>
        </w:rPr>
        <w:t xml:space="preserve">Perimeters are observation hulls,</w:t>
      </w:r>
      <w:r>
        <w:t xml:space="preserve"> not fuel-aware fire-behavior boundaries.</w:t>
      </w:r>
    </w:p>
    <w:p>
      <w:pPr>
        <w:pStyle w:val="Heading2"/>
      </w:pPr>
      <w:r>
        <w:t xml:space="preserve">8.2 Roadmap toward production</w:t>
      </w:r>
    </w:p>
    <w:p>
      <w:pPr>
        <w:pStyle w:val="ListParagraph"/>
        <w:numPr>
          <w:ilvl w:val="0"/>
          <w:numId w:val="3"/>
        </w:numPr>
        <w:spacing w:after="60"/>
      </w:pPr>
      <w:r>
        <w:rPr>
          <w:b/>
          <w:bCs/>
        </w:rPr>
        <w:t xml:space="preserve">Raster / imagery track:</w:t>
      </w:r>
      <w:r>
        <w:t xml:space="preserve"> ingest a VIIRS thermal granule, reproject, and generate a Cloud-Optimized GeoTIFF served as a tile layer — the imagery/COG/tiling path that mirrors ORBIT's raw IR input.</w:t>
      </w:r>
    </w:p>
    <w:p>
      <w:pPr>
        <w:pStyle w:val="ListParagraph"/>
        <w:numPr>
          <w:ilvl w:val="0"/>
          <w:numId w:val="3"/>
        </w:numPr>
        <w:spacing w:after="60"/>
      </w:pPr>
      <w:r>
        <w:rPr>
          <w:b/>
          <w:bCs/>
        </w:rPr>
        <w:t xml:space="preserve">Operator web app:</w:t>
      </w:r>
      <w:r>
        <w:t xml:space="preserve"> move the same outputs behind a Mapbox GL / Leaflet React front end with incident-focused workflows.</w:t>
      </w:r>
    </w:p>
    <w:p>
      <w:pPr>
        <w:pStyle w:val="ListParagraph"/>
        <w:numPr>
          <w:ilvl w:val="0"/>
          <w:numId w:val="3"/>
        </w:numPr>
        <w:spacing w:after="60"/>
      </w:pPr>
      <w:r>
        <w:rPr>
          <w:b/>
          <w:bCs/>
        </w:rPr>
        <w:t xml:space="preserve">Cloud pipeline:</w:t>
      </w:r>
      <w:r>
        <w:t xml:space="preserve"> push perimeter and COG generation into queue-driven cloud workers (GCP/AWS/Azure) for scale and continuous operation.</w:t>
      </w:r>
    </w:p>
    <w:p>
      <w:pPr>
        <w:pStyle w:val="ListParagraph"/>
        <w:numPr>
          <w:ilvl w:val="0"/>
          <w:numId w:val="3"/>
        </w:numPr>
        <w:spacing w:after="60"/>
      </w:pPr>
      <w:r>
        <w:rPr>
          <w:b/>
          <w:bCs/>
        </w:rPr>
        <w:t xml:space="preserve">Persistence and history:</w:t>
      </w:r>
      <w:r>
        <w:t xml:space="preserve"> store events over time to compute growth, rate of spread, and trend analytics.</w:t>
      </w:r>
    </w:p>
    <w:p>
      <w:pPr>
        <w:pStyle w:val="ListParagraph"/>
        <w:numPr>
          <w:ilvl w:val="0"/>
          <w:numId w:val="3"/>
        </w:numPr>
        <w:spacing w:after="60"/>
      </w:pPr>
      <w:r>
        <w:rPr>
          <w:b/>
          <w:bCs/>
        </w:rPr>
        <w:t xml:space="preserve">Calibrated risk:</w:t>
      </w:r>
      <w:r>
        <w:t xml:space="preserve"> blend in fuel and terrain layers and validate against an established fire-danger index.</w:t>
      </w:r>
    </w:p>
    <w:p>
      <w:pPr>
        <w:pStyle w:val="Heading1"/>
      </w:pPr>
      <w:r>
        <w:t xml:space="preserve">9. Conclusion</w:t>
      </w:r>
    </w:p>
    <w:p>
      <w:pPr>
        <w:spacing w:after="140"/>
      </w:pPr>
      <w:r>
        <w:t xml:space="preserve">FirePerim Live demonstrates the complete downstream architecture ORBIT needs — ingest, cluster, bound, enrich, score, visualize, and publish — as tested, deployed, working software on a public URL. By isolating the sensor in a single ingestion seam behind a standardized schema, it makes the path from this prototype to the production airborne system concrete: swap the ingestion layer, and the rest of the pipeline is already built.</w:t>
      </w:r>
    </w:p>
    <w:p>
      <w:r>
        <w:br w:type="page"/>
      </w:r>
    </w:p>
    <w:p>
      <w:pPr>
        <w:pStyle w:val="Heading1"/>
      </w:pPr>
      <w:r>
        <w:t xml:space="preserve">Appendix A. Interfaces and References</w:t>
      </w:r>
    </w:p>
    <w:p>
      <w:pPr>
        <w:pStyle w:val="Heading3"/>
      </w:pPr>
      <w:r>
        <w:t xml:space="preserve">Data sources</w:t>
      </w:r>
    </w:p>
    <w:p>
      <w:pPr>
        <w:pStyle w:val="ListParagraph"/>
        <w:numPr>
          <w:ilvl w:val="0"/>
          <w:numId w:val="2"/>
        </w:numPr>
        <w:spacing w:after="60"/>
      </w:pPr>
      <w:r>
        <w:t xml:space="preserve">NASA FIRMS Area API — VIIRS (S-NPP/NOAA-20/NOAA-21) 375 m, MODIS 1 km, near real-time; free MAP_KEY.</w:t>
      </w:r>
    </w:p>
    <w:p>
      <w:pPr>
        <w:pStyle w:val="ListParagraph"/>
        <w:numPr>
          <w:ilvl w:val="0"/>
          <w:numId w:val="2"/>
        </w:numPr>
        <w:spacing w:after="60"/>
      </w:pPr>
      <w:r>
        <w:t xml:space="preserve">Open-Meteo Forecast API — current wind, humidity, temperature; key-less, batched.</w:t>
      </w:r>
    </w:p>
    <w:p>
      <w:pPr>
        <w:pStyle w:val="Heading3"/>
      </w:pPr>
      <w:r>
        <w:t xml:space="preserve">Coordinate reference systems</w:t>
      </w:r>
    </w:p>
    <w:p>
      <w:pPr>
        <w:pStyle w:val="ListParagraph"/>
        <w:numPr>
          <w:ilvl w:val="0"/>
          <w:numId w:val="2"/>
        </w:numPr>
        <w:spacing w:after="60"/>
      </w:pPr>
      <w:r>
        <w:t xml:space="preserve">EPSG:4326 (WGS84) — ingest, storage, and export.</w:t>
      </w:r>
    </w:p>
    <w:p>
      <w:pPr>
        <w:pStyle w:val="ListParagraph"/>
        <w:numPr>
          <w:ilvl w:val="0"/>
          <w:numId w:val="2"/>
        </w:numPr>
        <w:spacing w:after="60"/>
      </w:pPr>
      <w:r>
        <w:t xml:space="preserve">EPSG:5070 (CONUS Albers equal-area, metres) — clustering distances and area/perimeter measurement.</w:t>
      </w:r>
    </w:p>
    <w:p>
      <w:pPr>
        <w:pStyle w:val="Heading3"/>
      </w:pPr>
      <w:r>
        <w:t xml:space="preserve">Key endpoints</w:t>
      </w:r>
    </w:p>
    <w:p>
      <w:pPr>
        <w:shd w:fill="F2F2F2" w:val="clear"/>
        <w:spacing w:after="140"/>
      </w:pPr>
      <w:r>
        <w:rPr>
          <w:rFonts w:ascii="Consolas" w:cs="Consolas" w:eastAsia="Consolas" w:hAnsi="Consolas"/>
          <w:sz w:val="18"/>
          <w:szCs w:val="18"/>
        </w:rPr>
        <w:t xml:space="preserve">FIRMS:  /api/area/csv/{KEY}/{SENSOR}/{west,south,east,north}/{days}</w:t>
      </w:r>
    </w:p>
    <w:p>
      <w:pPr>
        <w:shd w:fill="F2F2F2" w:val="clear"/>
        <w:spacing w:after="140"/>
      </w:pPr>
      <w:r>
        <w:rPr>
          <w:rFonts w:ascii="Consolas" w:cs="Consolas" w:eastAsia="Consolas" w:hAnsi="Consolas"/>
          <w:sz w:val="18"/>
          <w:szCs w:val="18"/>
        </w:rPr>
        <w:t xml:space="preserve">Open-Meteo:  /v1/forecast?latitude=..&amp;longitude=..&amp;current=wind_speed_10m,..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410E" w:sz="4" w:space="4"/>
      </w:pBdr>
      <w:jc w:val="right"/>
    </w:pPr>
    <w:r>
      <w:rPr>
        <w:color w:val="888888"/>
        <w:sz w:val="16"/>
        <w:szCs w:val="16"/>
      </w:rPr>
      <w:t xml:space="preserve">FirePerim Live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B7410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D2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2026-06-30T19:55:40.719Z</dcterms:created>
  <dcterms:modified xsi:type="dcterms:W3CDTF">2026-06-30T19:55:40.719Z</dcterms:modified>
</cp:coreProperties>
</file>

<file path=docProps/custom.xml><?xml version="1.0" encoding="utf-8"?>
<Properties xmlns="http://schemas.openxmlformats.org/officeDocument/2006/custom-properties" xmlns:vt="http://schemas.openxmlformats.org/officeDocument/2006/docPropsVTypes"/>
</file>