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BDEF — Indicateurs : sources &amp; modes de calcul</w:t>
      </w:r>
    </w:p>
    <w:p>
      <w:r>
        <w:rPr>
          <w:b/>
        </w:rPr>
        <w:t xml:space="preserve">Légende — </w:t>
      </w:r>
      <w:r>
        <w:rPr>
          <w:b/>
          <w:color w:val="0D652D"/>
        </w:rPr>
        <w:t>LU</w:t>
      </w:r>
      <w:r>
        <w:t xml:space="preserve"> = valeur lue directement dans le fichier Excel.   </w:t>
      </w:r>
      <w:r>
        <w:rPr>
          <w:b/>
          <w:color w:val="CA631F"/>
        </w:rPr>
        <w:t>CALCULÉ</w:t>
      </w:r>
      <w:r>
        <w:t xml:space="preserve"> = valeur déduite par formule à partir d'autres valeurs du fichier.</w:t>
      </w:r>
    </w:p>
    <w:p>
      <w:pPr>
        <w:pStyle w:val="Heading1"/>
      </w:pPr>
      <w:r>
        <w:t>Activité</w:t>
      </w:r>
    </w:p>
    <w:p>
      <w:pPr>
        <w:pStyle w:val="ListParagraph"/>
      </w:pPr>
      <w:r>
        <w:rPr>
          <w:b/>
        </w:rPr>
        <w:t xml:space="preserve">Chiffre d'affaires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B – Compte de résultat : Produits, réf. TI</w:t>
      </w:r>
    </w:p>
    <w:p>
      <w:pPr>
        <w:ind w:left="720"/>
      </w:pPr>
      <w:r>
        <w:rPr>
          <w:i/>
          <w:color w:val="606060"/>
          <w:sz w:val="18"/>
        </w:rPr>
        <w:t>Total des ventes de biens ou de services réalisées sur une période donnée.</w:t>
      </w:r>
    </w:p>
    <w:p>
      <w:pPr>
        <w:pStyle w:val="ListParagraph"/>
      </w:pPr>
      <w:r>
        <w:rPr>
          <w:b/>
        </w:rPr>
        <w:t xml:space="preserve">Taux de croissance du CA </w:t>
      </w:r>
      <w:r>
        <w:rPr>
          <w:i/>
          <w:sz w:val="18"/>
        </w:rPr>
        <w:t xml:space="preserve">(%)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(CA_T − CA_T-1) / CA_T-1</w:t>
      </w:r>
    </w:p>
    <w:p>
      <w:pPr>
        <w:ind w:left="720"/>
      </w:pPr>
      <w:r>
        <w:rPr>
          <w:i/>
          <w:color w:val="606060"/>
          <w:sz w:val="18"/>
        </w:rPr>
        <w:t>Évolution des ventes d'une période à l'autre.</w:t>
      </w:r>
    </w:p>
    <w:p>
      <w:pPr>
        <w:pStyle w:val="ListParagraph"/>
      </w:pPr>
      <w:r>
        <w:rPr>
          <w:b/>
        </w:rPr>
        <w:t xml:space="preserve">Production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E – Autres indicateurs</w:t>
      </w:r>
    </w:p>
    <w:p>
      <w:pPr>
        <w:ind w:left="720"/>
      </w:pPr>
      <w:r>
        <w:rPr>
          <w:i/>
          <w:color w:val="606060"/>
          <w:sz w:val="18"/>
        </w:rPr>
        <w:t>Valeur de l'ensemble des biens et services créés par les entreprises du secteur moderne sur l'année.</w:t>
      </w:r>
    </w:p>
    <w:p>
      <w:pPr>
        <w:pStyle w:val="ListParagraph"/>
      </w:pPr>
      <w:r>
        <w:rPr>
          <w:b/>
        </w:rPr>
        <w:t xml:space="preserve">Taux de croissance de la production </w:t>
      </w:r>
      <w:r>
        <w:rPr>
          <w:i/>
          <w:sz w:val="18"/>
        </w:rPr>
        <w:t xml:space="preserve">(%)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(Production_T − Production_T-1) / Production_T-1</w:t>
      </w:r>
    </w:p>
    <w:p>
      <w:pPr>
        <w:ind w:left="720"/>
      </w:pPr>
      <w:r>
        <w:rPr>
          <w:i/>
          <w:color w:val="606060"/>
          <w:sz w:val="18"/>
        </w:rPr>
        <w:t>Évolution de la valeur des biens et services produits. ⚠ Corrigé : le document le référençait dans le Tableau C ; il s'agit en réalité d'un taux d'évolution, à calculer comme le taux de croissance du CA. À confirmer.</w:t>
      </w:r>
    </w:p>
    <w:p>
      <w:pPr>
        <w:pStyle w:val="ListParagraph"/>
      </w:pPr>
      <w:r>
        <w:rPr>
          <w:b/>
        </w:rPr>
        <w:t xml:space="preserve">Valeur ajoutée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B – Compte de résultat : Produits, réf. TN</w:t>
      </w:r>
    </w:p>
    <w:p>
      <w:pPr>
        <w:ind w:left="720"/>
      </w:pPr>
      <w:r>
        <w:rPr>
          <w:i/>
          <w:color w:val="606060"/>
          <w:sz w:val="18"/>
        </w:rPr>
        <w:t>Richesse produite lors du processus de production.</w:t>
      </w:r>
    </w:p>
    <w:p>
      <w:pPr>
        <w:pStyle w:val="ListParagraph"/>
      </w:pPr>
      <w:r>
        <w:rPr>
          <w:b/>
        </w:rPr>
        <w:t xml:space="preserve">Taux de valeur ajoutée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– Ratios  [= Valeur ajoutée / Production totale]</w:t>
      </w:r>
    </w:p>
    <w:p>
      <w:pPr>
        <w:ind w:left="720"/>
      </w:pPr>
      <w:r>
        <w:rPr>
          <w:i/>
          <w:color w:val="606060"/>
          <w:sz w:val="18"/>
        </w:rPr>
        <w:t>Richesse créée rapportée à la production.</w:t>
      </w:r>
    </w:p>
    <w:p>
      <w:pPr>
        <w:pStyle w:val="Heading1"/>
      </w:pPr>
      <w:r>
        <w:t>Rentabilité</w:t>
      </w:r>
    </w:p>
    <w:p>
      <w:pPr>
        <w:pStyle w:val="ListParagraph"/>
      </w:pPr>
      <w:r>
        <w:rPr>
          <w:b/>
        </w:rPr>
        <w:t xml:space="preserve">Excédent brut d'exploitation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B – Compte de résultat : Produits, réf. TQ</w:t>
      </w:r>
    </w:p>
    <w:p>
      <w:pPr>
        <w:ind w:left="720"/>
      </w:pPr>
      <w:r>
        <w:rPr>
          <w:i/>
          <w:color w:val="606060"/>
          <w:sz w:val="18"/>
        </w:rPr>
        <w:t>Rentabilité et capacité à générer du cash-flow par la seule activité courante.</w:t>
      </w:r>
    </w:p>
    <w:p>
      <w:pPr>
        <w:pStyle w:val="ListParagraph"/>
      </w:pPr>
      <w:r>
        <w:rPr>
          <w:b/>
        </w:rPr>
        <w:t xml:space="preserve">Résultat d'exploitation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B – Compte de résultat : Produits, réf. TX</w:t>
      </w:r>
    </w:p>
    <w:p>
      <w:pPr>
        <w:ind w:left="720"/>
      </w:pPr>
      <w:r>
        <w:rPr>
          <w:i/>
          <w:color w:val="606060"/>
          <w:sz w:val="18"/>
        </w:rPr>
        <w:t>Produits d'exploitation − charges d'exploitation (après amortissements et provisions, hors financier).</w:t>
      </w:r>
    </w:p>
    <w:p>
      <w:pPr>
        <w:pStyle w:val="ListParagraph"/>
      </w:pPr>
      <w:r>
        <w:rPr>
          <w:b/>
        </w:rPr>
        <w:t xml:space="preserve">Rentabilité économique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Résultat d'exploitation / (Actif immobilisé + BFR)]</w:t>
      </w:r>
    </w:p>
    <w:p>
      <w:pPr>
        <w:ind w:left="720"/>
      </w:pPr>
      <w:r>
        <w:rPr>
          <w:i/>
          <w:color w:val="606060"/>
          <w:sz w:val="18"/>
        </w:rPr>
        <w:t>Performance dans l'utilisation de l'ensemble du capital.</w:t>
      </w:r>
    </w:p>
    <w:p>
      <w:pPr>
        <w:pStyle w:val="ListParagraph"/>
      </w:pPr>
      <w:r>
        <w:rPr>
          <w:b/>
        </w:rPr>
        <w:t xml:space="preserve">Rentabilité financière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Résultat net / Capitaux propres]</w:t>
      </w:r>
    </w:p>
    <w:p>
      <w:pPr>
        <w:ind w:left="720"/>
      </w:pPr>
      <w:r>
        <w:rPr>
          <w:i/>
          <w:color w:val="606060"/>
          <w:sz w:val="18"/>
        </w:rPr>
        <w:t>Capacité des capitaux investis par les actionnaires à dégager un profit.</w:t>
      </w:r>
    </w:p>
    <w:p>
      <w:pPr>
        <w:pStyle w:val="Heading1"/>
      </w:pPr>
      <w:r>
        <w:t>Structure financière</w:t>
      </w:r>
    </w:p>
    <w:p>
      <w:pPr>
        <w:pStyle w:val="ListParagraph"/>
      </w:pPr>
      <w:r>
        <w:rPr>
          <w:b/>
        </w:rPr>
        <w:t xml:space="preserve">Taux de pression fiscale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Charges fiscales / Valeur ajoutée]</w:t>
      </w:r>
    </w:p>
    <w:p>
      <w:pPr>
        <w:ind w:left="720"/>
      </w:pPr>
      <w:r>
        <w:rPr>
          <w:i/>
          <w:color w:val="606060"/>
          <w:sz w:val="18"/>
        </w:rPr>
        <w:t>Part des versements obligatoires (État, collectivités) sur la richesse créée.</w:t>
      </w:r>
    </w:p>
    <w:p>
      <w:pPr>
        <w:pStyle w:val="ListParagraph"/>
      </w:pPr>
      <w:r>
        <w:rPr>
          <w:b/>
        </w:rPr>
        <w:t xml:space="preserve">Autonomie financière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Capitaux propres / Dettes à long terme]</w:t>
      </w:r>
    </w:p>
    <w:p>
      <w:pPr>
        <w:ind w:left="720"/>
      </w:pPr>
      <w:r>
        <w:rPr>
          <w:i/>
          <w:color w:val="606060"/>
          <w:sz w:val="18"/>
        </w:rPr>
        <w:t>Capacité à se financer par ses propres ressources sans dépendre de l'endettement.</w:t>
      </w:r>
    </w:p>
    <w:p>
      <w:pPr>
        <w:pStyle w:val="ListParagraph"/>
      </w:pPr>
      <w:r>
        <w:rPr>
          <w:b/>
        </w:rPr>
        <w:t xml:space="preserve">Ratio de solvabilité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Capitaux propres / Capitaux stables]</w:t>
      </w:r>
    </w:p>
    <w:p>
      <w:pPr>
        <w:ind w:left="720"/>
      </w:pPr>
      <w:r>
        <w:rPr>
          <w:i/>
          <w:color w:val="606060"/>
          <w:sz w:val="18"/>
        </w:rPr>
        <w:t>Capacité à assurer l'avenir à long terme sans défaut de paiement (20–25 % = satisfaisant).</w:t>
      </w:r>
    </w:p>
    <w:p>
      <w:pPr>
        <w:pStyle w:val="ListParagraph"/>
      </w:pPr>
      <w:r>
        <w:rPr>
          <w:b/>
        </w:rPr>
        <w:t xml:space="preserve">Poids des dettes financières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Dettes financières / Total passif]</w:t>
      </w:r>
    </w:p>
    <w:p>
      <w:pPr>
        <w:ind w:left="720"/>
      </w:pPr>
      <w:r>
        <w:rPr>
          <w:i/>
          <w:color w:val="606060"/>
          <w:sz w:val="18"/>
        </w:rPr>
        <w:t>Part des dettes financières dans le total du passif.</w:t>
      </w:r>
    </w:p>
    <w:p>
      <w:pPr>
        <w:pStyle w:val="ListParagraph"/>
      </w:pPr>
      <w:r>
        <w:rPr>
          <w:b/>
        </w:rPr>
        <w:t xml:space="preserve">Capacité de remboursement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CAF / Dettes financières]</w:t>
      </w:r>
    </w:p>
    <w:p>
      <w:pPr>
        <w:ind w:left="720"/>
      </w:pPr>
      <w:r>
        <w:rPr>
          <w:i/>
          <w:color w:val="606060"/>
          <w:sz w:val="18"/>
        </w:rPr>
        <w:t>Aptitude à rembourser les dettes financières par les ressources internes.</w:t>
      </w:r>
    </w:p>
    <w:p>
      <w:pPr>
        <w:pStyle w:val="Heading1"/>
      </w:pPr>
      <w:r>
        <w:t>Liquidité</w:t>
      </w:r>
    </w:p>
    <w:p>
      <w:pPr>
        <w:pStyle w:val="ListParagraph"/>
      </w:pPr>
      <w:r>
        <w:rPr>
          <w:b/>
        </w:rPr>
        <w:t xml:space="preserve">Fonds de roulement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Ressources stables / Actif net immobilisé]</w:t>
      </w:r>
    </w:p>
    <w:p>
      <w:pPr>
        <w:ind w:left="720"/>
      </w:pPr>
      <w:r>
        <w:rPr>
          <w:i/>
          <w:color w:val="606060"/>
          <w:sz w:val="18"/>
        </w:rPr>
        <w:t>Capacité à rembourser les dettes à court terme avec les actifs à court terme.</w:t>
      </w:r>
    </w:p>
    <w:p>
      <w:pPr>
        <w:pStyle w:val="ListParagraph"/>
      </w:pPr>
      <w:r>
        <w:rPr>
          <w:b/>
        </w:rPr>
        <w:t xml:space="preserve">Besoin en fonds de roulement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Actifs circulants d'exploitation − Dettes court terme d'exploitation]</w:t>
      </w:r>
    </w:p>
    <w:p>
      <w:pPr>
        <w:ind w:left="720"/>
      </w:pPr>
      <w:r>
        <w:rPr>
          <w:i/>
          <w:color w:val="606060"/>
          <w:sz w:val="18"/>
        </w:rPr>
        <w:t>Décalage entre les recettes et les dépenses nécessaires à l'activité.</w:t>
      </w:r>
    </w:p>
    <w:p>
      <w:pPr>
        <w:pStyle w:val="Heading1"/>
      </w:pPr>
      <w:r>
        <w:t>Efficacité</w:t>
      </w:r>
    </w:p>
    <w:p>
      <w:pPr>
        <w:pStyle w:val="ListParagraph"/>
      </w:pPr>
      <w:r>
        <w:rPr>
          <w:b/>
        </w:rPr>
        <w:t xml:space="preserve">Productivité du travail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Valeur ajoutée / Masse salariale]</w:t>
      </w:r>
    </w:p>
    <w:p>
      <w:pPr>
        <w:ind w:left="720"/>
      </w:pPr>
      <w:r>
        <w:rPr>
          <w:i/>
          <w:color w:val="606060"/>
          <w:sz w:val="18"/>
        </w:rPr>
        <w:t>Efficacité d'utilisation du travail pour créer de la richesse.</w:t>
      </w:r>
    </w:p>
    <w:p>
      <w:pPr>
        <w:pStyle w:val="ListParagraph"/>
      </w:pPr>
      <w:r>
        <w:rPr>
          <w:b/>
        </w:rPr>
        <w:t xml:space="preserve">Productivité du capital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Valeur ajoutée / Amortissements]</w:t>
      </w:r>
    </w:p>
    <w:p>
      <w:pPr>
        <w:ind w:left="720"/>
      </w:pPr>
      <w:r>
        <w:rPr>
          <w:i/>
          <w:color w:val="606060"/>
          <w:sz w:val="18"/>
        </w:rPr>
        <w:t>Efficacité d'utilisation du capital pour créer de la richesse.</w:t>
      </w:r>
    </w:p>
    <w:p>
      <w:pPr>
        <w:pStyle w:val="ListParagraph"/>
      </w:pPr>
      <w:r>
        <w:rPr>
          <w:b/>
        </w:rPr>
        <w:t xml:space="preserve">Taux de vétusté </w:t>
      </w:r>
      <w:r>
        <w:rPr>
          <w:i/>
          <w:sz w:val="18"/>
        </w:rPr>
        <w:t xml:space="preserve">(ratio)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C  [= Amortissements cumulés / Immobilisations brutes amortissables]</w:t>
      </w:r>
    </w:p>
    <w:p>
      <w:pPr>
        <w:ind w:left="720"/>
      </w:pPr>
      <w:r>
        <w:rPr>
          <w:i/>
          <w:color w:val="606060"/>
          <w:sz w:val="18"/>
        </w:rPr>
        <w:t>Niveau de renouvellement des immobilisations.</w:t>
      </w:r>
    </w:p>
    <w:p>
      <w:pPr>
        <w:pStyle w:val="ListParagraph"/>
      </w:pPr>
      <w:r>
        <w:rPr>
          <w:b/>
        </w:rPr>
        <w:t xml:space="preserve">Délai de rotation des stocks de matières premières </w:t>
      </w:r>
      <w:r>
        <w:rPr>
          <w:i/>
          <w:sz w:val="18"/>
        </w:rPr>
        <w:t xml:space="preserve">(jours)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(Stocks Mat. 1ères / Achats HT) × 360</w:t>
      </w:r>
    </w:p>
    <w:p>
      <w:pPr>
        <w:ind w:left="720"/>
      </w:pPr>
      <w:r>
        <w:rPr>
          <w:i/>
          <w:color w:val="606060"/>
          <w:sz w:val="18"/>
        </w:rPr>
        <w:t>Fréquence de renouvellement des stocks de matières premières.</w:t>
      </w:r>
    </w:p>
    <w:p>
      <w:pPr>
        <w:pStyle w:val="ListParagraph"/>
      </w:pPr>
      <w:r>
        <w:rPr>
          <w:b/>
        </w:rPr>
        <w:t xml:space="preserve">Délai de rotation des stocks de marchandises </w:t>
      </w:r>
      <w:r>
        <w:rPr>
          <w:i/>
          <w:sz w:val="18"/>
        </w:rPr>
        <w:t xml:space="preserve">(jours)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(Stocks marchandises / Achats HT) × 360</w:t>
      </w:r>
    </w:p>
    <w:p>
      <w:pPr>
        <w:ind w:left="720"/>
      </w:pPr>
      <w:r>
        <w:rPr>
          <w:i/>
          <w:color w:val="606060"/>
          <w:sz w:val="18"/>
        </w:rPr>
        <w:t>Fréquence de renouvellement des stocks de marchandises.</w:t>
      </w:r>
    </w:p>
    <w:p>
      <w:pPr>
        <w:pStyle w:val="ListParagraph"/>
      </w:pPr>
      <w:r>
        <w:rPr>
          <w:b/>
        </w:rPr>
        <w:t xml:space="preserve">Délai de rotation des stocks de produits finis </w:t>
      </w:r>
      <w:r>
        <w:rPr>
          <w:i/>
          <w:sz w:val="18"/>
        </w:rPr>
        <w:t xml:space="preserve">(jours)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(Stocks Produits Finis / CA HT) × 360</w:t>
      </w:r>
    </w:p>
    <w:p>
      <w:pPr>
        <w:ind w:left="720"/>
      </w:pPr>
      <w:r>
        <w:rPr>
          <w:i/>
          <w:color w:val="606060"/>
          <w:sz w:val="18"/>
        </w:rPr>
        <w:t>Fréquence d'écoulement des stocks de produits finis.</w:t>
      </w:r>
    </w:p>
    <w:p>
      <w:pPr>
        <w:pStyle w:val="Heading1"/>
      </w:pPr>
      <w:r>
        <w:t>Investissement</w:t>
      </w:r>
    </w:p>
    <w:p>
      <w:pPr>
        <w:pStyle w:val="ListParagraph"/>
      </w:pPr>
      <w:r>
        <w:rPr>
          <w:b/>
        </w:rPr>
        <w:t xml:space="preserve">Total actif immobilisé (Investissement)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A – Bilan : Actif, réf. AZ</w:t>
      </w:r>
    </w:p>
    <w:p>
      <w:pPr>
        <w:ind w:left="720"/>
      </w:pPr>
      <w:r>
        <w:rPr>
          <w:i/>
          <w:color w:val="606060"/>
          <w:sz w:val="18"/>
        </w:rPr>
        <w:t>Flux d'acquisition / création d'immobilisations productives.</w:t>
      </w:r>
    </w:p>
    <w:p>
      <w:pPr>
        <w:pStyle w:val="ListParagraph"/>
      </w:pPr>
      <w:r>
        <w:rPr>
          <w:b/>
        </w:rPr>
        <w:t xml:space="preserve">Amortissements </w:t>
      </w:r>
      <w:r>
        <w:rPr>
          <w:i/>
          <w:sz w:val="18"/>
        </w:rPr>
        <w:t xml:space="preserve">(FCFA)  </w:t>
      </w:r>
      <w:r>
        <w:rPr>
          <w:b/>
          <w:color w:val="0D652D"/>
        </w:rPr>
        <w:t xml:space="preserve">[LU]  </w:t>
      </w:r>
    </w:p>
    <w:p>
      <w:pPr>
        <w:ind w:left="720"/>
      </w:pPr>
      <w:r>
        <w:rPr>
          <w:b/>
          <w:sz w:val="18"/>
        </w:rPr>
        <w:t xml:space="preserve">Source : </w:t>
      </w:r>
      <w:r>
        <w:rPr>
          <w:sz w:val="18"/>
        </w:rPr>
        <w:t>Tableau B – Compte de résultat : Charges, réf. RS</w:t>
      </w:r>
    </w:p>
    <w:p>
      <w:pPr>
        <w:ind w:left="720"/>
      </w:pPr>
      <w:r>
        <w:rPr>
          <w:i/>
          <w:color w:val="606060"/>
          <w:sz w:val="18"/>
        </w:rPr>
        <w:t>Investissements de renouvellement / capital investi.</w:t>
      </w:r>
    </w:p>
    <w:p>
      <w:pPr>
        <w:pStyle w:val="ListParagraph"/>
      </w:pPr>
      <w:r>
        <w:rPr>
          <w:b/>
        </w:rPr>
        <w:t xml:space="preserve">Taux d'autofinancement </w:t>
      </w:r>
      <w:r>
        <w:rPr>
          <w:i/>
          <w:sz w:val="18"/>
        </w:rPr>
        <w:t xml:space="preserve">(%)  </w:t>
      </w:r>
      <w:r>
        <w:rPr>
          <w:b/>
          <w:color w:val="CA631F"/>
        </w:rPr>
        <w:t xml:space="preserve">[CALCULÉ]  </w:t>
      </w:r>
    </w:p>
    <w:p>
      <w:pPr>
        <w:ind w:left="720"/>
      </w:pPr>
      <w:r>
        <w:rPr>
          <w:b/>
          <w:sz w:val="18"/>
        </w:rPr>
        <w:t xml:space="preserve">Formule : </w:t>
      </w:r>
      <w:r>
        <w:rPr>
          <w:sz w:val="18"/>
        </w:rPr>
        <w:t>(CAF globale / Investissements) × 100</w:t>
      </w:r>
    </w:p>
    <w:p>
      <w:pPr>
        <w:ind w:left="720"/>
      </w:pPr>
      <w:r>
        <w:rPr>
          <w:i/>
          <w:color w:val="606060"/>
          <w:sz w:val="18"/>
        </w:rPr>
        <w:t>Capacité à financer ses projets sans recours extérieur.</w:t>
      </w:r>
    </w:p>
    <w:p>
      <w:pPr>
        <w:pStyle w:val="Heading1"/>
      </w:pPr>
      <w:r>
        <w:t>Corrections apportées au document d'origine</w:t>
      </w:r>
    </w:p>
    <w:p>
      <w:pPr>
        <w:pStyle w:val="ListBullet"/>
      </w:pPr>
      <w:r>
        <w:t>Cohérence : « Taux de production » renommé « Taux de croissance de la production ». Le document le référençait dans le Tableau C (Ratios) ; c'est un taux d'évolution → reclassé « à calculer », comme le taux de croissance du CA. À confirmer.</w:t>
      </w:r>
    </w:p>
    <w:p>
      <w:pPr>
        <w:pStyle w:val="ListBullet"/>
      </w:pPr>
      <w:r>
        <w:t>Typo : « Productivité du travail : : » → double deux-points supprimé.</w:t>
      </w:r>
    </w:p>
    <w:p>
      <w:pPr>
        <w:pStyle w:val="ListBullet"/>
      </w:pPr>
      <w:r>
        <w:t>Typo : « productivité du capital8 » → marque de note « 8 » supprimée.</w:t>
      </w:r>
    </w:p>
    <w:p>
      <w:pPr>
        <w:pStyle w:val="ListBullet"/>
      </w:pPr>
      <w:r>
        <w:t>Grammaire : « Elle est calculés » → « Elle est calculée ».</w:t>
      </w:r>
    </w:p>
    <w:p>
      <w:pPr>
        <w:pStyle w:val="ListBullet"/>
      </w:pPr>
      <w:r>
        <w:t>Notation : « période T_1 » harmonisée en « T-1 » (période précédente).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