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first documented reference appears in the </w:t>
      </w:r>
      <w:r>
        <w:rPr>
          <w:vertAlign w:val="superscript"/>
        </w:rPr>
        <w:footnoteReference w:id="1"/>
      </w:r>
      <w:r>
        <w:t xml:space="preserve">archive, with further detail available in the </w:t>
      </w:r>
      <w:r>
        <w:rPr>
          <w:vertAlign w:val="superscript"/>
        </w:rPr>
        <w:endnoteReference w:id="1"/>
      </w:r>
      <w:r>
        <w:t xml:space="preserve">appendix.</w:t>
      </w:r>
    </w:p>
    <w:sectPr/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See Appendix C for the full transcript and translation notes.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Primary source: internal records, cross-checked against three independent archives.</w:t>
      </w:r>
    </w:p>
  </w:footnote>
</w:footnot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notes" Target="footnotes.xml"/>
<Relationship Id="rId2" Type="http://schemas.openxmlformats.org/officeDocument/2006/relationships/endnotes" Target="endnotes.xml"/>
</Relationships>
</file>