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Calibri and Simplified Arabic</w:t>
      </w:r>
    </w:p>
    <w:p>
      <w:r>
        <w:t xml:space="preserve">This paragraph names Calibri, a face the editor does not ship. It is laid out with Carlito, Calibri's metric-compatible clone, so its line breaks and its page count follow the document as Word lays it out, instead of drifting with whatever face the script fallback happens to pick.</w:t>
      </w:r>
    </w:p>
    <w:p>
      <w:pPr>
        <w:bidi/>
      </w:pPr>
      <w:r>
        <w:t xml:space="preserve">هذه الفقرة مكتوبة بخط العربية المبسطة الذي لا يشحنه المحرر، فتعرض بخط نسخ بديل قريب من شكله، وتبقى المسافات بين الأسطر محسوبة من مقاييس الخط كما يحسبها وورد.</w:t>
      </w:r>
    </w:p>
    <w:p>
      <w:r>
        <w:t xml:space="preserve">English words and كلمات عربية share one paragraph here.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Simplified Arabic"/>
        <w:sz w:val="22"/>
        <w:szCs w:val="28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rPr>
      <w:b/>
      <w:bCs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</Relationships>
</file>