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Line numbering, page borders and drop caps are section and paragraph decorations that Word paints outside the text flow: the numbers sit in the left margin, the border box frames the page.</w:t>
      </w:r>
    </w:p>
    <w:p>
      <w:r>
        <w:t xml:space="preserve">This second paragraph keeps the count going across a paragraph break, and it wraps onto a second line so the count is visibly per line.</w:t>
      </w:r>
    </w:p>
    <w:p>
      <w:r>
        <w:t xml:space="preserve">A short closing paragraph.</w:t>
      </w:r>
    </w:p>
    <w:sectPr>
      <w:pgSz w:w="11906" w:h="16838"/>
      <w:pgMar w:top="1440" w:right="1440" w:bottom="1440" w:left="1440" w:header="720" w:footer="720" w:gutter="0"/>
      <w:pgBorders w:offsetFrom="page">
        <w:top w:val="single" w:sz="24" w:space="24" w:color="1F3864"/>
        <w:left w:val="single" w:sz="24" w:space="24" w:color="1F3864"/>
        <w:bottom w:val="single" w:sz="24" w:space="24" w:color="1F3864"/>
        <w:right w:val="single" w:sz="24" w:space="24" w:color="1F3864"/>
      </w:pgBorders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