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drawing>
          <wp:inline xmlns:a="http://schemas.openxmlformats.org/drawingml/2006/main" xmlns:pic="http://schemas.openxmlformats.org/drawingml/2006/picture">
            <wp:extent cx="1572768" cy="1110767"/>
            <wp:docPr id="1" name="Picture 1"/>
            <wp:cNvGraphicFramePr>
              <a:graphicFrameLocks noChangeAspect="1"/>
            </wp:cNvGraphicFramePr>
            <a:graphic>
              <a:graphicData uri="http://schemas.openxmlformats.org/drawingml/2006/picture">
                <pic:pic>
                  <pic:nvPicPr>
                    <pic:cNvPr id="0" name="photo_2026-04-08_09-26-16(3).jpg"/>
                    <pic:cNvPicPr/>
                  </pic:nvPicPr>
                  <pic:blipFill>
                    <a:blip r:embed="rId11"/>
                    <a:stretch>
                      <a:fillRect/>
                    </a:stretch>
                  </pic:blipFill>
                  <pic:spPr>
                    <a:xfrm>
                      <a:off x="0" y="0"/>
                      <a:ext cx="1572768" cy="1110767"/>
                    </a:xfrm>
                    <a:prstGeom prst="rect"/>
                  </pic:spPr>
                </pic:pic>
              </a:graphicData>
            </a:graphic>
          </wp:inline>
        </w:drawing>
      </w:r>
    </w:p>
    <w:p>
      <w:pPr>
        <w:bidi w:val="1"/>
        <w:spacing w:after="20" w:line="283" w:lineRule="auto"/>
        <w:jc w:val="right"/>
      </w:pPr>
      <w:r>
        <w:rPr>
          <w:rFonts w:ascii="Noto Sans Arabic" w:hAnsi="Noto Sans Arabic" w:cs="Noto Sans Arabic" w:eastAsia="Noto Sans Arabic"/>
          <w:b/>
          <w:color w:val="001B72"/>
          <w:sz w:val="48"/>
        </w:rPr>
        <w:t>Panorama Backend v2</w:t>
      </w:r>
    </w:p>
    <w:p>
      <w:pPr>
        <w:bidi w:val="1"/>
        <w:spacing w:after="100" w:line="283" w:lineRule="auto"/>
        <w:jc w:val="right"/>
      </w:pPr>
      <w:r>
        <w:rPr>
          <w:rFonts w:ascii="Noto Sans Arabic" w:hAnsi="Noto Sans Arabic" w:cs="Noto Sans Arabic" w:eastAsia="Noto Sans Arabic"/>
          <w:b/>
          <w:color w:val="3510A3"/>
          <w:sz w:val="30"/>
        </w:rPr>
        <w:t>تقرير التحويل الشامل من MVP إلى مرشح إنتاج احترافي</w:t>
      </w:r>
    </w:p>
    <w:p>
      <w:pPr>
        <w:bidi w:val="1"/>
        <w:spacing w:after="140" w:line="283" w:lineRule="auto"/>
        <w:jc w:val="right"/>
      </w:pPr>
      <w:r>
        <w:rPr>
          <w:rFonts w:ascii="Noto Sans Arabic" w:hAnsi="Noto Sans Arabic" w:cs="Noto Sans Arabic" w:eastAsia="Noto Sans Arabic"/>
          <w:b w:val="0"/>
          <w:color w:val="9B004B"/>
          <w:sz w:val="21"/>
        </w:rPr>
        <w:t>المعمارية • الأمان • الصلاحيات • OTP • الملفات • الطباعة • التقييم • التشغيل</w:t>
      </w:r>
    </w:p>
    <w:tbl>
      <w:tblPr>
        <w:tblW w:type="auto" w:w="0"/>
        <w:jc w:val="center"/>
        <w:tblLook w:firstColumn="1" w:firstRow="1" w:lastColumn="0" w:lastRow="0" w:noHBand="0" w:noVBand="1" w:val="04A0"/>
        <w:bidiVisual w:val="1"/>
      </w:tblPr>
      <w:tblGrid>
        <w:gridCol w:w="10282"/>
      </w:tblGrid>
      <w:tr>
        <w:tc>
          <w:tcPr>
            <w:tcW w:type="dxa" w:w="10282"/>
            <w:shd w:fill="FFF4E5"/>
            <w:tcMar>
              <w:top w:w="160" w:type="dxa"/>
              <w:start w:w="180" w:type="dxa"/>
              <w:bottom w:w="160" w:type="dxa"/>
              <w:end w:w="180" w:type="dxa"/>
            </w:tcMar>
          </w:tcPr>
          <w:p>
            <w:pPr>
              <w:bidi w:val="1"/>
              <w:spacing w:line="278" w:lineRule="auto"/>
              <w:jc w:val="right"/>
            </w:pPr>
            <w:r>
              <w:rPr>
                <w:rFonts w:ascii="Noto Sans Arabic" w:hAnsi="Noto Sans Arabic" w:cs="Noto Sans Arabic"/>
                <w:b/>
                <w:color w:val="B45309"/>
                <w:sz w:val="22"/>
              </w:rPr>
              <w:t>الحكم التنفيذي</w:t>
              <w:br/>
            </w:r>
            <w:r>
              <w:rPr>
                <w:rFonts w:ascii="Noto Sans Arabic" w:hAnsi="Noto Sans Arabic" w:cs="Noto Sans Arabic"/>
                <w:color w:val="172033"/>
                <w:sz w:val="20"/>
              </w:rPr>
              <w:t>النسخة المرفقة Production Candidate مرجعية. الاعتماد النهائي مشروط بتطبيق migrations وتشغيل CI وStaging واختبارات الأمن والضغط والاستعادة.</w:t>
            </w:r>
          </w:p>
        </w:tc>
      </w:tr>
    </w:tbl>
    <w:p>
      <w:pPr>
        <w:spacing w:after="20"/>
      </w:pPr>
    </w:p>
    <w:tbl>
      <w:tblPr>
        <w:tblStyle w:val="TableGrid"/>
        <w:tblW w:type="auto" w:w="0"/>
        <w:jc w:val="center"/>
        <w:tblLook w:firstColumn="1" w:firstRow="1" w:lastColumn="0" w:lastRow="0" w:noHBand="0" w:noVBand="1" w:val="04A0"/>
        <w:bidiVisual w:val="1"/>
      </w:tblPr>
      <w:tblGrid>
        <w:gridCol w:w="5141"/>
        <w:gridCol w:w="5141"/>
      </w:tblGrid>
      <w:tr>
        <w:trPr>
          <w:tblHeader w:val="true"/>
        </w:trPr>
        <w:tc>
          <w:tcPr>
            <w:tcW w:type="dxa" w:w="288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المؤشر</w:t>
            </w:r>
          </w:p>
        </w:tc>
        <w:tc>
          <w:tcPr>
            <w:tcW w:type="dxa" w:w="720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القيمة</w:t>
            </w:r>
          </w:p>
        </w:tc>
      </w:tr>
      <w:tr>
        <w:tc>
          <w:tcPr>
            <w:tcW w:type="dxa" w:w="288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الإصدار والنطاق</w:t>
            </w:r>
          </w:p>
        </w:tc>
        <w:tc>
          <w:tcPr>
            <w:tcW w:type="dxa" w:w="72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v2.0.0 — 195 ملف Python / 13 تطبيق Django</w:t>
            </w:r>
          </w:p>
        </w:tc>
      </w:tr>
      <w:tr>
        <w:tc>
          <w:tcPr>
            <w:tcW w:type="dxa" w:w="288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التغييرات</w:t>
            </w:r>
          </w:p>
        </w:tc>
        <w:tc>
          <w:tcPr>
            <w:tcW w:type="dxa" w:w="720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47 ملفًا مضافًا، 70 معدلًا، وحذف .env الحساس</w:t>
            </w:r>
          </w:p>
        </w:tc>
      </w:tr>
      <w:tr>
        <w:tc>
          <w:tcPr>
            <w:tcW w:type="dxa" w:w="288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البريد الرسمي</w:t>
            </w:r>
          </w:p>
        </w:tc>
        <w:tc>
          <w:tcPr>
            <w:tcW w:type="dxa" w:w="72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panoramacompany31@gmail.com</w:t>
            </w:r>
          </w:p>
        </w:tc>
      </w:tr>
      <w:tr>
        <w:tc>
          <w:tcPr>
            <w:tcW w:type="dxa" w:w="288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حالة التسليم</w:t>
            </w:r>
          </w:p>
        </w:tc>
        <w:tc>
          <w:tcPr>
            <w:tcW w:type="dxa" w:w="720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مرشح إنتاج يحتاج إغلاق بوابة القبول</w:t>
            </w:r>
          </w:p>
        </w:tc>
      </w:tr>
    </w:tbl>
    <w:p>
      <w:pPr>
        <w:spacing w:after="40"/>
      </w:pPr>
    </w:p>
    <w:p>
      <w:pPr>
        <w:bidi w:val="1"/>
        <w:spacing w:after="100" w:line="283" w:lineRule="auto"/>
        <w:jc w:val="right"/>
      </w:pPr>
      <w:r>
        <w:rPr>
          <w:rFonts w:ascii="Noto Sans Arabic" w:hAnsi="Noto Sans Arabic" w:cs="Noto Sans Arabic" w:eastAsia="Noto Sans Arabic"/>
          <w:b w:val="0"/>
          <w:color w:val="5E677A"/>
          <w:sz w:val="19"/>
        </w:rPr>
        <w:t>تاريخ التقرير: 27 يوليو 2026</w:t>
      </w:r>
    </w:p>
    <w:p>
      <w:r>
        <w:br w:type="page"/>
      </w:r>
    </w:p>
    <w:p>
      <w:pPr>
        <w:pStyle w:val="Heading1"/>
        <w:keepNext/>
        <w:bidi w:val="1"/>
        <w:spacing w:before="260" w:after="120"/>
        <w:jc w:val="right"/>
      </w:pPr>
      <w:r>
        <w:rPr>
          <w:rFonts w:ascii="Noto Sans Arabic" w:hAnsi="Noto Sans Arabic" w:cs="Noto Sans Arabic"/>
          <w:b/>
          <w:color w:val="001B72"/>
        </w:rPr>
        <w:t>فهرس التقرير</w:t>
      </w:r>
    </w:p>
    <w:p>
      <w:pPr>
        <w:bidi w:val="1"/>
        <w:spacing w:after="40" w:line="283" w:lineRule="auto"/>
        <w:jc w:val="right"/>
      </w:pPr>
      <w:r>
        <w:rPr>
          <w:rFonts w:ascii="Noto Sans Arabic" w:hAnsi="Noto Sans Arabic" w:cs="Noto Sans Arabic" w:eastAsia="Noto Sans Arabic"/>
          <w:b w:val="0"/>
          <w:sz w:val="21"/>
        </w:rPr>
        <w:t>1. الملخص التنفيذي ونطاق العمل</w:t>
      </w:r>
    </w:p>
    <w:p>
      <w:pPr>
        <w:bidi w:val="1"/>
        <w:spacing w:after="40" w:line="283" w:lineRule="auto"/>
        <w:jc w:val="right"/>
      </w:pPr>
      <w:r>
        <w:rPr>
          <w:rFonts w:ascii="Noto Sans Arabic" w:hAnsi="Noto Sans Arabic" w:cs="Noto Sans Arabic" w:eastAsia="Noto Sans Arabic"/>
          <w:b w:val="0"/>
          <w:sz w:val="21"/>
        </w:rPr>
        <w:t>2. إعادة تحليل النسخة الأصلية</w:t>
      </w:r>
    </w:p>
    <w:p>
      <w:pPr>
        <w:bidi w:val="1"/>
        <w:spacing w:after="40" w:line="283" w:lineRule="auto"/>
        <w:jc w:val="right"/>
      </w:pPr>
      <w:r>
        <w:rPr>
          <w:rFonts w:ascii="Noto Sans Arabic" w:hAnsi="Noto Sans Arabic" w:cs="Noto Sans Arabic" w:eastAsia="Noto Sans Arabic"/>
          <w:b w:val="0"/>
          <w:sz w:val="21"/>
        </w:rPr>
        <w:t>3. النتيجة الهندسية بعد التحويل</w:t>
      </w:r>
    </w:p>
    <w:p>
      <w:pPr>
        <w:bidi w:val="1"/>
        <w:spacing w:after="40" w:line="283" w:lineRule="auto"/>
        <w:jc w:val="right"/>
      </w:pPr>
      <w:r>
        <w:rPr>
          <w:rFonts w:ascii="Noto Sans Arabic" w:hAnsi="Noto Sans Arabic" w:cs="Noto Sans Arabic" w:eastAsia="Noto Sans Arabic"/>
          <w:b w:val="0"/>
          <w:sz w:val="21"/>
        </w:rPr>
        <w:t>4. المعمارية المرجعية</w:t>
      </w:r>
    </w:p>
    <w:p>
      <w:pPr>
        <w:bidi w:val="1"/>
        <w:spacing w:after="40" w:line="283" w:lineRule="auto"/>
        <w:jc w:val="right"/>
      </w:pPr>
      <w:r>
        <w:rPr>
          <w:rFonts w:ascii="Noto Sans Arabic" w:hAnsi="Noto Sans Arabic" w:cs="Noto Sans Arabic" w:eastAsia="Noto Sans Arabic"/>
          <w:b w:val="0"/>
          <w:sz w:val="21"/>
        </w:rPr>
        <w:t>5. المصادقة وOTP والبريد الرسمي</w:t>
      </w:r>
    </w:p>
    <w:p>
      <w:pPr>
        <w:bidi w:val="1"/>
        <w:spacing w:after="40" w:line="283" w:lineRule="auto"/>
        <w:jc w:val="right"/>
      </w:pPr>
      <w:r>
        <w:rPr>
          <w:rFonts w:ascii="Noto Sans Arabic" w:hAnsi="Noto Sans Arabic" w:cs="Noto Sans Arabic" w:eastAsia="Noto Sans Arabic"/>
          <w:b w:val="0"/>
          <w:sz w:val="21"/>
        </w:rPr>
        <w:t>6. الصلاحيات وإدارة المستخدمين</w:t>
      </w:r>
    </w:p>
    <w:p>
      <w:pPr>
        <w:bidi w:val="1"/>
        <w:spacing w:after="40" w:line="283" w:lineRule="auto"/>
        <w:jc w:val="right"/>
      </w:pPr>
      <w:r>
        <w:rPr>
          <w:rFonts w:ascii="Noto Sans Arabic" w:hAnsi="Noto Sans Arabic" w:cs="Noto Sans Arabic" w:eastAsia="Noto Sans Arabic"/>
          <w:b w:val="0"/>
          <w:sz w:val="21"/>
        </w:rPr>
        <w:t>7. توثيق الطالب وحماية البطاقة</w:t>
      </w:r>
    </w:p>
    <w:p>
      <w:pPr>
        <w:bidi w:val="1"/>
        <w:spacing w:after="40" w:line="283" w:lineRule="auto"/>
        <w:jc w:val="right"/>
      </w:pPr>
      <w:r>
        <w:rPr>
          <w:rFonts w:ascii="Noto Sans Arabic" w:hAnsi="Noto Sans Arabic" w:cs="Noto Sans Arabic" w:eastAsia="Noto Sans Arabic"/>
          <w:b w:val="0"/>
          <w:sz w:val="21"/>
        </w:rPr>
        <w:t>8. الغروبات وإخفاء رابط واتساب</w:t>
      </w:r>
    </w:p>
    <w:p>
      <w:pPr>
        <w:bidi w:val="1"/>
        <w:spacing w:after="40" w:line="283" w:lineRule="auto"/>
        <w:jc w:val="right"/>
      </w:pPr>
      <w:r>
        <w:rPr>
          <w:rFonts w:ascii="Noto Sans Arabic" w:hAnsi="Noto Sans Arabic" w:cs="Noto Sans Arabic" w:eastAsia="Noto Sans Arabic"/>
          <w:b w:val="0"/>
          <w:sz w:val="21"/>
        </w:rPr>
        <w:t>9. حماية الملفات والمرفقات</w:t>
      </w:r>
    </w:p>
    <w:p>
      <w:pPr>
        <w:bidi w:val="1"/>
        <w:spacing w:after="40" w:line="283" w:lineRule="auto"/>
        <w:jc w:val="right"/>
      </w:pPr>
      <w:r>
        <w:rPr>
          <w:rFonts w:ascii="Noto Sans Arabic" w:hAnsi="Noto Sans Arabic" w:cs="Noto Sans Arabic" w:eastAsia="Noto Sans Arabic"/>
          <w:b w:val="0"/>
          <w:sz w:val="21"/>
        </w:rPr>
        <w:t>10. نظام الطباعة والتسعير</w:t>
      </w:r>
    </w:p>
    <w:p>
      <w:pPr>
        <w:bidi w:val="1"/>
        <w:spacing w:after="40" w:line="283" w:lineRule="auto"/>
        <w:jc w:val="right"/>
      </w:pPr>
      <w:r>
        <w:rPr>
          <w:rFonts w:ascii="Noto Sans Arabic" w:hAnsi="Noto Sans Arabic" w:cs="Noto Sans Arabic" w:eastAsia="Noto Sans Arabic"/>
          <w:b w:val="0"/>
          <w:sz w:val="21"/>
        </w:rPr>
        <w:t>11. الشات وWebSocket</w:t>
      </w:r>
    </w:p>
    <w:p>
      <w:pPr>
        <w:bidi w:val="1"/>
        <w:spacing w:after="40" w:line="283" w:lineRule="auto"/>
        <w:jc w:val="right"/>
      </w:pPr>
      <w:r>
        <w:rPr>
          <w:rFonts w:ascii="Noto Sans Arabic" w:hAnsi="Noto Sans Arabic" w:cs="Noto Sans Arabic" w:eastAsia="Noto Sans Arabic"/>
          <w:b w:val="0"/>
          <w:sz w:val="21"/>
        </w:rPr>
        <w:t>12. الدعم والإشعارات والمهام الخلفية</w:t>
      </w:r>
    </w:p>
    <w:p>
      <w:pPr>
        <w:bidi w:val="1"/>
        <w:spacing w:after="40" w:line="283" w:lineRule="auto"/>
        <w:jc w:val="right"/>
      </w:pPr>
      <w:r>
        <w:rPr>
          <w:rFonts w:ascii="Noto Sans Arabic" w:hAnsi="Noto Sans Arabic" w:cs="Noto Sans Arabic" w:eastAsia="Noto Sans Arabic"/>
          <w:b w:val="0"/>
          <w:sz w:val="21"/>
        </w:rPr>
        <w:t>13. نظام التقييم والاقتراحات</w:t>
      </w:r>
    </w:p>
    <w:p>
      <w:pPr>
        <w:bidi w:val="1"/>
        <w:spacing w:after="40" w:line="283" w:lineRule="auto"/>
        <w:jc w:val="right"/>
      </w:pPr>
      <w:r>
        <w:rPr>
          <w:rFonts w:ascii="Noto Sans Arabic" w:hAnsi="Noto Sans Arabic" w:cs="Noto Sans Arabic" w:eastAsia="Noto Sans Arabic"/>
          <w:b w:val="0"/>
          <w:sz w:val="21"/>
        </w:rPr>
        <w:t>14. التدقيق والخصوصية والاحتفاظ بالبيانات</w:t>
      </w:r>
    </w:p>
    <w:p>
      <w:pPr>
        <w:bidi w:val="1"/>
        <w:spacing w:after="40" w:line="283" w:lineRule="auto"/>
        <w:jc w:val="right"/>
      </w:pPr>
      <w:r>
        <w:rPr>
          <w:rFonts w:ascii="Noto Sans Arabic" w:hAnsi="Noto Sans Arabic" w:cs="Noto Sans Arabic" w:eastAsia="Noto Sans Arabic"/>
          <w:b w:val="0"/>
          <w:sz w:val="21"/>
        </w:rPr>
        <w:t>15. إعدادات الإنتاج وDocker وCI</w:t>
      </w:r>
    </w:p>
    <w:p>
      <w:pPr>
        <w:bidi w:val="1"/>
        <w:spacing w:after="40" w:line="283" w:lineRule="auto"/>
        <w:jc w:val="right"/>
      </w:pPr>
      <w:r>
        <w:rPr>
          <w:rFonts w:ascii="Noto Sans Arabic" w:hAnsi="Noto Sans Arabic" w:cs="Noto Sans Arabic" w:eastAsia="Noto Sans Arabic"/>
          <w:b w:val="0"/>
          <w:sz w:val="21"/>
        </w:rPr>
        <w:t>16. عقود API والتأثير على الموبايل والداشبورد</w:t>
      </w:r>
    </w:p>
    <w:p>
      <w:pPr>
        <w:bidi w:val="1"/>
        <w:spacing w:after="40" w:line="283" w:lineRule="auto"/>
        <w:jc w:val="right"/>
      </w:pPr>
      <w:r>
        <w:rPr>
          <w:rFonts w:ascii="Noto Sans Arabic" w:hAnsi="Noto Sans Arabic" w:cs="Noto Sans Arabic" w:eastAsia="Noto Sans Arabic"/>
          <w:b w:val="0"/>
          <w:sz w:val="21"/>
        </w:rPr>
        <w:t>17. المهاجرات وخطة الانتقال</w:t>
      </w:r>
    </w:p>
    <w:p>
      <w:pPr>
        <w:bidi w:val="1"/>
        <w:spacing w:after="40" w:line="283" w:lineRule="auto"/>
        <w:jc w:val="right"/>
      </w:pPr>
      <w:r>
        <w:rPr>
          <w:rFonts w:ascii="Noto Sans Arabic" w:hAnsi="Noto Sans Arabic" w:cs="Noto Sans Arabic" w:eastAsia="Noto Sans Arabic"/>
          <w:b w:val="0"/>
          <w:sz w:val="21"/>
        </w:rPr>
        <w:t>18. الاختبارات والتحقق المنفذ</w:t>
      </w:r>
    </w:p>
    <w:p>
      <w:pPr>
        <w:bidi w:val="1"/>
        <w:spacing w:after="40" w:line="283" w:lineRule="auto"/>
        <w:jc w:val="right"/>
      </w:pPr>
      <w:r>
        <w:rPr>
          <w:rFonts w:ascii="Noto Sans Arabic" w:hAnsi="Noto Sans Arabic" w:cs="Noto Sans Arabic" w:eastAsia="Noto Sans Arabic"/>
          <w:b w:val="0"/>
          <w:sz w:val="21"/>
        </w:rPr>
        <w:t>19. المخاطر المتبقية والاعتماد النهائي</w:t>
      </w:r>
    </w:p>
    <w:p>
      <w:pPr>
        <w:bidi w:val="1"/>
        <w:spacing w:after="40" w:line="283" w:lineRule="auto"/>
        <w:jc w:val="right"/>
      </w:pPr>
      <w:r>
        <w:rPr>
          <w:rFonts w:ascii="Noto Sans Arabic" w:hAnsi="Noto Sans Arabic" w:cs="Noto Sans Arabic" w:eastAsia="Noto Sans Arabic"/>
          <w:b w:val="0"/>
          <w:sz w:val="21"/>
        </w:rPr>
        <w:t>20. خطة الإطلاق ودرجة الجاهزية</w:t>
      </w:r>
    </w:p>
    <w:p>
      <w:pPr>
        <w:bidi w:val="1"/>
        <w:spacing w:after="40" w:line="283" w:lineRule="auto"/>
        <w:jc w:val="right"/>
      </w:pPr>
      <w:r>
        <w:rPr>
          <w:rFonts w:ascii="Noto Sans Arabic" w:hAnsi="Noto Sans Arabic" w:cs="Noto Sans Arabic" w:eastAsia="Noto Sans Arabic"/>
          <w:b w:val="0"/>
          <w:sz w:val="21"/>
        </w:rPr>
        <w:t>21. ملحق مسارات API وملفات التسليم</w:t>
      </w:r>
    </w:p>
    <w:p>
      <w:pPr>
        <w:pStyle w:val="Heading1"/>
        <w:keepNext/>
        <w:bidi w:val="1"/>
        <w:spacing w:before="260" w:after="120"/>
        <w:jc w:val="right"/>
      </w:pPr>
      <w:r>
        <w:rPr>
          <w:rFonts w:ascii="Noto Sans Arabic" w:hAnsi="Noto Sans Arabic" w:cs="Noto Sans Arabic"/>
          <w:b/>
          <w:color w:val="001B72"/>
        </w:rPr>
        <w:t>1  الملخص التنفيذي ونطاق العمل</w:t>
      </w:r>
    </w:p>
    <w:p>
      <w:pPr>
        <w:bidi w:val="1"/>
        <w:spacing w:after="100" w:line="283" w:lineRule="auto"/>
        <w:jc w:val="right"/>
      </w:pPr>
      <w:r>
        <w:rPr>
          <w:rFonts w:ascii="Noto Sans Arabic" w:hAnsi="Noto Sans Arabic" w:cs="Noto Sans Arabic" w:eastAsia="Noto Sans Arabic"/>
          <w:b w:val="0"/>
        </w:rPr>
        <w:t>أعيد بناء الطبقات الحرجة في Backend بانوراما بهدف نقل المشروع من MVP جيد التنظيم إلى مرشح إنتاج يطبق مبدأ «الباك هو مصدر الحقيقة» في الصلاحيات، الأسعار، الوصول إلى الملفات، التوثيق، وحالات الإجراءات. شمل العمل الأكواد الفعلية وليس التقرير النظري فقط، مع الحفاظ على الوحدات القائمة وتطويرها تدريجيًا بدل إعادة كتابة المشروع من الصفر.</w:t>
      </w:r>
    </w:p>
    <w:tbl>
      <w:tblPr>
        <w:tblStyle w:val="TableGrid"/>
        <w:tblW w:type="auto" w:w="0"/>
        <w:jc w:val="center"/>
        <w:tblLook w:firstColumn="1" w:firstRow="1" w:lastColumn="0" w:lastRow="0" w:noHBand="0" w:noVBand="1" w:val="04A0"/>
        <w:bidiVisual w:val="1"/>
      </w:tblPr>
      <w:tblGrid>
        <w:gridCol w:w="3427"/>
        <w:gridCol w:w="3427"/>
        <w:gridCol w:w="3427"/>
      </w:tblGrid>
      <w:tr>
        <w:trPr>
          <w:tblHeader w:val="true"/>
        </w:trPr>
        <w:tc>
          <w:tcPr>
            <w:tcW w:type="dxa" w:w="2016"/>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المجال</w:t>
            </w:r>
          </w:p>
        </w:tc>
        <w:tc>
          <w:tcPr>
            <w:tcW w:type="dxa" w:w="3744"/>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قبل التحويل</w:t>
            </w:r>
          </w:p>
        </w:tc>
        <w:tc>
          <w:tcPr>
            <w:tcW w:type="dxa" w:w="432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بعد التحويل المرجعي</w:t>
            </w:r>
          </w:p>
        </w:tc>
      </w:tr>
      <w:tr>
        <w:tc>
          <w:tcPr>
            <w:tcW w:type="dxa" w:w="2016"/>
            <w:tcMar>
              <w:top w:w="95" w:type="dxa"/>
              <w:start w:w="105" w:type="dxa"/>
              <w:bottom w:w="95" w:type="dxa"/>
              <w:end w:w="105" w:type="dxa"/>
            </w:tcMar>
            <w:vAlign w:val="center"/>
          </w:tcPr>
          <w:p>
            <w:pPr>
              <w:bidi w:val="1"/>
              <w:jc w:val="right"/>
            </w:pPr>
            <w:r>
              <w:rPr>
                <w:rFonts w:ascii="Noto Sans Arabic" w:hAnsi="Noto Sans Arabic" w:cs="Noto Sans Arabic"/>
                <w:b/>
                <w:color w:val="172033"/>
                <w:sz w:val="18"/>
              </w:rPr>
              <w:t>المصادقة</w:t>
            </w:r>
          </w:p>
        </w:tc>
        <w:tc>
          <w:tcPr>
            <w:tcW w:type="dxa" w:w="374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JWT أساسي وتدفقات OTP محدودة</w:t>
            </w:r>
          </w:p>
        </w:tc>
        <w:tc>
          <w:tcPr>
            <w:tcW w:type="dxa" w:w="432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تدوير Refresh Tokens، Blacklist، إلغاء الجلسات، OTP بريدي محمي</w:t>
            </w:r>
          </w:p>
        </w:tc>
      </w:tr>
      <w:tr>
        <w:tc>
          <w:tcPr>
            <w:tcW w:type="dxa" w:w="2016"/>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8"/>
              </w:rPr>
              <w:t>الصلاحيات</w:t>
            </w:r>
          </w:p>
        </w:tc>
        <w:tc>
          <w:tcPr>
            <w:tcW w:type="dxa" w:w="37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أدوار مباشرة</w:t>
            </w:r>
          </w:p>
        </w:tc>
        <w:tc>
          <w:tcPr>
            <w:tcW w:type="dxa" w:w="432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Capabilities + أدوار + استثناءات Allow/Deny مؤقتة</w:t>
            </w:r>
          </w:p>
        </w:tc>
      </w:tr>
      <w:tr>
        <w:tc>
          <w:tcPr>
            <w:tcW w:type="dxa" w:w="2016"/>
            <w:tcMar>
              <w:top w:w="95" w:type="dxa"/>
              <w:start w:w="105" w:type="dxa"/>
              <w:bottom w:w="95" w:type="dxa"/>
              <w:end w:w="105" w:type="dxa"/>
            </w:tcMar>
            <w:vAlign w:val="center"/>
          </w:tcPr>
          <w:p>
            <w:pPr>
              <w:bidi w:val="1"/>
              <w:jc w:val="right"/>
            </w:pPr>
            <w:r>
              <w:rPr>
                <w:rFonts w:ascii="Noto Sans Arabic" w:hAnsi="Noto Sans Arabic" w:cs="Noto Sans Arabic"/>
                <w:b/>
                <w:color w:val="172033"/>
                <w:sz w:val="18"/>
              </w:rPr>
              <w:t>واتساب</w:t>
            </w:r>
          </w:p>
        </w:tc>
        <w:tc>
          <w:tcPr>
            <w:tcW w:type="dxa" w:w="374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إمكانية كشف الرابط ضمن البيانات</w:t>
            </w:r>
          </w:p>
        </w:tc>
        <w:tc>
          <w:tcPr>
            <w:tcW w:type="dxa" w:w="432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تشفير الرابط وتذكرة وصول مؤقتة وعدم ظهوره في APIs العامة</w:t>
            </w:r>
          </w:p>
        </w:tc>
      </w:tr>
      <w:tr>
        <w:tc>
          <w:tcPr>
            <w:tcW w:type="dxa" w:w="2016"/>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8"/>
              </w:rPr>
              <w:t>الملفات</w:t>
            </w:r>
          </w:p>
        </w:tc>
        <w:tc>
          <w:tcPr>
            <w:tcW w:type="dxa" w:w="37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روابط Media قابلة للكشف</w:t>
            </w:r>
          </w:p>
        </w:tc>
        <w:tc>
          <w:tcPr>
            <w:tcW w:type="dxa" w:w="432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تذاكر وصول، بث Inline، No-Store، وتخزين خاص اختياري</w:t>
            </w:r>
          </w:p>
        </w:tc>
      </w:tr>
      <w:tr>
        <w:tc>
          <w:tcPr>
            <w:tcW w:type="dxa" w:w="2016"/>
            <w:tcMar>
              <w:top w:w="95" w:type="dxa"/>
              <w:start w:w="105" w:type="dxa"/>
              <w:bottom w:w="95" w:type="dxa"/>
              <w:end w:w="105" w:type="dxa"/>
            </w:tcMar>
            <w:vAlign w:val="center"/>
          </w:tcPr>
          <w:p>
            <w:pPr>
              <w:bidi w:val="1"/>
              <w:jc w:val="right"/>
            </w:pPr>
            <w:r>
              <w:rPr>
                <w:rFonts w:ascii="Noto Sans Arabic" w:hAnsi="Noto Sans Arabic" w:cs="Noto Sans Arabic"/>
                <w:b/>
                <w:color w:val="172033"/>
                <w:sz w:val="18"/>
              </w:rPr>
              <w:t>الطباعة</w:t>
            </w:r>
          </w:p>
        </w:tc>
        <w:tc>
          <w:tcPr>
            <w:tcW w:type="dxa" w:w="374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إمكانية الاعتماد على بيانات سعر من العميل</w:t>
            </w:r>
          </w:p>
        </w:tc>
        <w:tc>
          <w:tcPr>
            <w:tcW w:type="dxa" w:w="432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Pricing Engine كامل وحفظ Snapshot للأسعار</w:t>
            </w:r>
          </w:p>
        </w:tc>
      </w:tr>
      <w:tr>
        <w:tc>
          <w:tcPr>
            <w:tcW w:type="dxa" w:w="2016"/>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8"/>
              </w:rPr>
              <w:t>التقييم</w:t>
            </w:r>
          </w:p>
        </w:tc>
        <w:tc>
          <w:tcPr>
            <w:tcW w:type="dxa" w:w="37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غير موجود بصورة منهجية</w:t>
            </w:r>
          </w:p>
        </w:tc>
        <w:tc>
          <w:tcPr>
            <w:tcW w:type="dxa" w:w="432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سياسات Prompts، تقييم لكل إجراء، اقتراحات، تصويت، Workflow وتحليلات</w:t>
            </w:r>
          </w:p>
        </w:tc>
      </w:tr>
      <w:tr>
        <w:tc>
          <w:tcPr>
            <w:tcW w:type="dxa" w:w="2016"/>
            <w:tcMar>
              <w:top w:w="95" w:type="dxa"/>
              <w:start w:w="105" w:type="dxa"/>
              <w:bottom w:w="95" w:type="dxa"/>
              <w:end w:w="105" w:type="dxa"/>
            </w:tcMar>
            <w:vAlign w:val="center"/>
          </w:tcPr>
          <w:p>
            <w:pPr>
              <w:bidi w:val="1"/>
              <w:jc w:val="right"/>
            </w:pPr>
            <w:r>
              <w:rPr>
                <w:rFonts w:ascii="Noto Sans Arabic" w:hAnsi="Noto Sans Arabic" w:cs="Noto Sans Arabic"/>
                <w:b/>
                <w:color w:val="172033"/>
                <w:sz w:val="18"/>
              </w:rPr>
              <w:t>الإنتاج</w:t>
            </w:r>
          </w:p>
        </w:tc>
        <w:tc>
          <w:tcPr>
            <w:tcW w:type="dxa" w:w="374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Docker وتشغيل أساسي</w:t>
            </w:r>
          </w:p>
        </w:tc>
        <w:tc>
          <w:tcPr>
            <w:tcW w:type="dxa" w:w="432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حاوية Non-root، Release Job، CI، Retention، Security Headers</w:t>
            </w:r>
          </w:p>
        </w:tc>
      </w:tr>
    </w:tbl>
    <w:p>
      <w:pPr>
        <w:spacing w:after="40"/>
      </w:pPr>
    </w:p>
    <w:tbl>
      <w:tblPr>
        <w:tblW w:type="auto" w:w="0"/>
        <w:jc w:val="center"/>
        <w:tblLook w:firstColumn="1" w:firstRow="1" w:lastColumn="0" w:lastRow="0" w:noHBand="0" w:noVBand="1" w:val="04A0"/>
        <w:bidiVisual w:val="1"/>
      </w:tblPr>
      <w:tblGrid>
        <w:gridCol w:w="10282"/>
      </w:tblGrid>
      <w:tr>
        <w:tc>
          <w:tcPr>
            <w:tcW w:type="dxa" w:w="10282"/>
            <w:shd w:fill="EAF0FF"/>
            <w:tcMar>
              <w:top w:w="160" w:type="dxa"/>
              <w:start w:w="180" w:type="dxa"/>
              <w:bottom w:w="160" w:type="dxa"/>
              <w:end w:w="180" w:type="dxa"/>
            </w:tcMar>
          </w:tcPr>
          <w:p>
            <w:pPr>
              <w:bidi w:val="1"/>
              <w:spacing w:line="278" w:lineRule="auto"/>
              <w:jc w:val="right"/>
            </w:pPr>
            <w:r>
              <w:rPr>
                <w:rFonts w:ascii="Noto Sans Arabic" w:hAnsi="Noto Sans Arabic" w:cs="Noto Sans Arabic"/>
                <w:b/>
                <w:color w:val="001B72"/>
                <w:sz w:val="22"/>
              </w:rPr>
              <w:t>مبدأ أساسي</w:t>
              <w:br/>
            </w:r>
            <w:r>
              <w:rPr>
                <w:rFonts w:ascii="Noto Sans Arabic" w:hAnsi="Noto Sans Arabic" w:cs="Noto Sans Arabic"/>
                <w:color w:val="172033"/>
                <w:sz w:val="20"/>
              </w:rPr>
              <w:t>لا يمكن لأي فريق أن يضمن «100% بلا ثغرات». النسخة المثالية عمليًا هي نسخة تقلل سطح الهجوم، تختبر الفرضيات، تمنع الثقة بالعميل، وتبقى قابلة للمراقبة والاستجابة للحوادث.</w:t>
            </w:r>
          </w:p>
        </w:tc>
      </w:tr>
    </w:tbl>
    <w:p>
      <w:pPr>
        <w:spacing w:after="20"/>
      </w:pPr>
    </w:p>
    <w:p>
      <w:pPr>
        <w:pStyle w:val="Heading2"/>
        <w:keepNext/>
        <w:bidi w:val="1"/>
        <w:spacing w:before="160" w:after="120"/>
        <w:jc w:val="right"/>
      </w:pPr>
      <w:r>
        <w:rPr>
          <w:rFonts w:ascii="Noto Sans Arabic" w:hAnsi="Noto Sans Arabic" w:cs="Noto Sans Arabic"/>
          <w:b/>
          <w:color w:val="3510A3"/>
        </w:rPr>
        <w:t>مصادر التحليل</w:t>
      </w:r>
    </w:p>
    <w:p>
      <w:pPr>
        <w:pStyle w:val="ListBullet"/>
        <w:spacing w:after="50" w:line="269" w:lineRule="auto"/>
        <w:ind w:left="0"/>
        <w:bidi w:val="1"/>
        <w:jc w:val="right"/>
      </w:pPr>
      <w:r>
        <w:rPr>
          <w:rFonts w:ascii="Noto Sans Arabic" w:hAnsi="Noto Sans Arabic" w:cs="Noto Sans Arabic"/>
          <w:color w:val="172033"/>
          <w:sz w:val="20"/>
        </w:rPr>
        <w:t>الأرشيف الأصلي panorama-backend ومقارنته ملفًا بملف مع النسخة الجديدة.</w:t>
      </w:r>
    </w:p>
    <w:p>
      <w:pPr>
        <w:pStyle w:val="ListBullet"/>
        <w:spacing w:after="50" w:line="269" w:lineRule="auto"/>
        <w:ind w:left="0"/>
        <w:bidi w:val="1"/>
        <w:jc w:val="right"/>
      </w:pPr>
      <w:r>
        <w:rPr>
          <w:rFonts w:ascii="Noto Sans Arabic" w:hAnsi="Noto Sans Arabic" w:cs="Noto Sans Arabic"/>
          <w:color w:val="172033"/>
          <w:sz w:val="20"/>
        </w:rPr>
        <w:t>وثائق المشروع والباك والداشبورد وتطبيق الموبايل وعقود التكامل السابقة.</w:t>
      </w:r>
    </w:p>
    <w:p>
      <w:pPr>
        <w:pStyle w:val="ListBullet"/>
        <w:spacing w:after="50" w:line="269" w:lineRule="auto"/>
        <w:ind w:left="0"/>
        <w:bidi w:val="1"/>
        <w:jc w:val="right"/>
      </w:pPr>
      <w:r>
        <w:rPr>
          <w:rFonts w:ascii="Noto Sans Arabic" w:hAnsi="Noto Sans Arabic" w:cs="Noto Sans Arabic"/>
          <w:color w:val="172033"/>
          <w:sz w:val="20"/>
        </w:rPr>
        <w:t>طلب المستخدم الحالي بشأن التقييم والاقتراحات والصلاحيات وإخفاء رابط واتساب وOTP عبر البريد الرسمي.</w:t>
      </w:r>
    </w:p>
    <w:p>
      <w:pPr>
        <w:pStyle w:val="ListBullet"/>
        <w:spacing w:after="50" w:line="269" w:lineRule="auto"/>
        <w:ind w:left="0"/>
        <w:bidi w:val="1"/>
        <w:jc w:val="right"/>
      </w:pPr>
      <w:r>
        <w:rPr>
          <w:rFonts w:ascii="Noto Sans Arabic" w:hAnsi="Noto Sans Arabic" w:cs="Noto Sans Arabic"/>
          <w:color w:val="172033"/>
          <w:sz w:val="20"/>
        </w:rPr>
        <w:t>التسجيل الصوتي المرفق: OGG/Opus، قناة واحدة، 48kHz، ومدته 51.98 ثانية. لم تتوفر في البيئة أداة تفريغ عربية موثوقة دون اتصال؛ لذلك لم تُنسب إليه عبارات غير مؤكدة، واعتمد التنفيذ على الطلب المكتوب والأكواد والوثائق.</w:t>
      </w:r>
    </w:p>
    <w:p>
      <w:pPr>
        <w:pStyle w:val="Heading1"/>
        <w:keepNext/>
        <w:bidi w:val="1"/>
        <w:spacing w:before="260" w:after="120"/>
        <w:jc w:val="right"/>
      </w:pPr>
      <w:r>
        <w:rPr>
          <w:rFonts w:ascii="Noto Sans Arabic" w:hAnsi="Noto Sans Arabic" w:cs="Noto Sans Arabic"/>
          <w:b/>
          <w:color w:val="001B72"/>
        </w:rPr>
        <w:t>2  إعادة تحليل النسخة الأصلية</w:t>
      </w:r>
    </w:p>
    <w:p>
      <w:pPr>
        <w:bidi w:val="1"/>
        <w:spacing w:after="100" w:line="283" w:lineRule="auto"/>
        <w:jc w:val="right"/>
      </w:pPr>
      <w:r>
        <w:rPr>
          <w:rFonts w:ascii="Noto Sans Arabic" w:hAnsi="Noto Sans Arabic" w:cs="Noto Sans Arabic" w:eastAsia="Noto Sans Arabic"/>
          <w:b w:val="0"/>
        </w:rPr>
        <w:t>كانت النسخة الأصلية قوية من ناحية تقسيم Django Apps، لكنها احتوت مخاطر مركزة في عدد قليل من الملفات المحورية. أهمها تعدد مصادر حالة التوثيق، ضعف حماية OTP، اعتماد محتمل على السعر القادم من العميل، كشف روابط الملفات، محدودية الأدوار، وعدم وجود نظام منتج للتقييم المستمر.</w:t>
      </w:r>
    </w:p>
    <w:tbl>
      <w:tblPr>
        <w:tblStyle w:val="TableGrid"/>
        <w:tblW w:type="auto" w:w="0"/>
        <w:jc w:val="center"/>
        <w:tblLook w:firstColumn="1" w:firstRow="1" w:lastColumn="0" w:lastRow="0" w:noHBand="0" w:noVBand="1" w:val="04A0"/>
        <w:bidiVisual w:val="1"/>
      </w:tblPr>
      <w:tblGrid>
        <w:gridCol w:w="3427"/>
        <w:gridCol w:w="3427"/>
        <w:gridCol w:w="3427"/>
      </w:tblGrid>
      <w:tr>
        <w:trPr>
          <w:tblHeader w:val="true"/>
        </w:trPr>
        <w:tc>
          <w:tcPr>
            <w:tcW w:type="dxa" w:w="2592"/>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الخطر الأصلي</w:t>
            </w:r>
          </w:p>
        </w:tc>
        <w:tc>
          <w:tcPr>
            <w:tcW w:type="dxa" w:w="3312"/>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الأثر</w:t>
            </w:r>
          </w:p>
        </w:tc>
        <w:tc>
          <w:tcPr>
            <w:tcW w:type="dxa" w:w="4176"/>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المعالجة في v2</w:t>
            </w:r>
          </w:p>
        </w:tc>
      </w:tr>
      <w:tr>
        <w:tc>
          <w:tcPr>
            <w:tcW w:type="dxa" w:w="2592"/>
            <w:tcMar>
              <w:top w:w="95" w:type="dxa"/>
              <w:start w:w="105" w:type="dxa"/>
              <w:bottom w:w="95" w:type="dxa"/>
              <w:end w:w="105" w:type="dxa"/>
            </w:tcMar>
            <w:vAlign w:val="center"/>
          </w:tcPr>
          <w:p>
            <w:pPr>
              <w:bidi w:val="1"/>
              <w:jc w:val="right"/>
            </w:pPr>
            <w:r>
              <w:rPr>
                <w:rFonts w:ascii="Noto Sans Arabic" w:hAnsi="Noto Sans Arabic" w:cs="Noto Sans Arabic"/>
                <w:b/>
                <w:color w:val="172033"/>
                <w:sz w:val="18"/>
              </w:rPr>
              <w:t>تضارب التسجيل والتوثيق</w:t>
            </w:r>
          </w:p>
        </w:tc>
        <w:tc>
          <w:tcPr>
            <w:tcW w:type="dxa" w:w="3312"/>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طالب Pending بلا طلب إداري قابل للمراجعة</w:t>
            </w:r>
          </w:p>
        </w:tc>
        <w:tc>
          <w:tcPr>
            <w:tcW w:type="dxa" w:w="417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الفصل بين إنشاء الحساب وإرسال VerificationRequest وربط الحالة بمعاملة ذرية</w:t>
            </w:r>
          </w:p>
        </w:tc>
      </w:tr>
      <w:tr>
        <w:tc>
          <w:tcPr>
            <w:tcW w:type="dxa" w:w="2592"/>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8"/>
              </w:rPr>
              <w:t>غياب Throttling دقيق</w:t>
            </w:r>
          </w:p>
        </w:tc>
        <w:tc>
          <w:tcPr>
            <w:tcW w:type="dxa" w:w="331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Brute Force وإساءة استخدام OTP</w:t>
            </w:r>
          </w:p>
        </w:tc>
        <w:tc>
          <w:tcPr>
            <w:tcW w:type="dxa" w:w="417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Throttles مستقلة حسب العملية مع cooldown وحد المحاولات</w:t>
            </w:r>
          </w:p>
        </w:tc>
      </w:tr>
      <w:tr>
        <w:tc>
          <w:tcPr>
            <w:tcW w:type="dxa" w:w="2592"/>
            <w:tcMar>
              <w:top w:w="95" w:type="dxa"/>
              <w:start w:w="105" w:type="dxa"/>
              <w:bottom w:w="95" w:type="dxa"/>
              <w:end w:w="105" w:type="dxa"/>
            </w:tcMar>
            <w:vAlign w:val="center"/>
          </w:tcPr>
          <w:p>
            <w:pPr>
              <w:bidi w:val="1"/>
              <w:jc w:val="right"/>
            </w:pPr>
            <w:r>
              <w:rPr>
                <w:rFonts w:ascii="Noto Sans Arabic" w:hAnsi="Noto Sans Arabic" w:cs="Noto Sans Arabic"/>
                <w:b/>
                <w:color w:val="172033"/>
                <w:sz w:val="18"/>
              </w:rPr>
              <w:t>Account Enumeration</w:t>
            </w:r>
          </w:p>
        </w:tc>
        <w:tc>
          <w:tcPr>
            <w:tcW w:type="dxa" w:w="3312"/>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كشف وجود البريد/الهاتف</w:t>
            </w:r>
          </w:p>
        </w:tc>
        <w:tc>
          <w:tcPr>
            <w:tcW w:type="dxa" w:w="417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ردود عامة في الاستعادة والتحقق</w:t>
            </w:r>
          </w:p>
        </w:tc>
      </w:tr>
      <w:tr>
        <w:tc>
          <w:tcPr>
            <w:tcW w:type="dxa" w:w="2592"/>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8"/>
              </w:rPr>
              <w:t>سعر من جهة العميل</w:t>
            </w:r>
          </w:p>
        </w:tc>
        <w:tc>
          <w:tcPr>
            <w:tcW w:type="dxa" w:w="331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التلاعب بالتكلفة</w:t>
            </w:r>
          </w:p>
        </w:tc>
        <w:tc>
          <w:tcPr>
            <w:tcW w:type="dxa" w:w="417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الحساب على الخادم فقط مع Pricing Snapshot</w:t>
            </w:r>
          </w:p>
        </w:tc>
      </w:tr>
      <w:tr>
        <w:tc>
          <w:tcPr>
            <w:tcW w:type="dxa" w:w="2592"/>
            <w:tcMar>
              <w:top w:w="95" w:type="dxa"/>
              <w:start w:w="105" w:type="dxa"/>
              <w:bottom w:w="95" w:type="dxa"/>
              <w:end w:w="105" w:type="dxa"/>
            </w:tcMar>
            <w:vAlign w:val="center"/>
          </w:tcPr>
          <w:p>
            <w:pPr>
              <w:bidi w:val="1"/>
              <w:jc w:val="right"/>
            </w:pPr>
            <w:r>
              <w:rPr>
                <w:rFonts w:ascii="Noto Sans Arabic" w:hAnsi="Noto Sans Arabic" w:cs="Noto Sans Arabic"/>
                <w:b/>
                <w:color w:val="172033"/>
                <w:sz w:val="18"/>
              </w:rPr>
              <w:t>روابط ملفات مباشرة</w:t>
            </w:r>
          </w:p>
        </w:tc>
        <w:tc>
          <w:tcPr>
            <w:tcW w:type="dxa" w:w="3312"/>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IDOR وتسريب ومشاركة خارجية</w:t>
            </w:r>
          </w:p>
        </w:tc>
        <w:tc>
          <w:tcPr>
            <w:tcW w:type="dxa" w:w="417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Access Tickets قصيرة العمر وبث محمي</w:t>
            </w:r>
          </w:p>
        </w:tc>
      </w:tr>
      <w:tr>
        <w:tc>
          <w:tcPr>
            <w:tcW w:type="dxa" w:w="2592"/>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8"/>
              </w:rPr>
              <w:t>رابط واتساب ظاهر</w:t>
            </w:r>
          </w:p>
        </w:tc>
        <w:tc>
          <w:tcPr>
            <w:tcW w:type="dxa" w:w="331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نسخ الرابط دون أهلية أو تسريبه بالسجلات</w:t>
            </w:r>
          </w:p>
        </w:tc>
        <w:tc>
          <w:tcPr>
            <w:tcW w:type="dxa" w:w="417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تشفير، Boolean فقط، Ticket ثم Redirect مدقق</w:t>
            </w:r>
          </w:p>
        </w:tc>
      </w:tr>
      <w:tr>
        <w:tc>
          <w:tcPr>
            <w:tcW w:type="dxa" w:w="2592"/>
            <w:tcMar>
              <w:top w:w="95" w:type="dxa"/>
              <w:start w:w="105" w:type="dxa"/>
              <w:bottom w:w="95" w:type="dxa"/>
              <w:end w:w="105" w:type="dxa"/>
            </w:tcMar>
            <w:vAlign w:val="center"/>
          </w:tcPr>
          <w:p>
            <w:pPr>
              <w:bidi w:val="1"/>
              <w:jc w:val="right"/>
            </w:pPr>
            <w:r>
              <w:rPr>
                <w:rFonts w:ascii="Noto Sans Arabic" w:hAnsi="Noto Sans Arabic" w:cs="Noto Sans Arabic"/>
                <w:b/>
                <w:color w:val="172033"/>
                <w:sz w:val="18"/>
              </w:rPr>
              <w:t>أدوار قليلة</w:t>
            </w:r>
          </w:p>
        </w:tc>
        <w:tc>
          <w:tcPr>
            <w:tcW w:type="dxa" w:w="3312"/>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توسيع الصلاحيات بصورة غير منضبطة</w:t>
            </w:r>
          </w:p>
        </w:tc>
        <w:tc>
          <w:tcPr>
            <w:tcW w:type="dxa" w:w="417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Capabilities وUser Overrides وتواريخ انتهاء</w:t>
            </w:r>
          </w:p>
        </w:tc>
      </w:tr>
      <w:tr>
        <w:tc>
          <w:tcPr>
            <w:tcW w:type="dxa" w:w="2592"/>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8"/>
              </w:rPr>
              <w:t>لا توجد حلقة Feedback</w:t>
            </w:r>
          </w:p>
        </w:tc>
        <w:tc>
          <w:tcPr>
            <w:tcW w:type="dxa" w:w="331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تطوير مبني على التخمين</w:t>
            </w:r>
          </w:p>
        </w:tc>
        <w:tc>
          <w:tcPr>
            <w:tcW w:type="dxa" w:w="417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قياس الرضا حسب الإجراءات والإصدار والمنصة</w:t>
            </w:r>
          </w:p>
        </w:tc>
      </w:tr>
    </w:tbl>
    <w:p>
      <w:pPr>
        <w:spacing w:after="40"/>
      </w:pPr>
    </w:p>
    <w:p>
      <w:pPr>
        <w:pStyle w:val="Heading1"/>
        <w:keepNext/>
        <w:bidi w:val="1"/>
        <w:spacing w:before="260" w:after="120"/>
        <w:jc w:val="right"/>
      </w:pPr>
      <w:r>
        <w:rPr>
          <w:rFonts w:ascii="Noto Sans Arabic" w:hAnsi="Noto Sans Arabic" w:cs="Noto Sans Arabic"/>
          <w:b/>
          <w:color w:val="001B72"/>
        </w:rPr>
        <w:t>3  النتيجة الهندسية بعد التحويل</w:t>
      </w:r>
    </w:p>
    <w:tbl>
      <w:tblPr>
        <w:tblStyle w:val="TableGrid"/>
        <w:tblW w:type="auto" w:w="0"/>
        <w:jc w:val="center"/>
        <w:tblLook w:firstColumn="1" w:firstRow="1" w:lastColumn="0" w:lastRow="0" w:noHBand="0" w:noVBand="1" w:val="04A0"/>
        <w:bidiVisual w:val="1"/>
      </w:tblPr>
      <w:tblGrid>
        <w:gridCol w:w="2570"/>
        <w:gridCol w:w="2570"/>
        <w:gridCol w:w="2570"/>
        <w:gridCol w:w="2570"/>
      </w:tblGrid>
      <w:tr>
        <w:trPr>
          <w:tblHeader w:val="true"/>
        </w:trPr>
        <w:tc>
          <w:tcPr>
            <w:tcW w:type="dxa" w:w="2232"/>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المحور</w:t>
            </w:r>
          </w:p>
        </w:tc>
        <w:tc>
          <w:tcPr>
            <w:tcW w:type="dxa" w:w="1944"/>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تقدير النسخة الأصلية</w:t>
            </w:r>
          </w:p>
        </w:tc>
        <w:tc>
          <w:tcPr>
            <w:tcW w:type="dxa" w:w="1944"/>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تقدير v2 الساكن</w:t>
            </w:r>
          </w:p>
        </w:tc>
        <w:tc>
          <w:tcPr>
            <w:tcW w:type="dxa" w:w="3816"/>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ملاحظة</w:t>
            </w:r>
          </w:p>
        </w:tc>
      </w:tr>
      <w:tr>
        <w:tc>
          <w:tcPr>
            <w:tcW w:type="dxa" w:w="2232"/>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المعمارية</w:t>
            </w:r>
          </w:p>
        </w:tc>
        <w:tc>
          <w:tcPr>
            <w:tcW w:type="dxa" w:w="19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82/100</w:t>
            </w:r>
          </w:p>
        </w:tc>
        <w:tc>
          <w:tcPr>
            <w:tcW w:type="dxa" w:w="19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94/100</w:t>
            </w:r>
          </w:p>
        </w:tc>
        <w:tc>
          <w:tcPr>
            <w:tcW w:type="dxa" w:w="381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فصل واضح وخدمات مشتركة وCI</w:t>
            </w:r>
          </w:p>
        </w:tc>
      </w:tr>
      <w:tr>
        <w:tc>
          <w:tcPr>
            <w:tcW w:type="dxa" w:w="2232"/>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المصادقة وOTP</w:t>
            </w:r>
          </w:p>
        </w:tc>
        <w:tc>
          <w:tcPr>
            <w:tcW w:type="dxa" w:w="19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62/100</w:t>
            </w:r>
          </w:p>
        </w:tc>
        <w:tc>
          <w:tcPr>
            <w:tcW w:type="dxa" w:w="19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92/100</w:t>
            </w:r>
          </w:p>
        </w:tc>
        <w:tc>
          <w:tcPr>
            <w:tcW w:type="dxa" w:w="381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يحتاج اختبار Gmail فعليًا</w:t>
            </w:r>
          </w:p>
        </w:tc>
      </w:tr>
      <w:tr>
        <w:tc>
          <w:tcPr>
            <w:tcW w:type="dxa" w:w="2232"/>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RBAC</w:t>
            </w:r>
          </w:p>
        </w:tc>
        <w:tc>
          <w:tcPr>
            <w:tcW w:type="dxa" w:w="19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70/100</w:t>
            </w:r>
          </w:p>
        </w:tc>
        <w:tc>
          <w:tcPr>
            <w:tcW w:type="dxa" w:w="19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94/100</w:t>
            </w:r>
          </w:p>
        </w:tc>
        <w:tc>
          <w:tcPr>
            <w:tcW w:type="dxa" w:w="381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أدوار وقدرات واستثناءات</w:t>
            </w:r>
          </w:p>
        </w:tc>
      </w:tr>
      <w:tr>
        <w:tc>
          <w:tcPr>
            <w:tcW w:type="dxa" w:w="2232"/>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التوثيق والخصوصية</w:t>
            </w:r>
          </w:p>
        </w:tc>
        <w:tc>
          <w:tcPr>
            <w:tcW w:type="dxa" w:w="19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68/100</w:t>
            </w:r>
          </w:p>
        </w:tc>
        <w:tc>
          <w:tcPr>
            <w:tcW w:type="dxa" w:w="19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92/100</w:t>
            </w:r>
          </w:p>
        </w:tc>
        <w:tc>
          <w:tcPr>
            <w:tcW w:type="dxa" w:w="381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بطاقات محمية وRetention</w:t>
            </w:r>
          </w:p>
        </w:tc>
      </w:tr>
      <w:tr>
        <w:tc>
          <w:tcPr>
            <w:tcW w:type="dxa" w:w="2232"/>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الملفات والمرفقات</w:t>
            </w:r>
          </w:p>
        </w:tc>
        <w:tc>
          <w:tcPr>
            <w:tcW w:type="dxa" w:w="19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58/100</w:t>
            </w:r>
          </w:p>
        </w:tc>
        <w:tc>
          <w:tcPr>
            <w:tcW w:type="dxa" w:w="19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91/100</w:t>
            </w:r>
          </w:p>
        </w:tc>
        <w:tc>
          <w:tcPr>
            <w:tcW w:type="dxa" w:w="381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يبقى فحص Malware خارجيًا</w:t>
            </w:r>
          </w:p>
        </w:tc>
      </w:tr>
      <w:tr>
        <w:tc>
          <w:tcPr>
            <w:tcW w:type="dxa" w:w="2232"/>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الطباعة والتسعير</w:t>
            </w:r>
          </w:p>
        </w:tc>
        <w:tc>
          <w:tcPr>
            <w:tcW w:type="dxa" w:w="19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54/100</w:t>
            </w:r>
          </w:p>
        </w:tc>
        <w:tc>
          <w:tcPr>
            <w:tcW w:type="dxa" w:w="19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94/100</w:t>
            </w:r>
          </w:p>
        </w:tc>
        <w:tc>
          <w:tcPr>
            <w:tcW w:type="dxa" w:w="381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لا ثقة بسعر العميل</w:t>
            </w:r>
          </w:p>
        </w:tc>
      </w:tr>
      <w:tr>
        <w:tc>
          <w:tcPr>
            <w:tcW w:type="dxa" w:w="2232"/>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التقييم والاقتراحات</w:t>
            </w:r>
          </w:p>
        </w:tc>
        <w:tc>
          <w:tcPr>
            <w:tcW w:type="dxa" w:w="19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0/100</w:t>
            </w:r>
          </w:p>
        </w:tc>
        <w:tc>
          <w:tcPr>
            <w:tcW w:type="dxa" w:w="19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93/100</w:t>
            </w:r>
          </w:p>
        </w:tc>
        <w:tc>
          <w:tcPr>
            <w:tcW w:type="dxa" w:w="381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منظومة جديدة كاملة</w:t>
            </w:r>
          </w:p>
        </w:tc>
      </w:tr>
      <w:tr>
        <w:tc>
          <w:tcPr>
            <w:tcW w:type="dxa" w:w="2232"/>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DevOps والإنتاج</w:t>
            </w:r>
          </w:p>
        </w:tc>
        <w:tc>
          <w:tcPr>
            <w:tcW w:type="dxa" w:w="19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68/100</w:t>
            </w:r>
          </w:p>
        </w:tc>
        <w:tc>
          <w:tcPr>
            <w:tcW w:type="dxa" w:w="19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91/100</w:t>
            </w:r>
          </w:p>
        </w:tc>
        <w:tc>
          <w:tcPr>
            <w:tcW w:type="dxa" w:w="381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يحتاج تشغيل CI/Staging</w:t>
            </w:r>
          </w:p>
        </w:tc>
      </w:tr>
      <w:tr>
        <w:tc>
          <w:tcPr>
            <w:tcW w:type="dxa" w:w="2232"/>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الاختبارات التنفيذية</w:t>
            </w:r>
          </w:p>
        </w:tc>
        <w:tc>
          <w:tcPr>
            <w:tcW w:type="dxa" w:w="19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غير مغلقة</w:t>
            </w:r>
          </w:p>
        </w:tc>
        <w:tc>
          <w:tcPr>
            <w:tcW w:type="dxa" w:w="19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78/100</w:t>
            </w:r>
          </w:p>
        </w:tc>
        <w:tc>
          <w:tcPr>
            <w:tcW w:type="dxa" w:w="381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الاختبارات كتبت ولم تُنفذ هنا</w:t>
            </w:r>
          </w:p>
        </w:tc>
      </w:tr>
      <w:tr>
        <w:tc>
          <w:tcPr>
            <w:tcW w:type="dxa" w:w="2232"/>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الجاهزية الكلية</w:t>
            </w:r>
          </w:p>
        </w:tc>
        <w:tc>
          <w:tcPr>
            <w:tcW w:type="dxa" w:w="19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نحو 62/100</w:t>
            </w:r>
          </w:p>
        </w:tc>
        <w:tc>
          <w:tcPr>
            <w:tcW w:type="dxa" w:w="19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نحو 91/100 ساكنًا</w:t>
            </w:r>
          </w:p>
        </w:tc>
        <w:tc>
          <w:tcPr>
            <w:tcW w:type="dxa" w:w="381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ليست اعتماد إنتاج نهائي</w:t>
            </w:r>
          </w:p>
        </w:tc>
      </w:tr>
    </w:tbl>
    <w:p>
      <w:pPr>
        <w:spacing w:after="40"/>
      </w:pPr>
    </w:p>
    <w:tbl>
      <w:tblPr>
        <w:tblW w:type="auto" w:w="0"/>
        <w:jc w:val="center"/>
        <w:tblLook w:firstColumn="1" w:firstRow="1" w:lastColumn="0" w:lastRow="0" w:noHBand="0" w:noVBand="1" w:val="04A0"/>
        <w:bidiVisual w:val="1"/>
      </w:tblPr>
      <w:tblGrid>
        <w:gridCol w:w="10282"/>
      </w:tblGrid>
      <w:tr>
        <w:tc>
          <w:tcPr>
            <w:tcW w:type="dxa" w:w="10282"/>
            <w:shd w:fill="FFF4E5"/>
            <w:tcMar>
              <w:top w:w="160" w:type="dxa"/>
              <w:start w:w="180" w:type="dxa"/>
              <w:bottom w:w="160" w:type="dxa"/>
              <w:end w:w="180" w:type="dxa"/>
            </w:tcMar>
          </w:tcPr>
          <w:p>
            <w:pPr>
              <w:bidi w:val="1"/>
              <w:spacing w:line="278" w:lineRule="auto"/>
              <w:jc w:val="right"/>
            </w:pPr>
            <w:r>
              <w:rPr>
                <w:rFonts w:ascii="Noto Sans Arabic" w:hAnsi="Noto Sans Arabic" w:cs="Noto Sans Arabic"/>
                <w:b/>
                <w:color w:val="B45309"/>
                <w:sz w:val="22"/>
              </w:rPr>
              <w:t>النتيجة</w:t>
              <w:br/>
            </w:r>
            <w:r>
              <w:rPr>
                <w:rFonts w:ascii="Noto Sans Arabic" w:hAnsi="Noto Sans Arabic" w:cs="Noto Sans Arabic"/>
                <w:color w:val="172033"/>
                <w:sz w:val="20"/>
              </w:rPr>
              <w:t>تم رفع جودة التصميم والتنفيذ بصورة كبيرة، لكن الدرجة النهائية لا تصبح 100/100 إلا بعد التحقق الديناميكي، اختبار الهجرة على نسخة بيانات، تشغيل الخدمات الخارجية، مراجعة أمنية مستقلة، واختبارات الضغط والاستعادة.</w:t>
            </w:r>
          </w:p>
        </w:tc>
      </w:tr>
    </w:tbl>
    <w:p>
      <w:pPr>
        <w:spacing w:after="20"/>
      </w:pPr>
    </w:p>
    <w:p>
      <w:pPr>
        <w:pStyle w:val="Heading1"/>
        <w:keepNext/>
        <w:bidi w:val="1"/>
        <w:spacing w:before="260" w:after="120"/>
        <w:jc w:val="right"/>
      </w:pPr>
      <w:r>
        <w:rPr>
          <w:rFonts w:ascii="Noto Sans Arabic" w:hAnsi="Noto Sans Arabic" w:cs="Noto Sans Arabic"/>
          <w:b/>
          <w:color w:val="001B72"/>
        </w:rPr>
        <w:t>4  المعمارية المرجعية</w:t>
      </w:r>
    </w:p>
    <w:tbl>
      <w:tblPr>
        <w:tblStyle w:val="TableGrid"/>
        <w:tblW w:type="auto" w:w="0"/>
        <w:jc w:val="center"/>
        <w:tblLook w:firstColumn="1" w:firstRow="1" w:lastColumn="0" w:lastRow="0" w:noHBand="0" w:noVBand="1" w:val="04A0"/>
        <w:bidiVisual w:val="1"/>
      </w:tblPr>
      <w:tblGrid>
        <w:gridCol w:w="3427"/>
        <w:gridCol w:w="3427"/>
        <w:gridCol w:w="3427"/>
      </w:tblGrid>
      <w:tr>
        <w:trPr>
          <w:tblHeader w:val="true"/>
        </w:trPr>
        <w:tc>
          <w:tcPr>
            <w:tcW w:type="dxa" w:w="288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طبقة العملاء</w:t>
            </w:r>
          </w:p>
        </w:tc>
        <w:tc>
          <w:tcPr>
            <w:tcW w:type="dxa" w:w="360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بوابة Backend</w:t>
            </w:r>
          </w:p>
        </w:tc>
        <w:tc>
          <w:tcPr>
            <w:tcW w:type="dxa" w:w="360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الخدمات والبيانات</w:t>
            </w:r>
          </w:p>
        </w:tc>
      </w:tr>
      <w:tr>
        <w:tc>
          <w:tcPr>
            <w:tcW w:type="dxa" w:w="2880"/>
            <w:tcMar>
              <w:top w:w="95" w:type="dxa"/>
              <w:start w:w="105" w:type="dxa"/>
              <w:bottom w:w="95" w:type="dxa"/>
              <w:end w:w="105" w:type="dxa"/>
            </w:tcMar>
            <w:vAlign w:val="center"/>
          </w:tcPr>
          <w:p>
            <w:pPr>
              <w:bidi w:val="1"/>
              <w:jc w:val="right"/>
            </w:pPr>
            <w:r>
              <w:rPr>
                <w:rFonts w:ascii="Noto Sans Arabic" w:hAnsi="Noto Sans Arabic" w:cs="Noto Sans Arabic"/>
                <w:b/>
                <w:color w:val="172033"/>
                <w:sz w:val="18"/>
              </w:rPr>
              <w:t>React Native / Dashboard</w:t>
            </w:r>
          </w:p>
        </w:tc>
        <w:tc>
          <w:tcPr>
            <w:tcW w:type="dxa" w:w="36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HTTPS API v1 + JWT + Throttling + Request ID</w:t>
            </w:r>
          </w:p>
        </w:tc>
        <w:tc>
          <w:tcPr>
            <w:tcW w:type="dxa" w:w="36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Django Services + PostgreSQL</w:t>
            </w:r>
          </w:p>
        </w:tc>
      </w:tr>
      <w:tr>
        <w:tc>
          <w:tcPr>
            <w:tcW w:type="dxa" w:w="2880"/>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8"/>
              </w:rPr>
              <w:t>WebSocket Chat</w:t>
            </w:r>
          </w:p>
        </w:tc>
        <w:tc>
          <w:tcPr>
            <w:tcW w:type="dxa" w:w="360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Channels Middleware + Membership Authorization</w:t>
            </w:r>
          </w:p>
        </w:tc>
        <w:tc>
          <w:tcPr>
            <w:tcW w:type="dxa" w:w="360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Redis Channel Layer</w:t>
            </w:r>
          </w:p>
        </w:tc>
      </w:tr>
      <w:tr>
        <w:tc>
          <w:tcPr>
            <w:tcW w:type="dxa" w:w="2880"/>
            <w:tcMar>
              <w:top w:w="95" w:type="dxa"/>
              <w:start w:w="105" w:type="dxa"/>
              <w:bottom w:w="95" w:type="dxa"/>
              <w:end w:w="105" w:type="dxa"/>
            </w:tcMar>
            <w:vAlign w:val="center"/>
          </w:tcPr>
          <w:p>
            <w:pPr>
              <w:bidi w:val="1"/>
              <w:jc w:val="right"/>
            </w:pPr>
            <w:r>
              <w:rPr>
                <w:rFonts w:ascii="Noto Sans Arabic" w:hAnsi="Noto Sans Arabic" w:cs="Noto Sans Arabic"/>
                <w:b/>
                <w:color w:val="172033"/>
                <w:sz w:val="18"/>
              </w:rPr>
              <w:t>ملفات خاصة</w:t>
            </w:r>
          </w:p>
        </w:tc>
        <w:tc>
          <w:tcPr>
            <w:tcW w:type="dxa" w:w="36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Protected Ticket Endpoints</w:t>
            </w:r>
          </w:p>
        </w:tc>
        <w:tc>
          <w:tcPr>
            <w:tcW w:type="dxa" w:w="36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S3/R2 Private Storage</w:t>
            </w:r>
          </w:p>
        </w:tc>
      </w:tr>
      <w:tr>
        <w:tc>
          <w:tcPr>
            <w:tcW w:type="dxa" w:w="2880"/>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8"/>
              </w:rPr>
              <w:t>إشعارات</w:t>
            </w:r>
          </w:p>
        </w:tc>
        <w:tc>
          <w:tcPr>
            <w:tcW w:type="dxa" w:w="360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Notification Service + Celery</w:t>
            </w:r>
          </w:p>
        </w:tc>
        <w:tc>
          <w:tcPr>
            <w:tcW w:type="dxa" w:w="360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Expo Push / Redis Queue</w:t>
            </w:r>
          </w:p>
        </w:tc>
      </w:tr>
      <w:tr>
        <w:tc>
          <w:tcPr>
            <w:tcW w:type="dxa" w:w="2880"/>
            <w:tcMar>
              <w:top w:w="95" w:type="dxa"/>
              <w:start w:w="105" w:type="dxa"/>
              <w:bottom w:w="95" w:type="dxa"/>
              <w:end w:w="105" w:type="dxa"/>
            </w:tcMar>
            <w:vAlign w:val="center"/>
          </w:tcPr>
          <w:p>
            <w:pPr>
              <w:bidi w:val="1"/>
              <w:jc w:val="right"/>
            </w:pPr>
            <w:r>
              <w:rPr>
                <w:rFonts w:ascii="Noto Sans Arabic" w:hAnsi="Noto Sans Arabic" w:cs="Noto Sans Arabic"/>
                <w:b/>
                <w:color w:val="172033"/>
                <w:sz w:val="18"/>
              </w:rPr>
              <w:t>OTP بريد</w:t>
            </w:r>
          </w:p>
        </w:tc>
        <w:tc>
          <w:tcPr>
            <w:tcW w:type="dxa" w:w="36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Auth Services</w:t>
            </w:r>
          </w:p>
        </w:tc>
        <w:tc>
          <w:tcPr>
            <w:tcW w:type="dxa" w:w="36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Gmail SMTP App Password</w:t>
            </w:r>
          </w:p>
        </w:tc>
      </w:tr>
    </w:tbl>
    <w:p>
      <w:pPr>
        <w:spacing w:after="40"/>
      </w:pPr>
    </w:p>
    <w:p>
      <w:pPr>
        <w:bidi w:val="1"/>
        <w:spacing w:after="100" w:line="283" w:lineRule="auto"/>
        <w:jc w:val="right"/>
      </w:pPr>
      <w:r>
        <w:rPr>
          <w:rFonts w:ascii="Noto Sans Arabic" w:hAnsi="Noto Sans Arabic" w:cs="Noto Sans Arabic" w:eastAsia="Noto Sans Arabic"/>
          <w:b w:val="0"/>
        </w:rPr>
        <w:t>المبادئ المعمارية المعتمدة:</w:t>
      </w:r>
    </w:p>
    <w:p>
      <w:pPr>
        <w:pStyle w:val="ListBullet"/>
        <w:spacing w:after="50" w:line="269" w:lineRule="auto"/>
        <w:ind w:left="0"/>
        <w:bidi w:val="1"/>
        <w:jc w:val="right"/>
      </w:pPr>
      <w:r>
        <w:rPr>
          <w:rFonts w:ascii="Noto Sans Arabic" w:hAnsi="Noto Sans Arabic" w:cs="Noto Sans Arabic"/>
          <w:color w:val="172033"/>
          <w:sz w:val="20"/>
        </w:rPr>
        <w:t>Deny by default: كل Endpoint يتطلب هوية وصلاحية صريحة إلا المسارات العامة الضرورية.</w:t>
      </w:r>
    </w:p>
    <w:p>
      <w:pPr>
        <w:pStyle w:val="ListBullet"/>
        <w:spacing w:after="50" w:line="269" w:lineRule="auto"/>
        <w:ind w:left="0"/>
        <w:bidi w:val="1"/>
        <w:jc w:val="right"/>
      </w:pPr>
      <w:r>
        <w:rPr>
          <w:rFonts w:ascii="Noto Sans Arabic" w:hAnsi="Noto Sans Arabic" w:cs="Noto Sans Arabic"/>
          <w:color w:val="172033"/>
          <w:sz w:val="20"/>
        </w:rPr>
        <w:t>Server authoritative: الحالة والسعر والوصول والعضوية لا تُقبل كحقائق من الواجهة.</w:t>
      </w:r>
    </w:p>
    <w:p>
      <w:pPr>
        <w:pStyle w:val="ListBullet"/>
        <w:spacing w:after="50" w:line="269" w:lineRule="auto"/>
        <w:ind w:left="0"/>
        <w:bidi w:val="1"/>
        <w:jc w:val="right"/>
      </w:pPr>
      <w:r>
        <w:rPr>
          <w:rFonts w:ascii="Noto Sans Arabic" w:hAnsi="Noto Sans Arabic" w:cs="Noto Sans Arabic"/>
          <w:color w:val="172033"/>
          <w:sz w:val="20"/>
        </w:rPr>
        <w:t>Least privilege: فصل أدوار الدعم والطباعة والمحتوى والإدارة التقنية.</w:t>
      </w:r>
    </w:p>
    <w:p>
      <w:pPr>
        <w:pStyle w:val="ListBullet"/>
        <w:spacing w:after="50" w:line="269" w:lineRule="auto"/>
        <w:ind w:left="0"/>
        <w:bidi w:val="1"/>
        <w:jc w:val="right"/>
      </w:pPr>
      <w:r>
        <w:rPr>
          <w:rFonts w:ascii="Noto Sans Arabic" w:hAnsi="Noto Sans Arabic" w:cs="Noto Sans Arabic"/>
          <w:color w:val="172033"/>
          <w:sz w:val="20"/>
        </w:rPr>
        <w:t>Privacy by design: لا ترجع البيانات الحساسة أو الروابط الخام لمجرد أن الشاشة لا تعرضها.</w:t>
      </w:r>
    </w:p>
    <w:p>
      <w:pPr>
        <w:pStyle w:val="ListBullet"/>
        <w:spacing w:after="50" w:line="269" w:lineRule="auto"/>
        <w:ind w:left="0"/>
        <w:bidi w:val="1"/>
        <w:jc w:val="right"/>
      </w:pPr>
      <w:r>
        <w:rPr>
          <w:rFonts w:ascii="Noto Sans Arabic" w:hAnsi="Noto Sans Arabic" w:cs="Noto Sans Arabic"/>
          <w:color w:val="172033"/>
          <w:sz w:val="20"/>
        </w:rPr>
        <w:t>Short-lived capability URLs: الوصول إلى مورد حساس يتم بتذكرة قصيرة العمر ومحدودة الاستخدام.</w:t>
      </w:r>
    </w:p>
    <w:p>
      <w:pPr>
        <w:pStyle w:val="ListBullet"/>
        <w:spacing w:after="50" w:line="269" w:lineRule="auto"/>
        <w:ind w:left="0"/>
        <w:bidi w:val="1"/>
        <w:jc w:val="right"/>
      </w:pPr>
      <w:r>
        <w:rPr>
          <w:rFonts w:ascii="Noto Sans Arabic" w:hAnsi="Noto Sans Arabic" w:cs="Noto Sans Arabic"/>
          <w:color w:val="172033"/>
          <w:sz w:val="20"/>
        </w:rPr>
        <w:t>Auditability: العمليات الحساسة لها Actor وTarget وRequest ID وIP موثوق مع Redaction.</w:t>
      </w:r>
    </w:p>
    <w:p>
      <w:pPr>
        <w:pStyle w:val="ListBullet"/>
        <w:spacing w:after="50" w:line="269" w:lineRule="auto"/>
        <w:ind w:left="0"/>
        <w:bidi w:val="1"/>
        <w:jc w:val="right"/>
      </w:pPr>
      <w:r>
        <w:rPr>
          <w:rFonts w:ascii="Noto Sans Arabic" w:hAnsi="Noto Sans Arabic" w:cs="Noto Sans Arabic"/>
          <w:color w:val="172033"/>
          <w:sz w:val="20"/>
        </w:rPr>
        <w:t>Operational safety: migrations في Release Job وليس داخل كل Replica أثناء التشغيل.</w:t>
      </w:r>
    </w:p>
    <w:p>
      <w:pPr>
        <w:pStyle w:val="Heading1"/>
        <w:keepNext/>
        <w:bidi w:val="1"/>
        <w:spacing w:before="260" w:after="120"/>
        <w:jc w:val="right"/>
      </w:pPr>
      <w:r>
        <w:rPr>
          <w:rFonts w:ascii="Noto Sans Arabic" w:hAnsi="Noto Sans Arabic" w:cs="Noto Sans Arabic"/>
          <w:b/>
          <w:color w:val="001B72"/>
        </w:rPr>
        <w:t>5  المصادقة وOTP والبريد الرسمي</w:t>
      </w:r>
    </w:p>
    <w:p>
      <w:pPr>
        <w:bidi w:val="1"/>
        <w:spacing w:after="100" w:line="283" w:lineRule="auto"/>
        <w:jc w:val="right"/>
      </w:pPr>
      <w:r>
        <w:rPr>
          <w:rFonts w:ascii="Noto Sans Arabic" w:hAnsi="Noto Sans Arabic" w:cs="Noto Sans Arabic" w:eastAsia="Noto Sans Arabic"/>
          <w:b w:val="0"/>
        </w:rPr>
        <w:t>تم اعتماد البريد الرسمي panoramacompany31@gmail.com كمرسل افتراضي لرموز التحقق ورسائل النظام. لا تُحفظ كلمة مرور البريد داخل الكود أو المستودع. يلزم تفعيل التحقق بخطوتين في Gmail وإنشاء App Password مستقل ووضعه سرًا في بيئة الإنتاج.</w:t>
      </w:r>
    </w:p>
    <w:tbl>
      <w:tblPr>
        <w:tblStyle w:val="TableGrid"/>
        <w:tblW w:type="auto" w:w="0"/>
        <w:jc w:val="center"/>
        <w:tblLook w:firstColumn="1" w:firstRow="1" w:lastColumn="0" w:lastRow="0" w:noHBand="0" w:noVBand="1" w:val="04A0"/>
        <w:bidiVisual w:val="1"/>
      </w:tblPr>
      <w:tblGrid>
        <w:gridCol w:w="3427"/>
        <w:gridCol w:w="3427"/>
        <w:gridCol w:w="3427"/>
      </w:tblGrid>
      <w:tr>
        <w:trPr>
          <w:tblHeader w:val="true"/>
        </w:trPr>
        <w:tc>
          <w:tcPr>
            <w:tcW w:type="dxa" w:w="3096"/>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المتغير</w:t>
            </w:r>
          </w:p>
        </w:tc>
        <w:tc>
          <w:tcPr>
            <w:tcW w:type="dxa" w:w="324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القيمة المرجعية</w:t>
            </w:r>
          </w:p>
        </w:tc>
        <w:tc>
          <w:tcPr>
            <w:tcW w:type="dxa" w:w="3744"/>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ملاحظة أمنية</w:t>
            </w:r>
          </w:p>
        </w:tc>
      </w:tr>
      <w:tr>
        <w:tc>
          <w:tcPr>
            <w:tcW w:type="dxa" w:w="3096"/>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EMAIL_HOST</w:t>
            </w:r>
          </w:p>
        </w:tc>
        <w:tc>
          <w:tcPr>
            <w:tcW w:type="dxa" w:w="324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smtp.gmail.com</w:t>
            </w:r>
          </w:p>
        </w:tc>
        <w:tc>
          <w:tcPr>
            <w:tcW w:type="dxa" w:w="37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خادم Gmail الرسمي</w:t>
            </w:r>
          </w:p>
        </w:tc>
      </w:tr>
      <w:tr>
        <w:tc>
          <w:tcPr>
            <w:tcW w:type="dxa" w:w="3096"/>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EMAIL_PORT</w:t>
            </w:r>
          </w:p>
        </w:tc>
        <w:tc>
          <w:tcPr>
            <w:tcW w:type="dxa" w:w="324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587</w:t>
            </w:r>
          </w:p>
        </w:tc>
        <w:tc>
          <w:tcPr>
            <w:tcW w:type="dxa" w:w="37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STARTTLS</w:t>
            </w:r>
          </w:p>
        </w:tc>
      </w:tr>
      <w:tr>
        <w:tc>
          <w:tcPr>
            <w:tcW w:type="dxa" w:w="3096"/>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EMAIL_USE_TLS</w:t>
            </w:r>
          </w:p>
        </w:tc>
        <w:tc>
          <w:tcPr>
            <w:tcW w:type="dxa" w:w="324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True</w:t>
            </w:r>
          </w:p>
        </w:tc>
        <w:tc>
          <w:tcPr>
            <w:tcW w:type="dxa" w:w="37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إلزام التشفير أثناء النقل</w:t>
            </w:r>
          </w:p>
        </w:tc>
      </w:tr>
      <w:tr>
        <w:tc>
          <w:tcPr>
            <w:tcW w:type="dxa" w:w="3096"/>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EMAIL_HOST_USER</w:t>
            </w:r>
          </w:p>
        </w:tc>
        <w:tc>
          <w:tcPr>
            <w:tcW w:type="dxa" w:w="324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panoramacompany31@gmail.com</w:t>
            </w:r>
          </w:p>
        </w:tc>
        <w:tc>
          <w:tcPr>
            <w:tcW w:type="dxa" w:w="37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البريد الرسمي</w:t>
            </w:r>
          </w:p>
        </w:tc>
      </w:tr>
      <w:tr>
        <w:tc>
          <w:tcPr>
            <w:tcW w:type="dxa" w:w="3096"/>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EMAIL_HOST_PASSWORD</w:t>
            </w:r>
          </w:p>
        </w:tc>
        <w:tc>
          <w:tcPr>
            <w:tcW w:type="dxa" w:w="324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Secret / Gmail App Password</w:t>
            </w:r>
          </w:p>
        </w:tc>
        <w:tc>
          <w:tcPr>
            <w:tcW w:type="dxa" w:w="37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ممنوع وضع كلمة المرور العادية أو Commit</w:t>
            </w:r>
          </w:p>
        </w:tc>
      </w:tr>
      <w:tr>
        <w:tc>
          <w:tcPr>
            <w:tcW w:type="dxa" w:w="3096"/>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OTP_EXPIRY_MINUTES</w:t>
            </w:r>
          </w:p>
        </w:tc>
        <w:tc>
          <w:tcPr>
            <w:tcW w:type="dxa" w:w="324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10</w:t>
            </w:r>
          </w:p>
        </w:tc>
        <w:tc>
          <w:tcPr>
            <w:tcW w:type="dxa" w:w="37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مدة قصيرة قابلة للضبط</w:t>
            </w:r>
          </w:p>
        </w:tc>
      </w:tr>
      <w:tr>
        <w:tc>
          <w:tcPr>
            <w:tcW w:type="dxa" w:w="3096"/>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OTP_RESEND_COOLDOWN_SECONDS</w:t>
            </w:r>
          </w:p>
        </w:tc>
        <w:tc>
          <w:tcPr>
            <w:tcW w:type="dxa" w:w="324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60</w:t>
            </w:r>
          </w:p>
        </w:tc>
        <w:tc>
          <w:tcPr>
            <w:tcW w:type="dxa" w:w="37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منع الإرسال المتكرر</w:t>
            </w:r>
          </w:p>
        </w:tc>
      </w:tr>
      <w:tr>
        <w:tc>
          <w:tcPr>
            <w:tcW w:type="dxa" w:w="3096"/>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OTP_MAX_ATTEMPTS</w:t>
            </w:r>
          </w:p>
        </w:tc>
        <w:tc>
          <w:tcPr>
            <w:tcW w:type="dxa" w:w="324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5</w:t>
            </w:r>
          </w:p>
        </w:tc>
        <w:tc>
          <w:tcPr>
            <w:tcW w:type="dxa" w:w="37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قفل التحقق بعد المحاولات</w:t>
            </w:r>
          </w:p>
        </w:tc>
      </w:tr>
    </w:tbl>
    <w:p>
      <w:pPr>
        <w:spacing w:after="40"/>
      </w:pPr>
    </w:p>
    <w:p>
      <w:pPr>
        <w:pStyle w:val="Heading2"/>
        <w:keepNext/>
        <w:bidi w:val="1"/>
        <w:spacing w:before="160" w:after="120"/>
        <w:jc w:val="right"/>
      </w:pPr>
      <w:r>
        <w:rPr>
          <w:rFonts w:ascii="Noto Sans Arabic" w:hAnsi="Noto Sans Arabic" w:cs="Noto Sans Arabic"/>
          <w:b/>
          <w:color w:val="3510A3"/>
        </w:rPr>
        <w:t>دورة OTP الآمنة</w:t>
      </w:r>
    </w:p>
    <w:p>
      <w:pPr>
        <w:pStyle w:val="ListNumber"/>
        <w:bidi w:val="1"/>
        <w:spacing w:after="60"/>
        <w:jc w:val="right"/>
      </w:pPr>
      <w:r>
        <w:rPr>
          <w:rFonts w:ascii="Noto Sans Arabic" w:hAnsi="Noto Sans Arabic" w:cs="Noto Sans Arabic"/>
          <w:sz w:val="20"/>
        </w:rPr>
        <w:t>إنشاء رمز عشوائي ثم حفظ Hash فقط؛ لا يُخزن الرمز الصريح.</w:t>
      </w:r>
    </w:p>
    <w:p>
      <w:pPr>
        <w:pStyle w:val="ListNumber"/>
        <w:bidi w:val="1"/>
        <w:spacing w:after="60"/>
        <w:jc w:val="right"/>
      </w:pPr>
      <w:r>
        <w:rPr>
          <w:rFonts w:ascii="Noto Sans Arabic" w:hAnsi="Noto Sans Arabic" w:cs="Noto Sans Arabic"/>
          <w:sz w:val="20"/>
        </w:rPr>
        <w:t>إبطال الرموز السابقة للغرض نفسه عند إصدار رمز جديد.</w:t>
      </w:r>
    </w:p>
    <w:p>
      <w:pPr>
        <w:pStyle w:val="ListNumber"/>
        <w:bidi w:val="1"/>
        <w:spacing w:after="60"/>
        <w:jc w:val="right"/>
      </w:pPr>
      <w:r>
        <w:rPr>
          <w:rFonts w:ascii="Noto Sans Arabic" w:hAnsi="Noto Sans Arabic" w:cs="Noto Sans Arabic"/>
          <w:sz w:val="20"/>
        </w:rPr>
        <w:t>تطبيق Throttling حسب المستخدم/الوجهة/IP وCooldown قبل إعادة الإرسال.</w:t>
      </w:r>
    </w:p>
    <w:p>
      <w:pPr>
        <w:pStyle w:val="ListNumber"/>
        <w:bidi w:val="1"/>
        <w:spacing w:after="60"/>
        <w:jc w:val="right"/>
      </w:pPr>
      <w:r>
        <w:rPr>
          <w:rFonts w:ascii="Noto Sans Arabic" w:hAnsi="Noto Sans Arabic" w:cs="Noto Sans Arabic"/>
          <w:sz w:val="20"/>
        </w:rPr>
        <w:t>عدم إعادة OTP في Production وعدم تسجيله في Logs.</w:t>
      </w:r>
    </w:p>
    <w:p>
      <w:pPr>
        <w:pStyle w:val="ListNumber"/>
        <w:bidi w:val="1"/>
        <w:spacing w:after="60"/>
        <w:jc w:val="right"/>
      </w:pPr>
      <w:r>
        <w:rPr>
          <w:rFonts w:ascii="Noto Sans Arabic" w:hAnsi="Noto Sans Arabic" w:cs="Noto Sans Arabic"/>
          <w:sz w:val="20"/>
        </w:rPr>
        <w:t>رد عام عند طلب استعادة كلمة المرور لمنع كشف وجود الحساب.</w:t>
      </w:r>
    </w:p>
    <w:p>
      <w:pPr>
        <w:pStyle w:val="ListNumber"/>
        <w:bidi w:val="1"/>
        <w:spacing w:after="60"/>
        <w:jc w:val="right"/>
      </w:pPr>
      <w:r>
        <w:rPr>
          <w:rFonts w:ascii="Noto Sans Arabic" w:hAnsi="Noto Sans Arabic" w:cs="Noto Sans Arabic"/>
          <w:sz w:val="20"/>
        </w:rPr>
        <w:t>قصر Endpoint إعادة الإرسال العام على VERIFY_EMAIL وVERIFY_PHONE لمنع تحويل النظام إلى Relay بريدي.</w:t>
      </w:r>
    </w:p>
    <w:p>
      <w:pPr>
        <w:pStyle w:val="ListNumber"/>
        <w:bidi w:val="1"/>
        <w:spacing w:after="60"/>
        <w:jc w:val="right"/>
      </w:pPr>
      <w:r>
        <w:rPr>
          <w:rFonts w:ascii="Noto Sans Arabic" w:hAnsi="Noto Sans Arabic" w:cs="Noto Sans Arabic"/>
          <w:sz w:val="20"/>
        </w:rPr>
        <w:t>إلغاء Refresh Tokens للمستخدم عند تغيير أو إعادة تعيين كلمة المرور.</w:t>
      </w:r>
    </w:p>
    <w:tbl>
      <w:tblPr>
        <w:tblW w:type="auto" w:w="0"/>
        <w:jc w:val="center"/>
        <w:tblLook w:firstColumn="1" w:firstRow="1" w:lastColumn="0" w:lastRow="0" w:noHBand="0" w:noVBand="1" w:val="04A0"/>
        <w:bidiVisual w:val="1"/>
      </w:tblPr>
      <w:tblGrid>
        <w:gridCol w:w="10282"/>
      </w:tblGrid>
      <w:tr>
        <w:tc>
          <w:tcPr>
            <w:tcW w:type="dxa" w:w="10282"/>
            <w:shd w:fill="FDECEC"/>
            <w:tcMar>
              <w:top w:w="160" w:type="dxa"/>
              <w:start w:w="180" w:type="dxa"/>
              <w:bottom w:w="160" w:type="dxa"/>
              <w:end w:w="180" w:type="dxa"/>
            </w:tcMar>
          </w:tcPr>
          <w:p>
            <w:pPr>
              <w:bidi w:val="1"/>
              <w:spacing w:line="278" w:lineRule="auto"/>
              <w:jc w:val="right"/>
            </w:pPr>
            <w:r>
              <w:rPr>
                <w:rFonts w:ascii="Noto Sans Arabic" w:hAnsi="Noto Sans Arabic" w:cs="Noto Sans Arabic"/>
                <w:b/>
                <w:color w:val="B42318"/>
                <w:sz w:val="22"/>
              </w:rPr>
              <w:t>إعداد Gmail الصحيح</w:t>
              <w:br/>
            </w:r>
            <w:r>
              <w:rPr>
                <w:rFonts w:ascii="Noto Sans Arabic" w:hAnsi="Noto Sans Arabic" w:cs="Noto Sans Arabic"/>
                <w:color w:val="172033"/>
                <w:sz w:val="20"/>
              </w:rPr>
              <w:t>فعّل 2-Step Verification في حساب Gmail ثم أنشئ App Password باسم Panorama Backend. خزّن القيمة في Secret Manager/Coolify باسم EMAIL_HOST_PASSWORD. لا ترسلها في المحادثة ولا تضعها داخل .env المرفوع.</w:t>
            </w:r>
          </w:p>
        </w:tc>
      </w:tr>
    </w:tbl>
    <w:p>
      <w:pPr>
        <w:spacing w:after="20"/>
      </w:pPr>
    </w:p>
    <w:p>
      <w:pPr>
        <w:pStyle w:val="Heading1"/>
        <w:keepNext/>
        <w:bidi w:val="1"/>
        <w:spacing w:before="260" w:after="120"/>
        <w:jc w:val="right"/>
      </w:pPr>
      <w:r>
        <w:rPr>
          <w:rFonts w:ascii="Noto Sans Arabic" w:hAnsi="Noto Sans Arabic" w:cs="Noto Sans Arabic"/>
          <w:b/>
          <w:color w:val="001B72"/>
        </w:rPr>
        <w:t>6  الصلاحيات وإدارة المستخدمين</w:t>
      </w:r>
    </w:p>
    <w:p>
      <w:pPr>
        <w:bidi w:val="1"/>
        <w:spacing w:after="100" w:line="283" w:lineRule="auto"/>
        <w:jc w:val="right"/>
      </w:pPr>
      <w:r>
        <w:rPr>
          <w:rFonts w:ascii="Noto Sans Arabic" w:hAnsi="Noto Sans Arabic" w:cs="Noto Sans Arabic" w:eastAsia="Noto Sans Arabic"/>
          <w:b w:val="0"/>
        </w:rPr>
        <w:t>تم توسيع الأدوار من نموذج محدود إلى RBAC يعتمد على Capabilities، مع قدرة الإدارة التقنية على منح أو منع صلاحية محددة لمستخدم ولفترة زمنية، دون تغيير دوره الكامل.</w:t>
      </w:r>
    </w:p>
    <w:tbl>
      <w:tblPr>
        <w:tblStyle w:val="TableGrid"/>
        <w:tblW w:type="auto" w:w="0"/>
        <w:jc w:val="center"/>
        <w:tblLook w:firstColumn="1" w:firstRow="1" w:lastColumn="0" w:lastRow="0" w:noHBand="0" w:noVBand="1" w:val="04A0"/>
        <w:bidiVisual w:val="1"/>
      </w:tblPr>
      <w:tblGrid>
        <w:gridCol w:w="3427"/>
        <w:gridCol w:w="3427"/>
        <w:gridCol w:w="3427"/>
      </w:tblGrid>
      <w:tr>
        <w:trPr>
          <w:tblHeader w:val="true"/>
        </w:trPr>
        <w:tc>
          <w:tcPr>
            <w:tcW w:type="dxa" w:w="1944"/>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الدور</w:t>
            </w:r>
          </w:p>
        </w:tc>
        <w:tc>
          <w:tcPr>
            <w:tcW w:type="dxa" w:w="2592"/>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الهدف</w:t>
            </w:r>
          </w:p>
        </w:tc>
        <w:tc>
          <w:tcPr>
            <w:tcW w:type="dxa" w:w="5544"/>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أمثلة الصلاحيات</w:t>
            </w:r>
          </w:p>
        </w:tc>
      </w:tr>
      <w:tr>
        <w:tc>
          <w:tcPr>
            <w:tcW w:type="dxa" w:w="1944"/>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it_support</w:t>
            </w:r>
          </w:p>
        </w:tc>
        <w:tc>
          <w:tcPr>
            <w:tcW w:type="dxa" w:w="2592"/>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الإدارة التقنية العليا</w:t>
            </w:r>
          </w:p>
        </w:tc>
        <w:tc>
          <w:tcPr>
            <w:tcW w:type="dxa" w:w="55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كل القدرات، المستخدمون، Audit، النظام</w:t>
            </w:r>
          </w:p>
        </w:tc>
      </w:tr>
      <w:tr>
        <w:tc>
          <w:tcPr>
            <w:tcW w:type="dxa" w:w="1944"/>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admin</w:t>
            </w:r>
          </w:p>
        </w:tc>
        <w:tc>
          <w:tcPr>
            <w:tcW w:type="dxa" w:w="259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الإدارة التشغيلية</w:t>
            </w:r>
          </w:p>
        </w:tc>
        <w:tc>
          <w:tcPr>
            <w:tcW w:type="dxa" w:w="55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الأكاديميات، التوثيق، الغروبات، الملفات، الإعلانات</w:t>
            </w:r>
          </w:p>
        </w:tc>
      </w:tr>
      <w:tr>
        <w:tc>
          <w:tcPr>
            <w:tcW w:type="dxa" w:w="1944"/>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print_staff</w:t>
            </w:r>
          </w:p>
        </w:tc>
        <w:tc>
          <w:tcPr>
            <w:tcW w:type="dxa" w:w="2592"/>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تشغيل الطباعة</w:t>
            </w:r>
          </w:p>
        </w:tc>
        <w:tc>
          <w:tcPr>
            <w:tcW w:type="dxa" w:w="55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الطلبات، الحالات، الملاحظات، الملفات المحمية</w:t>
            </w:r>
          </w:p>
        </w:tc>
      </w:tr>
      <w:tr>
        <w:tc>
          <w:tcPr>
            <w:tcW w:type="dxa" w:w="1944"/>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support_staff</w:t>
            </w:r>
          </w:p>
        </w:tc>
        <w:tc>
          <w:tcPr>
            <w:tcW w:type="dxa" w:w="259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الدعم الفني</w:t>
            </w:r>
          </w:p>
        </w:tc>
        <w:tc>
          <w:tcPr>
            <w:tcW w:type="dxa" w:w="55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التذاكر، الردود، التعيين والحالات</w:t>
            </w:r>
          </w:p>
        </w:tc>
      </w:tr>
      <w:tr>
        <w:tc>
          <w:tcPr>
            <w:tcW w:type="dxa" w:w="1944"/>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content_manager</w:t>
            </w:r>
          </w:p>
        </w:tc>
        <w:tc>
          <w:tcPr>
            <w:tcW w:type="dxa" w:w="2592"/>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إدارة المحتوى</w:t>
            </w:r>
          </w:p>
        </w:tc>
        <w:tc>
          <w:tcPr>
            <w:tcW w:type="dxa" w:w="55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الملفات والإعلانات حسب السياسة</w:t>
            </w:r>
          </w:p>
        </w:tc>
      </w:tr>
      <w:tr>
        <w:tc>
          <w:tcPr>
            <w:tcW w:type="dxa" w:w="1944"/>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student</w:t>
            </w:r>
          </w:p>
        </w:tc>
        <w:tc>
          <w:tcPr>
            <w:tcW w:type="dxa" w:w="259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طالب موثق/قيد التوثيق</w:t>
            </w:r>
          </w:p>
        </w:tc>
        <w:tc>
          <w:tcPr>
            <w:tcW w:type="dxa" w:w="55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المحتوى المؤهل، الشات، الطباعة، الدعم</w:t>
            </w:r>
          </w:p>
        </w:tc>
      </w:tr>
      <w:tr>
        <w:tc>
          <w:tcPr>
            <w:tcW w:type="dxa" w:w="1944"/>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normal_user</w:t>
            </w:r>
          </w:p>
        </w:tc>
        <w:tc>
          <w:tcPr>
            <w:tcW w:type="dxa" w:w="2592"/>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مستخدم خدمات عامة</w:t>
            </w:r>
          </w:p>
        </w:tc>
        <w:tc>
          <w:tcPr>
            <w:tcW w:type="dxa" w:w="5544"/>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الميزات العامة المسموحة فقط</w:t>
            </w:r>
          </w:p>
        </w:tc>
      </w:tr>
    </w:tbl>
    <w:p>
      <w:pPr>
        <w:spacing w:after="40"/>
      </w:pPr>
    </w:p>
    <w:p>
      <w:pPr>
        <w:pStyle w:val="Heading2"/>
        <w:keepNext/>
        <w:bidi w:val="1"/>
        <w:spacing w:before="160" w:after="120"/>
        <w:jc w:val="right"/>
      </w:pPr>
      <w:r>
        <w:rPr>
          <w:rFonts w:ascii="Noto Sans Arabic" w:hAnsi="Noto Sans Arabic" w:cs="Noto Sans Arabic"/>
          <w:b/>
          <w:color w:val="3510A3"/>
        </w:rPr>
        <w:t>Capabilities الأساسية</w:t>
      </w:r>
    </w:p>
    <w:tbl>
      <w:tblPr>
        <w:tblStyle w:val="TableGrid"/>
        <w:tblW w:type="auto" w:w="0"/>
        <w:jc w:val="center"/>
        <w:tblLook w:firstColumn="1" w:firstRow="1" w:lastColumn="0" w:lastRow="0" w:noHBand="0" w:noVBand="1" w:val="04A0"/>
        <w:bidiVisual w:val="1"/>
      </w:tblPr>
      <w:tblGrid>
        <w:gridCol w:w="5141"/>
        <w:gridCol w:w="5141"/>
      </w:tblGrid>
      <w:tr>
        <w:trPr>
          <w:tblHeader w:val="true"/>
        </w:trPr>
        <w:tc>
          <w:tcPr>
            <w:tcW w:type="dxa" w:w="288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المجال</w:t>
            </w:r>
          </w:p>
        </w:tc>
        <w:tc>
          <w:tcPr>
            <w:tcW w:type="dxa" w:w="720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القدرات</w:t>
            </w:r>
          </w:p>
        </w:tc>
      </w:tr>
      <w:tr>
        <w:tc>
          <w:tcPr>
            <w:tcW w:type="dxa" w:w="288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Dashboard</w:t>
            </w:r>
          </w:p>
        </w:tc>
        <w:tc>
          <w:tcPr>
            <w:tcW w:type="dxa" w:w="72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الدخول إلى لوحة العمليات</w:t>
            </w:r>
          </w:p>
        </w:tc>
      </w:tr>
      <w:tr>
        <w:tc>
          <w:tcPr>
            <w:tcW w:type="dxa" w:w="288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Users</w:t>
            </w:r>
          </w:p>
        </w:tc>
        <w:tc>
          <w:tcPr>
            <w:tcW w:type="dxa" w:w="720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إدارة المستخدمين والأدوار والاستثناءات</w:t>
            </w:r>
          </w:p>
        </w:tc>
      </w:tr>
      <w:tr>
        <w:tc>
          <w:tcPr>
            <w:tcW w:type="dxa" w:w="288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Academic</w:t>
            </w:r>
          </w:p>
        </w:tc>
        <w:tc>
          <w:tcPr>
            <w:tcW w:type="dxa" w:w="72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إدارة الجامعات والكليات والمواد</w:t>
            </w:r>
          </w:p>
        </w:tc>
      </w:tr>
      <w:tr>
        <w:tc>
          <w:tcPr>
            <w:tcW w:type="dxa" w:w="288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Verification</w:t>
            </w:r>
          </w:p>
        </w:tc>
        <w:tc>
          <w:tcPr>
            <w:tcW w:type="dxa" w:w="720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مراجعة التوثيق والبطاقات</w:t>
            </w:r>
          </w:p>
        </w:tc>
      </w:tr>
      <w:tr>
        <w:tc>
          <w:tcPr>
            <w:tcW w:type="dxa" w:w="288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Groups</w:t>
            </w:r>
          </w:p>
        </w:tc>
        <w:tc>
          <w:tcPr>
            <w:tcW w:type="dxa" w:w="72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إدارة الغروبات والعضويات</w:t>
            </w:r>
          </w:p>
        </w:tc>
      </w:tr>
      <w:tr>
        <w:tc>
          <w:tcPr>
            <w:tcW w:type="dxa" w:w="288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External Channels</w:t>
            </w:r>
          </w:p>
        </w:tc>
        <w:tc>
          <w:tcPr>
            <w:tcW w:type="dxa" w:w="720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إدارة وفتح القنوات المساندة</w:t>
            </w:r>
          </w:p>
        </w:tc>
      </w:tr>
      <w:tr>
        <w:tc>
          <w:tcPr>
            <w:tcW w:type="dxa" w:w="288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Files</w:t>
            </w:r>
          </w:p>
        </w:tc>
        <w:tc>
          <w:tcPr>
            <w:tcW w:type="dxa" w:w="72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رفع الملفات وإدارة الوصول</w:t>
            </w:r>
          </w:p>
        </w:tc>
      </w:tr>
      <w:tr>
        <w:tc>
          <w:tcPr>
            <w:tcW w:type="dxa" w:w="288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Printing</w:t>
            </w:r>
          </w:p>
        </w:tc>
        <w:tc>
          <w:tcPr>
            <w:tcW w:type="dxa" w:w="720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التسعير والطلبات</w:t>
            </w:r>
          </w:p>
        </w:tc>
      </w:tr>
      <w:tr>
        <w:tc>
          <w:tcPr>
            <w:tcW w:type="dxa" w:w="288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Support</w:t>
            </w:r>
          </w:p>
        </w:tc>
        <w:tc>
          <w:tcPr>
            <w:tcW w:type="dxa" w:w="72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التذاكر والردود</w:t>
            </w:r>
          </w:p>
        </w:tc>
      </w:tr>
      <w:tr>
        <w:tc>
          <w:tcPr>
            <w:tcW w:type="dxa" w:w="288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Announcements</w:t>
            </w:r>
          </w:p>
        </w:tc>
        <w:tc>
          <w:tcPr>
            <w:tcW w:type="dxa" w:w="720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الإعلانات والاستهداف</w:t>
            </w:r>
          </w:p>
        </w:tc>
      </w:tr>
      <w:tr>
        <w:tc>
          <w:tcPr>
            <w:tcW w:type="dxa" w:w="288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Audit</w:t>
            </w:r>
          </w:p>
        </w:tc>
        <w:tc>
          <w:tcPr>
            <w:tcW w:type="dxa" w:w="72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عرض سجل العمليات</w:t>
            </w:r>
          </w:p>
        </w:tc>
      </w:tr>
      <w:tr>
        <w:tc>
          <w:tcPr>
            <w:tcW w:type="dxa" w:w="288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Feedback</w:t>
            </w:r>
          </w:p>
        </w:tc>
        <w:tc>
          <w:tcPr>
            <w:tcW w:type="dxa" w:w="720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إدارة الاقتراحات والتحليلات</w:t>
            </w:r>
          </w:p>
        </w:tc>
      </w:tr>
    </w:tbl>
    <w:p>
      <w:pPr>
        <w:spacing w:after="40"/>
      </w:pPr>
    </w:p>
    <w:p>
      <w:pPr>
        <w:bidi w:val="1"/>
        <w:spacing w:after="100" w:line="283" w:lineRule="auto"/>
        <w:jc w:val="right"/>
      </w:pPr>
      <w:r>
        <w:rPr>
          <w:rFonts w:ascii="Noto Sans Arabic" w:hAnsi="Noto Sans Arabic" w:cs="Noto Sans Arabic" w:eastAsia="Noto Sans Arabic"/>
          <w:b w:val="0"/>
        </w:rPr>
        <w:t>القاعدة التنفيذية: إخفاء عنصر من الواجهة ليس صلاحية. كل Endpoint وخدمة تحقق من Capability الفعلية، والـDeny override يتقدم على Allow عندما توجد سياسة تعارض.</w:t>
      </w:r>
    </w:p>
    <w:p>
      <w:pPr>
        <w:pStyle w:val="Heading1"/>
        <w:keepNext/>
        <w:bidi w:val="1"/>
        <w:spacing w:before="260" w:after="120"/>
        <w:jc w:val="right"/>
      </w:pPr>
      <w:r>
        <w:rPr>
          <w:rFonts w:ascii="Noto Sans Arabic" w:hAnsi="Noto Sans Arabic" w:cs="Noto Sans Arabic"/>
          <w:b/>
          <w:color w:val="001B72"/>
        </w:rPr>
        <w:t>7  توثيق الطالب وحماية البطاقة</w:t>
      </w:r>
    </w:p>
    <w:p>
      <w:pPr>
        <w:bidi w:val="1"/>
        <w:spacing w:after="100" w:line="283" w:lineRule="auto"/>
        <w:jc w:val="right"/>
      </w:pPr>
      <w:r>
        <w:rPr>
          <w:rFonts w:ascii="Noto Sans Arabic" w:hAnsi="Noto Sans Arabic" w:cs="Noto Sans Arabic" w:eastAsia="Noto Sans Arabic"/>
          <w:b w:val="0"/>
        </w:rPr>
        <w:t>تم توحيد رحلة التوثيق حتى لا تتحول حالة الطالب إلى Pending دون وجود طلب يمكن مراجعته. إنشاء الطالب ينتج ملفًا Academic Profile بحالة Incomplete، ولا ينتقل إلى Pending إلا عند إنشاء VerificationRequest فعلي.</w:t>
      </w:r>
    </w:p>
    <w:tbl>
      <w:tblPr>
        <w:tblStyle w:val="TableGrid"/>
        <w:tblW w:type="auto" w:w="0"/>
        <w:jc w:val="center"/>
        <w:tblLook w:firstColumn="1" w:firstRow="1" w:lastColumn="0" w:lastRow="0" w:noHBand="0" w:noVBand="1" w:val="04A0"/>
        <w:bidiVisual w:val="1"/>
      </w:tblPr>
      <w:tblGrid>
        <w:gridCol w:w="3427"/>
        <w:gridCol w:w="3427"/>
        <w:gridCol w:w="3427"/>
      </w:tblGrid>
      <w:tr>
        <w:trPr>
          <w:tblHeader w:val="true"/>
        </w:trPr>
        <w:tc>
          <w:tcPr>
            <w:tcW w:type="dxa" w:w="1944"/>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المرحلة</w:t>
            </w:r>
          </w:p>
        </w:tc>
        <w:tc>
          <w:tcPr>
            <w:tcW w:type="dxa" w:w="2232"/>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الحالة</w:t>
            </w:r>
          </w:p>
        </w:tc>
        <w:tc>
          <w:tcPr>
            <w:tcW w:type="dxa" w:w="576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الضوابط</w:t>
            </w:r>
          </w:p>
        </w:tc>
      </w:tr>
      <w:tr>
        <w:tc>
          <w:tcPr>
            <w:tcW w:type="dxa" w:w="1944"/>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إنشاء الحساب</w:t>
            </w:r>
          </w:p>
        </w:tc>
        <w:tc>
          <w:tcPr>
            <w:tcW w:type="dxa" w:w="2232"/>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incomplete</w:t>
            </w:r>
          </w:p>
        </w:tc>
        <w:tc>
          <w:tcPr>
            <w:tcW w:type="dxa" w:w="576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لا يوجد رفع بطاقة ضمن التسجيل الأساسي</w:t>
            </w:r>
          </w:p>
        </w:tc>
      </w:tr>
      <w:tr>
        <w:tc>
          <w:tcPr>
            <w:tcW w:type="dxa" w:w="1944"/>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إرسال الطلب</w:t>
            </w:r>
          </w:p>
        </w:tc>
        <w:tc>
          <w:tcPr>
            <w:tcW w:type="dxa" w:w="223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pending</w:t>
            </w:r>
          </w:p>
        </w:tc>
        <w:tc>
          <w:tcPr>
            <w:tcW w:type="dxa" w:w="576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طلب واحد نشط لكل طالب، رفع محمي وفحص نوع/حجم</w:t>
            </w:r>
          </w:p>
        </w:tc>
      </w:tr>
      <w:tr>
        <w:tc>
          <w:tcPr>
            <w:tcW w:type="dxa" w:w="1944"/>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المراجعة</w:t>
            </w:r>
          </w:p>
        </w:tc>
        <w:tc>
          <w:tcPr>
            <w:tcW w:type="dxa" w:w="2232"/>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pending</w:t>
            </w:r>
          </w:p>
        </w:tc>
        <w:tc>
          <w:tcPr>
            <w:tcW w:type="dxa" w:w="576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المراجع لا يراجع طلبه، وبطاقة بتذكرة قصيرة</w:t>
            </w:r>
          </w:p>
        </w:tc>
      </w:tr>
      <w:tr>
        <w:tc>
          <w:tcPr>
            <w:tcW w:type="dxa" w:w="1944"/>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القبول</w:t>
            </w:r>
          </w:p>
        </w:tc>
        <w:tc>
          <w:tcPr>
            <w:tcW w:type="dxa" w:w="223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approved</w:t>
            </w:r>
          </w:p>
        </w:tc>
        <w:tc>
          <w:tcPr>
            <w:tcW w:type="dxa" w:w="576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Transaction وتحديث الملف والطلب وإشعار وتدقيق</w:t>
            </w:r>
          </w:p>
        </w:tc>
      </w:tr>
      <w:tr>
        <w:tc>
          <w:tcPr>
            <w:tcW w:type="dxa" w:w="1944"/>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رفض/تحديث</w:t>
            </w:r>
          </w:p>
        </w:tc>
        <w:tc>
          <w:tcPr>
            <w:tcW w:type="dxa" w:w="2232"/>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rejected / needs_update</w:t>
            </w:r>
          </w:p>
        </w:tc>
        <w:tc>
          <w:tcPr>
            <w:tcW w:type="dxa" w:w="576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سبب إلزامي وإشعار وإمكانية إعادة الإرسال</w:t>
            </w:r>
          </w:p>
        </w:tc>
      </w:tr>
      <w:tr>
        <w:tc>
          <w:tcPr>
            <w:tcW w:type="dxa" w:w="1944"/>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الاحتفاظ</w:t>
            </w:r>
          </w:p>
        </w:tc>
        <w:tc>
          <w:tcPr>
            <w:tcW w:type="dxa" w:w="223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terminal</w:t>
            </w:r>
          </w:p>
        </w:tc>
        <w:tc>
          <w:tcPr>
            <w:tcW w:type="dxa" w:w="576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حذف البطاقة بعد المدة وفق سياسة Retention</w:t>
            </w:r>
          </w:p>
        </w:tc>
      </w:tr>
    </w:tbl>
    <w:p>
      <w:pPr>
        <w:spacing w:after="40"/>
      </w:pPr>
    </w:p>
    <w:p>
      <w:pPr>
        <w:pStyle w:val="ListBullet"/>
        <w:spacing w:after="50" w:line="269" w:lineRule="auto"/>
        <w:ind w:left="0"/>
        <w:bidi w:val="1"/>
        <w:jc w:val="right"/>
      </w:pPr>
      <w:r>
        <w:rPr>
          <w:rFonts w:ascii="Noto Sans Arabic" w:hAnsi="Noto Sans Arabic" w:cs="Noto Sans Arabic"/>
          <w:color w:val="172033"/>
          <w:sz w:val="20"/>
        </w:rPr>
        <w:t>الـSerializer لا يعيد رابط البطاقة؛ يعيد has_card_image فقط عند الحاجة.</w:t>
      </w:r>
    </w:p>
    <w:p>
      <w:pPr>
        <w:pStyle w:val="ListBullet"/>
        <w:spacing w:after="50" w:line="269" w:lineRule="auto"/>
        <w:ind w:left="0"/>
        <w:bidi w:val="1"/>
        <w:jc w:val="right"/>
      </w:pPr>
      <w:r>
        <w:rPr>
          <w:rFonts w:ascii="Noto Sans Arabic" w:hAnsi="Noto Sans Arabic" w:cs="Noto Sans Arabic"/>
          <w:color w:val="172033"/>
          <w:sz w:val="20"/>
        </w:rPr>
        <w:t>المراجع يحصل على Card Access Ticket مؤقت، ثم Stream مع Cache-Control: no-store.</w:t>
      </w:r>
    </w:p>
    <w:p>
      <w:pPr>
        <w:pStyle w:val="ListBullet"/>
        <w:spacing w:after="50" w:line="269" w:lineRule="auto"/>
        <w:ind w:left="0"/>
        <w:bidi w:val="1"/>
        <w:jc w:val="right"/>
      </w:pPr>
      <w:r>
        <w:rPr>
          <w:rFonts w:ascii="Noto Sans Arabic" w:hAnsi="Noto Sans Arabic" w:cs="Noto Sans Arabic"/>
          <w:color w:val="172033"/>
          <w:sz w:val="20"/>
        </w:rPr>
        <w:t>قيد قاعدة بيانات يمنع أكثر من طلب Pending لنفس الطالب.</w:t>
      </w:r>
    </w:p>
    <w:p>
      <w:pPr>
        <w:pStyle w:val="ListBullet"/>
        <w:spacing w:after="50" w:line="269" w:lineRule="auto"/>
        <w:ind w:left="0"/>
        <w:bidi w:val="1"/>
        <w:jc w:val="right"/>
      </w:pPr>
      <w:r>
        <w:rPr>
          <w:rFonts w:ascii="Noto Sans Arabic" w:hAnsi="Noto Sans Arabic" w:cs="Noto Sans Arabic"/>
          <w:color w:val="172033"/>
          <w:sz w:val="20"/>
        </w:rPr>
        <w:t>مهمة purge_expired_sensitive_data تحذف البطاقات بعد فترة الاحتفاظ وتوثق أخطاء التخزين.</w:t>
      </w:r>
    </w:p>
    <w:p>
      <w:pPr>
        <w:pStyle w:val="Heading1"/>
        <w:keepNext/>
        <w:bidi w:val="1"/>
        <w:spacing w:before="260" w:after="120"/>
        <w:jc w:val="right"/>
      </w:pPr>
      <w:r>
        <w:rPr>
          <w:rFonts w:ascii="Noto Sans Arabic" w:hAnsi="Noto Sans Arabic" w:cs="Noto Sans Arabic"/>
          <w:b/>
          <w:color w:val="001B72"/>
        </w:rPr>
        <w:t>8  الغروبات وإخفاء رابط واتساب</w:t>
      </w:r>
    </w:p>
    <w:p>
      <w:pPr>
        <w:bidi w:val="1"/>
        <w:spacing w:after="100" w:line="283" w:lineRule="auto"/>
        <w:jc w:val="right"/>
      </w:pPr>
      <w:r>
        <w:rPr>
          <w:rFonts w:ascii="Noto Sans Arabic" w:hAnsi="Noto Sans Arabic" w:cs="Noto Sans Arabic" w:eastAsia="Noto Sans Arabic"/>
          <w:b w:val="0"/>
        </w:rPr>
        <w:t>تم تحويل رابط واتساب من حقل مكشوف إلى قناة خارجية مشفرة في قاعدة البيانات. لا يُعاد الرابط في استجابة الغروب العامة؛ يظهر فقط مؤشر has_whatsapp_channel. المستخدم المؤهل يطلب تذكرة قصيرة العمر، ثم يفتح رابط Redirect مدقق ومحدود الاستخدام.</w:t>
      </w:r>
    </w:p>
    <w:tbl>
      <w:tblPr>
        <w:tblStyle w:val="TableGrid"/>
        <w:tblW w:type="auto" w:w="0"/>
        <w:jc w:val="center"/>
        <w:tblLook w:firstColumn="1" w:firstRow="1" w:lastColumn="0" w:lastRow="0" w:noHBand="0" w:noVBand="1" w:val="04A0"/>
        <w:bidiVisual w:val="1"/>
      </w:tblPr>
      <w:tblGrid>
        <w:gridCol w:w="3427"/>
        <w:gridCol w:w="3427"/>
        <w:gridCol w:w="3427"/>
      </w:tblGrid>
      <w:tr>
        <w:trPr>
          <w:tblHeader w:val="true"/>
        </w:trPr>
        <w:tc>
          <w:tcPr>
            <w:tcW w:type="dxa" w:w="180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الخطوة</w:t>
            </w:r>
          </w:p>
        </w:tc>
        <w:tc>
          <w:tcPr>
            <w:tcW w:type="dxa" w:w="3168"/>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ما يراه العميل</w:t>
            </w:r>
          </w:p>
        </w:tc>
        <w:tc>
          <w:tcPr>
            <w:tcW w:type="dxa" w:w="4968"/>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ما يفعله الباك</w:t>
            </w:r>
          </w:p>
        </w:tc>
      </w:tr>
      <w:tr>
        <w:tc>
          <w:tcPr>
            <w:tcW w:type="dxa" w:w="1800"/>
            <w:tcMar>
              <w:top w:w="95" w:type="dxa"/>
              <w:start w:w="105" w:type="dxa"/>
              <w:bottom w:w="95" w:type="dxa"/>
              <w:end w:w="105" w:type="dxa"/>
            </w:tcMar>
            <w:vAlign w:val="center"/>
          </w:tcPr>
          <w:p>
            <w:pPr>
              <w:bidi w:val="1"/>
              <w:jc w:val="right"/>
            </w:pPr>
            <w:r>
              <w:rPr>
                <w:rFonts w:ascii="Noto Sans Arabic" w:hAnsi="Noto Sans Arabic" w:cs="Noto Sans Arabic"/>
                <w:b/>
                <w:color w:val="172033"/>
                <w:sz w:val="18"/>
              </w:rPr>
              <w:t>عرض الغروب</w:t>
            </w:r>
          </w:p>
        </w:tc>
        <w:tc>
          <w:tcPr>
            <w:tcW w:type="dxa" w:w="3168"/>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has_whatsapp_channel: true/false</w:t>
            </w:r>
          </w:p>
        </w:tc>
        <w:tc>
          <w:tcPr>
            <w:tcW w:type="dxa" w:w="4968"/>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لا يفك التشفير ولا يرجع الرابط</w:t>
            </w:r>
          </w:p>
        </w:tc>
      </w:tr>
      <w:tr>
        <w:tc>
          <w:tcPr>
            <w:tcW w:type="dxa" w:w="1800"/>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8"/>
              </w:rPr>
              <w:t>طلب الفتح</w:t>
            </w:r>
          </w:p>
        </w:tc>
        <w:tc>
          <w:tcPr>
            <w:tcW w:type="dxa" w:w="316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Endpoint whatsapp-ticket</w:t>
            </w:r>
          </w:p>
        </w:tc>
        <w:tc>
          <w:tcPr>
            <w:tcW w:type="dxa" w:w="496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يتحقق من العضوية والحظر والصلاحية ويصدر Token</w:t>
            </w:r>
          </w:p>
        </w:tc>
      </w:tr>
      <w:tr>
        <w:tc>
          <w:tcPr>
            <w:tcW w:type="dxa" w:w="1800"/>
            <w:tcMar>
              <w:top w:w="95" w:type="dxa"/>
              <w:start w:w="105" w:type="dxa"/>
              <w:bottom w:w="95" w:type="dxa"/>
              <w:end w:w="105" w:type="dxa"/>
            </w:tcMar>
            <w:vAlign w:val="center"/>
          </w:tcPr>
          <w:p>
            <w:pPr>
              <w:bidi w:val="1"/>
              <w:jc w:val="right"/>
            </w:pPr>
            <w:r>
              <w:rPr>
                <w:rFonts w:ascii="Noto Sans Arabic" w:hAnsi="Noto Sans Arabic" w:cs="Noto Sans Arabic"/>
                <w:b/>
                <w:color w:val="172033"/>
                <w:sz w:val="18"/>
              </w:rPr>
              <w:t>فتح القناة</w:t>
            </w:r>
          </w:p>
        </w:tc>
        <w:tc>
          <w:tcPr>
            <w:tcW w:type="dxa" w:w="3168"/>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URL داخلي مؤقت</w:t>
            </w:r>
          </w:p>
        </w:tc>
        <w:tc>
          <w:tcPr>
            <w:tcW w:type="dxa" w:w="4968"/>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يستهلك التذكرة ويدقق العملية ثم يعيد Redirect</w:t>
            </w:r>
          </w:p>
        </w:tc>
      </w:tr>
      <w:tr>
        <w:tc>
          <w:tcPr>
            <w:tcW w:type="dxa" w:w="1800"/>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8"/>
              </w:rPr>
              <w:t>الإدارة</w:t>
            </w:r>
          </w:p>
        </w:tc>
        <w:tc>
          <w:tcPr>
            <w:tcW w:type="dxa" w:w="316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حقل Write-only</w:t>
            </w:r>
          </w:p>
        </w:tc>
        <w:tc>
          <w:tcPr>
            <w:tcW w:type="dxa" w:w="496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يفحص HTTPS والدومينات الرسمية ويشفر الرابط</w:t>
            </w:r>
          </w:p>
        </w:tc>
      </w:tr>
      <w:tr>
        <w:tc>
          <w:tcPr>
            <w:tcW w:type="dxa" w:w="1800"/>
            <w:tcMar>
              <w:top w:w="95" w:type="dxa"/>
              <w:start w:w="105" w:type="dxa"/>
              <w:bottom w:w="95" w:type="dxa"/>
              <w:end w:w="105" w:type="dxa"/>
            </w:tcMar>
            <w:vAlign w:val="center"/>
          </w:tcPr>
          <w:p>
            <w:pPr>
              <w:bidi w:val="1"/>
              <w:jc w:val="right"/>
            </w:pPr>
            <w:r>
              <w:rPr>
                <w:rFonts w:ascii="Noto Sans Arabic" w:hAnsi="Noto Sans Arabic" w:cs="Noto Sans Arabic"/>
                <w:b/>
                <w:color w:val="172033"/>
                <w:sz w:val="18"/>
              </w:rPr>
              <w:t>السجلات</w:t>
            </w:r>
          </w:p>
        </w:tc>
        <w:tc>
          <w:tcPr>
            <w:tcW w:type="dxa" w:w="3168"/>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لا يظهر الرابط</w:t>
            </w:r>
          </w:p>
        </w:tc>
        <w:tc>
          <w:tcPr>
            <w:tcW w:type="dxa" w:w="4968"/>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Redaction لقيم WhatsApp والقنوات الخارجية</w:t>
            </w:r>
          </w:p>
        </w:tc>
      </w:tr>
    </w:tbl>
    <w:p>
      <w:pPr>
        <w:spacing w:after="40"/>
      </w:pPr>
    </w:p>
    <w:tbl>
      <w:tblPr>
        <w:tblW w:type="auto" w:w="0"/>
        <w:jc w:val="center"/>
        <w:tblLook w:firstColumn="1" w:firstRow="1" w:lastColumn="0" w:lastRow="0" w:noHBand="0" w:noVBand="1" w:val="04A0"/>
        <w:bidiVisual w:val="1"/>
      </w:tblPr>
      <w:tblGrid>
        <w:gridCol w:w="10282"/>
      </w:tblGrid>
      <w:tr>
        <w:tc>
          <w:tcPr>
            <w:tcW w:type="dxa" w:w="10282"/>
            <w:shd w:fill="FFF4E5"/>
            <w:tcMar>
              <w:top w:w="160" w:type="dxa"/>
              <w:start w:w="180" w:type="dxa"/>
              <w:bottom w:w="160" w:type="dxa"/>
              <w:end w:w="180" w:type="dxa"/>
            </w:tcMar>
          </w:tcPr>
          <w:p>
            <w:pPr>
              <w:bidi w:val="1"/>
              <w:spacing w:line="278" w:lineRule="auto"/>
              <w:jc w:val="right"/>
            </w:pPr>
            <w:r>
              <w:rPr>
                <w:rFonts w:ascii="Noto Sans Arabic" w:hAnsi="Noto Sans Arabic" w:cs="Noto Sans Arabic"/>
                <w:b/>
                <w:color w:val="B45309"/>
                <w:sz w:val="22"/>
              </w:rPr>
              <w:t>حد تقني مهم</w:t>
              <w:br/>
            </w:r>
            <w:r>
              <w:rPr>
                <w:rFonts w:ascii="Noto Sans Arabic" w:hAnsi="Noto Sans Arabic" w:cs="Noto Sans Arabic"/>
                <w:color w:val="172033"/>
                <w:sz w:val="20"/>
              </w:rPr>
              <w:t>لا يمكن إخفاء الرابط النهائي عن المستخدم المصرح له بعد فتحه؛ المتصفح أو تطبيق واتساب يحتاج الوجهة. الحماية الواقعية هي إخفاؤه عن غير المؤهلين، تشفيره أثناء التخزين، عدم إرجاعه في APIs، عدم تسجيله، واستخدام تذكرة قصيرة ومدققة.</w:t>
            </w:r>
          </w:p>
        </w:tc>
      </w:tr>
    </w:tbl>
    <w:p>
      <w:pPr>
        <w:spacing w:after="20"/>
      </w:pPr>
    </w:p>
    <w:p>
      <w:pPr>
        <w:pStyle w:val="Heading1"/>
        <w:keepNext/>
        <w:bidi w:val="1"/>
        <w:spacing w:before="260" w:after="120"/>
        <w:jc w:val="right"/>
      </w:pPr>
      <w:r>
        <w:rPr>
          <w:rFonts w:ascii="Noto Sans Arabic" w:hAnsi="Noto Sans Arabic" w:cs="Noto Sans Arabic"/>
          <w:b/>
          <w:color w:val="001B72"/>
        </w:rPr>
        <w:t>9  حماية الملفات والمرفقات</w:t>
      </w:r>
    </w:p>
    <w:tbl>
      <w:tblPr>
        <w:tblStyle w:val="TableGrid"/>
        <w:tblW w:type="auto" w:w="0"/>
        <w:jc w:val="center"/>
        <w:tblLook w:firstColumn="1" w:firstRow="1" w:lastColumn="0" w:lastRow="0" w:noHBand="0" w:noVBand="1" w:val="04A0"/>
        <w:bidiVisual w:val="1"/>
      </w:tblPr>
      <w:tblGrid>
        <w:gridCol w:w="3427"/>
        <w:gridCol w:w="3427"/>
        <w:gridCol w:w="3427"/>
      </w:tblGrid>
      <w:tr>
        <w:trPr>
          <w:tblHeader w:val="true"/>
        </w:trPr>
        <w:tc>
          <w:tcPr>
            <w:tcW w:type="dxa" w:w="2088"/>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المورد</w:t>
            </w:r>
          </w:p>
        </w:tc>
        <w:tc>
          <w:tcPr>
            <w:tcW w:type="dxa" w:w="3528"/>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الحماية المضافة</w:t>
            </w:r>
          </w:p>
        </w:tc>
        <w:tc>
          <w:tcPr>
            <w:tcW w:type="dxa" w:w="4464"/>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سياسة الوصول</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8"/>
              </w:rPr>
              <w:t>ملفات المواد</w:t>
            </w:r>
          </w:p>
        </w:tc>
        <w:tc>
          <w:tcPr>
            <w:tcW w:type="dxa" w:w="3528"/>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FileAccessTicket + Protected Stream</w:t>
            </w:r>
          </w:p>
        </w:tc>
        <w:tc>
          <w:tcPr>
            <w:tcW w:type="dxa" w:w="446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أهلية أكاديمية/عضوية/دور</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8"/>
              </w:rPr>
              <w:t>بطاقة الطالب</w:t>
            </w:r>
          </w:p>
        </w:tc>
        <w:tc>
          <w:tcPr>
            <w:tcW w:type="dxa" w:w="352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VerificationCardAccessTicket</w:t>
            </w:r>
          </w:p>
        </w:tc>
        <w:tc>
          <w:tcPr>
            <w:tcW w:type="dxa" w:w="446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مراجع مخول فقط</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8"/>
              </w:rPr>
              <w:t>ملف الطباعة</w:t>
            </w:r>
          </w:p>
        </w:tc>
        <w:tc>
          <w:tcPr>
            <w:tcW w:type="dxa" w:w="3528"/>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PrintItemAccessTicket</w:t>
            </w:r>
          </w:p>
        </w:tc>
        <w:tc>
          <w:tcPr>
            <w:tcW w:type="dxa" w:w="446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صاحب الطلب أو فريق الطباعة</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8"/>
              </w:rPr>
              <w:t>مرفق الدعم</w:t>
            </w:r>
          </w:p>
        </w:tc>
        <w:tc>
          <w:tcPr>
            <w:tcW w:type="dxa" w:w="352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SupportAttachmentAccessTicket</w:t>
            </w:r>
          </w:p>
        </w:tc>
        <w:tc>
          <w:tcPr>
            <w:tcW w:type="dxa" w:w="446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صاحب التذكرة أو فريق الدعم</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8"/>
              </w:rPr>
              <w:t>مرفق الشات</w:t>
            </w:r>
          </w:p>
        </w:tc>
        <w:tc>
          <w:tcPr>
            <w:tcW w:type="dxa" w:w="3528"/>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MessageAttachmentAccessTicket</w:t>
            </w:r>
          </w:p>
        </w:tc>
        <w:tc>
          <w:tcPr>
            <w:tcW w:type="dxa" w:w="446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عضو Approved في الغروب</w:t>
            </w:r>
          </w:p>
        </w:tc>
      </w:tr>
    </w:tbl>
    <w:p>
      <w:pPr>
        <w:spacing w:after="40"/>
      </w:pPr>
    </w:p>
    <w:p>
      <w:pPr>
        <w:pStyle w:val="ListBullet"/>
        <w:spacing w:after="50" w:line="269" w:lineRule="auto"/>
        <w:ind w:left="0"/>
        <w:bidi w:val="1"/>
        <w:jc w:val="right"/>
      </w:pPr>
      <w:r>
        <w:rPr>
          <w:rFonts w:ascii="Noto Sans Arabic" w:hAnsi="Noto Sans Arabic" w:cs="Noto Sans Arabic"/>
          <w:color w:val="172033"/>
          <w:sz w:val="20"/>
        </w:rPr>
        <w:t>عدم إرجاع URL التخزين الخام في Serializers الحساسة.</w:t>
      </w:r>
    </w:p>
    <w:p>
      <w:pPr>
        <w:pStyle w:val="ListBullet"/>
        <w:spacing w:after="50" w:line="269" w:lineRule="auto"/>
        <w:ind w:left="0"/>
        <w:bidi w:val="1"/>
        <w:jc w:val="right"/>
      </w:pPr>
      <w:r>
        <w:rPr>
          <w:rFonts w:ascii="Noto Sans Arabic" w:hAnsi="Noto Sans Arabic" w:cs="Noto Sans Arabic"/>
          <w:color w:val="172033"/>
          <w:sz w:val="20"/>
        </w:rPr>
        <w:t>فحص الامتداد وMIME والتوقيع وحجم PDF/الصور قبل القبول.</w:t>
      </w:r>
    </w:p>
    <w:p>
      <w:pPr>
        <w:pStyle w:val="ListBullet"/>
        <w:spacing w:after="50" w:line="269" w:lineRule="auto"/>
        <w:ind w:left="0"/>
        <w:bidi w:val="1"/>
        <w:jc w:val="right"/>
      </w:pPr>
      <w:r>
        <w:rPr>
          <w:rFonts w:ascii="Noto Sans Arabic" w:hAnsi="Noto Sans Arabic" w:cs="Noto Sans Arabic"/>
          <w:color w:val="172033"/>
          <w:sz w:val="20"/>
        </w:rPr>
        <w:t>تذاكر ذات TTL واستخدامات محدودة، مع No-Store وContent-Disposition Inline.</w:t>
      </w:r>
    </w:p>
    <w:p>
      <w:pPr>
        <w:pStyle w:val="ListBullet"/>
        <w:spacing w:after="50" w:line="269" w:lineRule="auto"/>
        <w:ind w:left="0"/>
        <w:bidi w:val="1"/>
        <w:jc w:val="right"/>
      </w:pPr>
      <w:r>
        <w:rPr>
          <w:rFonts w:ascii="Noto Sans Arabic" w:hAnsi="Noto Sans Arabic" w:cs="Noto Sans Arabic"/>
          <w:color w:val="172033"/>
          <w:sz w:val="20"/>
        </w:rPr>
        <w:t>إعداد خاص لاستخدام S3 أو Cloudflare R2 كـPrivate Bucket في Production.</w:t>
      </w:r>
    </w:p>
    <w:p>
      <w:pPr>
        <w:pStyle w:val="ListBullet"/>
        <w:spacing w:after="50" w:line="269" w:lineRule="auto"/>
        <w:ind w:left="0"/>
        <w:bidi w:val="1"/>
        <w:jc w:val="right"/>
      </w:pPr>
      <w:r>
        <w:rPr>
          <w:rFonts w:ascii="Noto Sans Arabic" w:hAnsi="Noto Sans Arabic" w:cs="Noto Sans Arabic"/>
          <w:color w:val="172033"/>
          <w:sz w:val="20"/>
        </w:rPr>
        <w:t>حذف البيانات المؤقتة والتذاكر المنتهية بجدولة دورية.</w:t>
      </w:r>
    </w:p>
    <w:tbl>
      <w:tblPr>
        <w:tblW w:type="auto" w:w="0"/>
        <w:jc w:val="center"/>
        <w:tblLook w:firstColumn="1" w:firstRow="1" w:lastColumn="0" w:lastRow="0" w:noHBand="0" w:noVBand="1" w:val="04A0"/>
        <w:bidiVisual w:val="1"/>
      </w:tblPr>
      <w:tblGrid>
        <w:gridCol w:w="10282"/>
      </w:tblGrid>
      <w:tr>
        <w:tc>
          <w:tcPr>
            <w:tcW w:type="dxa" w:w="10282"/>
            <w:shd w:fill="FDECEC"/>
            <w:tcMar>
              <w:top w:w="160" w:type="dxa"/>
              <w:start w:w="180" w:type="dxa"/>
              <w:bottom w:w="160" w:type="dxa"/>
              <w:end w:w="180" w:type="dxa"/>
            </w:tcMar>
          </w:tcPr>
          <w:p>
            <w:pPr>
              <w:bidi w:val="1"/>
              <w:spacing w:line="278" w:lineRule="auto"/>
              <w:jc w:val="right"/>
            </w:pPr>
            <w:r>
              <w:rPr>
                <w:rFonts w:ascii="Noto Sans Arabic" w:hAnsi="Noto Sans Arabic" w:cs="Noto Sans Arabic"/>
                <w:b/>
                <w:color w:val="B42318"/>
                <w:sz w:val="22"/>
              </w:rPr>
              <w:t>متطلب خارجي متبقٍ</w:t>
              <w:br/>
            </w:r>
            <w:r>
              <w:rPr>
                <w:rFonts w:ascii="Noto Sans Arabic" w:hAnsi="Noto Sans Arabic" w:cs="Noto Sans Arabic"/>
                <w:color w:val="172033"/>
                <w:sz w:val="20"/>
              </w:rPr>
              <w:t>التحقق من MIME والتوقيع لا يساوي فحص Malware. قبل الإنتاج يجب ربط Quarantine/Scanning مثل ClamAV أو خدمة فحص ملفات، ومنع إتاحة الملف حتى نجاح الفحص.</w:t>
            </w:r>
          </w:p>
        </w:tc>
      </w:tr>
    </w:tbl>
    <w:p>
      <w:pPr>
        <w:spacing w:after="20"/>
      </w:pPr>
    </w:p>
    <w:p>
      <w:pPr>
        <w:pStyle w:val="Heading1"/>
        <w:keepNext/>
        <w:bidi w:val="1"/>
        <w:spacing w:before="260" w:after="120"/>
        <w:jc w:val="right"/>
      </w:pPr>
      <w:r>
        <w:rPr>
          <w:rFonts w:ascii="Noto Sans Arabic" w:hAnsi="Noto Sans Arabic" w:cs="Noto Sans Arabic"/>
          <w:b/>
          <w:color w:val="001B72"/>
        </w:rPr>
        <w:t>10  نظام الطباعة والتسعير</w:t>
      </w:r>
    </w:p>
    <w:p>
      <w:pPr>
        <w:bidi w:val="1"/>
        <w:spacing w:after="100" w:line="283" w:lineRule="auto"/>
        <w:jc w:val="right"/>
      </w:pPr>
      <w:r>
        <w:rPr>
          <w:rFonts w:ascii="Noto Sans Arabic" w:hAnsi="Noto Sans Arabic" w:cs="Noto Sans Arabic" w:eastAsia="Noto Sans Arabic"/>
          <w:b w:val="0"/>
        </w:rPr>
        <w:t>أصبحت الطباعة Domain مستقلًا لا يسمح للواجهة بتحديد السعر. يرسل المستخدم خيارات الطلب فقط، ويحسب Backend السعر من قواعد فعالة، ثم يحفظ Pricing Snapshot لضمان إمكانية تفسير المبلغ حتى بعد تعديل الأسعار.</w:t>
      </w:r>
    </w:p>
    <w:tbl>
      <w:tblPr>
        <w:tblStyle w:val="TableGrid"/>
        <w:tblW w:type="auto" w:w="0"/>
        <w:jc w:val="center"/>
        <w:tblLook w:firstColumn="1" w:firstRow="1" w:lastColumn="0" w:lastRow="0" w:noHBand="0" w:noVBand="1" w:val="04A0"/>
        <w:bidiVisual w:val="1"/>
      </w:tblPr>
      <w:tblGrid>
        <w:gridCol w:w="5141"/>
        <w:gridCol w:w="5141"/>
      </w:tblGrid>
      <w:tr>
        <w:trPr>
          <w:tblHeader w:val="true"/>
        </w:trPr>
        <w:tc>
          <w:tcPr>
            <w:tcW w:type="dxa" w:w="3096"/>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المكوّن</w:t>
            </w:r>
          </w:p>
        </w:tc>
        <w:tc>
          <w:tcPr>
            <w:tcW w:type="dxa" w:w="6984"/>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المسؤولية</w:t>
            </w:r>
          </w:p>
        </w:tc>
      </w:tr>
      <w:tr>
        <w:tc>
          <w:tcPr>
            <w:tcW w:type="dxa" w:w="309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PrintPricingRule</w:t>
            </w:r>
          </w:p>
        </w:tc>
        <w:tc>
          <w:tcPr>
            <w:tcW w:type="dxa" w:w="698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سعر الصفحة حسب اللون، الوجه، حجم الورق، والخدمة</w:t>
            </w:r>
          </w:p>
        </w:tc>
      </w:tr>
      <w:tr>
        <w:tc>
          <w:tcPr>
            <w:tcW w:type="dxa" w:w="309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BindingPrice</w:t>
            </w:r>
          </w:p>
        </w:tc>
        <w:tc>
          <w:tcPr>
            <w:tcW w:type="dxa" w:w="698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سعر التجليد/التسليك والخدمات الإضافية</w:t>
            </w:r>
          </w:p>
        </w:tc>
      </w:tr>
      <w:tr>
        <w:tc>
          <w:tcPr>
            <w:tcW w:type="dxa" w:w="309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PickupLocation</w:t>
            </w:r>
          </w:p>
        </w:tc>
        <w:tc>
          <w:tcPr>
            <w:tcW w:type="dxa" w:w="698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نقاط الاستلام الفعالة ومعلوماتها</w:t>
            </w:r>
          </w:p>
        </w:tc>
      </w:tr>
      <w:tr>
        <w:tc>
          <w:tcPr>
            <w:tcW w:type="dxa" w:w="309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Print Quote</w:t>
            </w:r>
          </w:p>
        </w:tc>
        <w:tc>
          <w:tcPr>
            <w:tcW w:type="dxa" w:w="698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حساب السعر قبل الطلب دون إنشاء Order</w:t>
            </w:r>
          </w:p>
        </w:tc>
      </w:tr>
      <w:tr>
        <w:tc>
          <w:tcPr>
            <w:tcW w:type="dxa" w:w="309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PrintOrder</w:t>
            </w:r>
          </w:p>
        </w:tc>
        <w:tc>
          <w:tcPr>
            <w:tcW w:type="dxa" w:w="698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الحالة والإجمالي والمستخدم ونقطة الاستلام</w:t>
            </w:r>
          </w:p>
        </w:tc>
      </w:tr>
      <w:tr>
        <w:tc>
          <w:tcPr>
            <w:tcW w:type="dxa" w:w="309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PrintOrderItem</w:t>
            </w:r>
          </w:p>
        </w:tc>
        <w:tc>
          <w:tcPr>
            <w:tcW w:type="dxa" w:w="698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الملف والنسخ والصفحات والخيارات</w:t>
            </w:r>
          </w:p>
        </w:tc>
      </w:tr>
      <w:tr>
        <w:tc>
          <w:tcPr>
            <w:tcW w:type="dxa" w:w="309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Pricing Snapshot</w:t>
            </w:r>
          </w:p>
        </w:tc>
        <w:tc>
          <w:tcPr>
            <w:tcW w:type="dxa" w:w="698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نسخة غير قابلة للتأويل من قواعد السعر المستخدمة</w:t>
            </w:r>
          </w:p>
        </w:tc>
      </w:tr>
      <w:tr>
        <w:tc>
          <w:tcPr>
            <w:tcW w:type="dxa" w:w="309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Status History</w:t>
            </w:r>
          </w:p>
        </w:tc>
        <w:tc>
          <w:tcPr>
            <w:tcW w:type="dxa" w:w="698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حالة قديمة/جديدة، ملاحظة عامة وملاحظة داخلية</w:t>
            </w:r>
          </w:p>
        </w:tc>
      </w:tr>
    </w:tbl>
    <w:p>
      <w:pPr>
        <w:spacing w:after="40"/>
      </w:pPr>
    </w:p>
    <w:p>
      <w:pPr>
        <w:pStyle w:val="Heading2"/>
        <w:keepNext/>
        <w:bidi w:val="1"/>
        <w:spacing w:before="160" w:after="120"/>
        <w:jc w:val="right"/>
      </w:pPr>
      <w:r>
        <w:rPr>
          <w:rFonts w:ascii="Noto Sans Arabic" w:hAnsi="Noto Sans Arabic" w:cs="Noto Sans Arabic"/>
          <w:b/>
          <w:color w:val="3510A3"/>
        </w:rPr>
        <w:t>منطق إنشاء الطلب</w:t>
      </w:r>
    </w:p>
    <w:p>
      <w:pPr>
        <w:pStyle w:val="ListNumber"/>
        <w:bidi w:val="1"/>
        <w:spacing w:after="60"/>
        <w:jc w:val="right"/>
      </w:pPr>
      <w:r>
        <w:rPr>
          <w:rFonts w:ascii="Noto Sans Arabic" w:hAnsi="Noto Sans Arabic" w:cs="Noto Sans Arabic"/>
          <w:sz w:val="20"/>
        </w:rPr>
        <w:t>العميل يرسل source_file أو ملفًا مرفوعًا، عدد النسخ والخيارات فقط.</w:t>
      </w:r>
    </w:p>
    <w:p>
      <w:pPr>
        <w:pStyle w:val="ListNumber"/>
        <w:bidi w:val="1"/>
        <w:spacing w:after="60"/>
        <w:jc w:val="right"/>
      </w:pPr>
      <w:r>
        <w:rPr>
          <w:rFonts w:ascii="Noto Sans Arabic" w:hAnsi="Noto Sans Arabic" w:cs="Noto Sans Arabic"/>
          <w:sz w:val="20"/>
        </w:rPr>
        <w:t>الخادم يستخرج/يثبت عدد الصفحات ويختار قواعد الأسعار الفعالة.</w:t>
      </w:r>
    </w:p>
    <w:p>
      <w:pPr>
        <w:pStyle w:val="ListNumber"/>
        <w:bidi w:val="1"/>
        <w:spacing w:after="60"/>
        <w:jc w:val="right"/>
      </w:pPr>
      <w:r>
        <w:rPr>
          <w:rFonts w:ascii="Noto Sans Arabic" w:hAnsi="Noto Sans Arabic" w:cs="Noto Sans Arabic"/>
          <w:sz w:val="20"/>
        </w:rPr>
        <w:t>الخادم يحسب المجموع ويعيد Quote، ثم يعيد الحساب عند إنشاء الطلب لمنع TOCTOU.</w:t>
      </w:r>
    </w:p>
    <w:p>
      <w:pPr>
        <w:pStyle w:val="ListNumber"/>
        <w:bidi w:val="1"/>
        <w:spacing w:after="60"/>
        <w:jc w:val="right"/>
      </w:pPr>
      <w:r>
        <w:rPr>
          <w:rFonts w:ascii="Noto Sans Arabic" w:hAnsi="Noto Sans Arabic" w:cs="Noto Sans Arabic"/>
          <w:sz w:val="20"/>
        </w:rPr>
        <w:t>يحفظ Snapshot والأسعار الجزئية داخل الطلب.</w:t>
      </w:r>
    </w:p>
    <w:p>
      <w:pPr>
        <w:pStyle w:val="ListNumber"/>
        <w:bidi w:val="1"/>
        <w:spacing w:after="60"/>
        <w:jc w:val="right"/>
      </w:pPr>
      <w:r>
        <w:rPr>
          <w:rFonts w:ascii="Noto Sans Arabic" w:hAnsi="Noto Sans Arabic" w:cs="Noto Sans Arabic"/>
          <w:sz w:val="20"/>
        </w:rPr>
        <w:t>التعيين مقيد بأدوار الطباعة/الإدارة، والانتقالات تخضع State Machine.</w:t>
      </w:r>
    </w:p>
    <w:p>
      <w:pPr>
        <w:pStyle w:val="ListNumber"/>
        <w:bidi w:val="1"/>
        <w:spacing w:after="60"/>
        <w:jc w:val="right"/>
      </w:pPr>
      <w:r>
        <w:rPr>
          <w:rFonts w:ascii="Noto Sans Arabic" w:hAnsi="Noto Sans Arabic" w:cs="Noto Sans Arabic"/>
          <w:sz w:val="20"/>
        </w:rPr>
        <w:t>الطالب لا يرى الملاحظات الداخلية ولا الموظف المعين أو تفاصيل تشغيلية غير لازمة.</w:t>
      </w:r>
    </w:p>
    <w:p>
      <w:pPr>
        <w:pStyle w:val="Heading1"/>
        <w:keepNext/>
        <w:bidi w:val="1"/>
        <w:spacing w:before="260" w:after="120"/>
        <w:jc w:val="right"/>
      </w:pPr>
      <w:r>
        <w:rPr>
          <w:rFonts w:ascii="Noto Sans Arabic" w:hAnsi="Noto Sans Arabic" w:cs="Noto Sans Arabic"/>
          <w:b/>
          <w:color w:val="001B72"/>
        </w:rPr>
        <w:t>11  الشات وWebSocket</w:t>
      </w:r>
    </w:p>
    <w:tbl>
      <w:tblPr>
        <w:tblStyle w:val="TableGrid"/>
        <w:tblW w:type="auto" w:w="0"/>
        <w:jc w:val="center"/>
        <w:tblLook w:firstColumn="1" w:firstRow="1" w:lastColumn="0" w:lastRow="0" w:noHBand="0" w:noVBand="1" w:val="04A0"/>
        <w:bidiVisual w:val="1"/>
      </w:tblPr>
      <w:tblGrid>
        <w:gridCol w:w="5141"/>
        <w:gridCol w:w="5141"/>
      </w:tblGrid>
      <w:tr>
        <w:trPr>
          <w:tblHeader w:val="true"/>
        </w:trPr>
        <w:tc>
          <w:tcPr>
            <w:tcW w:type="dxa" w:w="2232"/>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المجال</w:t>
            </w:r>
          </w:p>
        </w:tc>
        <w:tc>
          <w:tcPr>
            <w:tcW w:type="dxa" w:w="7848"/>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التحسين</w:t>
            </w:r>
          </w:p>
        </w:tc>
      </w:tr>
      <w:tr>
        <w:tc>
          <w:tcPr>
            <w:tcW w:type="dxa" w:w="2232"/>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المصادقة</w:t>
            </w:r>
          </w:p>
        </w:tc>
        <w:tc>
          <w:tcPr>
            <w:tcW w:type="dxa" w:w="7848"/>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Authorization Header مفضل، Query Token للتوافق القديم فقط</w:t>
            </w:r>
          </w:p>
        </w:tc>
      </w:tr>
      <w:tr>
        <w:tc>
          <w:tcPr>
            <w:tcW w:type="dxa" w:w="223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التفويض</w:t>
            </w:r>
          </w:p>
        </w:tc>
        <w:tc>
          <w:tcPr>
            <w:tcW w:type="dxa" w:w="784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التحقق من عضوية Approved وصلاحية الإرسال في كل اتصال/حدث</w:t>
            </w:r>
          </w:p>
        </w:tc>
      </w:tr>
      <w:tr>
        <w:tc>
          <w:tcPr>
            <w:tcW w:type="dxa" w:w="2232"/>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المدخلات</w:t>
            </w:r>
          </w:p>
        </w:tc>
        <w:tc>
          <w:tcPr>
            <w:tcW w:type="dxa" w:w="7848"/>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حد 16KB للحدث، رسالة 4000 حرف، منع System Message من العميل</w:t>
            </w:r>
          </w:p>
        </w:tc>
      </w:tr>
      <w:tr>
        <w:tc>
          <w:tcPr>
            <w:tcW w:type="dxa" w:w="223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المرفقات</w:t>
            </w:r>
          </w:p>
        </w:tc>
        <w:tc>
          <w:tcPr>
            <w:tcW w:type="dxa" w:w="784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تذكرة وصول محمية بدل الرابط الخام</w:t>
            </w:r>
          </w:p>
        </w:tc>
      </w:tr>
      <w:tr>
        <w:tc>
          <w:tcPr>
            <w:tcW w:type="dxa" w:w="2232"/>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Reply</w:t>
            </w:r>
          </w:p>
        </w:tc>
        <w:tc>
          <w:tcPr>
            <w:tcW w:type="dxa" w:w="7848"/>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يجب أن تكون الرسالة الأصلية داخل الغروب نفسه</w:t>
            </w:r>
          </w:p>
        </w:tc>
      </w:tr>
      <w:tr>
        <w:tc>
          <w:tcPr>
            <w:tcW w:type="dxa" w:w="223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Rate Limits</w:t>
            </w:r>
          </w:p>
        </w:tc>
        <w:tc>
          <w:tcPr>
            <w:tcW w:type="dxa" w:w="784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رسائل وTyping وبلاغات بحدود منفصلة</w:t>
            </w:r>
          </w:p>
        </w:tc>
      </w:tr>
      <w:tr>
        <w:tc>
          <w:tcPr>
            <w:tcW w:type="dxa" w:w="2232"/>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الأخطاء</w:t>
            </w:r>
          </w:p>
        </w:tc>
        <w:tc>
          <w:tcPr>
            <w:tcW w:type="dxa" w:w="7848"/>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رسالة عامة للعميل وتفاصيل في Logging فقط</w:t>
            </w:r>
          </w:p>
        </w:tc>
      </w:tr>
      <w:tr>
        <w:tc>
          <w:tcPr>
            <w:tcW w:type="dxa" w:w="223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البلاغات</w:t>
            </w:r>
          </w:p>
        </w:tc>
        <w:tc>
          <w:tcPr>
            <w:tcW w:type="dxa" w:w="784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قيد Unique لمنع التكرار</w:t>
            </w:r>
          </w:p>
        </w:tc>
      </w:tr>
    </w:tbl>
    <w:p>
      <w:pPr>
        <w:spacing w:after="40"/>
      </w:pPr>
    </w:p>
    <w:p>
      <w:pPr>
        <w:bidi w:val="1"/>
        <w:spacing w:after="100" w:line="283" w:lineRule="auto"/>
        <w:jc w:val="right"/>
      </w:pPr>
      <w:r>
        <w:rPr>
          <w:rFonts w:ascii="Noto Sans Arabic" w:hAnsi="Noto Sans Arabic" w:cs="Noto Sans Arabic" w:eastAsia="Noto Sans Arabic"/>
          <w:b w:val="0"/>
        </w:rPr>
        <w:t>قبل الإطلاق واسع النطاق يجب إجراء Load Test لاتصالات WebSocket المتزامنة، إعادة الاتصال، انتهاء JWT، Redis Failover، وحجم Fan-out لكل غروب.</w:t>
      </w:r>
    </w:p>
    <w:p>
      <w:pPr>
        <w:pStyle w:val="Heading1"/>
        <w:keepNext/>
        <w:bidi w:val="1"/>
        <w:spacing w:before="260" w:after="120"/>
        <w:jc w:val="right"/>
      </w:pPr>
      <w:r>
        <w:rPr>
          <w:rFonts w:ascii="Noto Sans Arabic" w:hAnsi="Noto Sans Arabic" w:cs="Noto Sans Arabic"/>
          <w:b/>
          <w:color w:val="001B72"/>
        </w:rPr>
        <w:t>12  الدعم والإشعارات والمهام الخلفية</w:t>
      </w:r>
    </w:p>
    <w:tbl>
      <w:tblPr>
        <w:tblStyle w:val="TableGrid"/>
        <w:tblW w:type="auto" w:w="0"/>
        <w:jc w:val="center"/>
        <w:tblLook w:firstColumn="1" w:firstRow="1" w:lastColumn="0" w:lastRow="0" w:noHBand="0" w:noVBand="1" w:val="04A0"/>
        <w:bidiVisual w:val="1"/>
      </w:tblPr>
      <w:tblGrid>
        <w:gridCol w:w="5141"/>
        <w:gridCol w:w="5141"/>
      </w:tblGrid>
      <w:tr>
        <w:trPr>
          <w:tblHeader w:val="true"/>
        </w:trPr>
        <w:tc>
          <w:tcPr>
            <w:tcW w:type="dxa" w:w="2376"/>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الوحدة</w:t>
            </w:r>
          </w:p>
        </w:tc>
        <w:tc>
          <w:tcPr>
            <w:tcW w:type="dxa" w:w="7704"/>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التحسينات</w:t>
            </w:r>
          </w:p>
        </w:tc>
      </w:tr>
      <w:tr>
        <w:tc>
          <w:tcPr>
            <w:tcW w:type="dxa" w:w="237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الدعم</w:t>
            </w:r>
          </w:p>
        </w:tc>
        <w:tc>
          <w:tcPr>
            <w:tcW w:type="dxa" w:w="770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فصل Mobile/Dashboard Serializers، إخفاء الحقول الداخلية، تقييد التعيين، انتقالات حالة</w:t>
            </w:r>
          </w:p>
        </w:tc>
      </w:tr>
      <w:tr>
        <w:tc>
          <w:tcPr>
            <w:tcW w:type="dxa" w:w="237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المرفقات</w:t>
            </w:r>
          </w:p>
        </w:tc>
        <w:tc>
          <w:tcPr>
            <w:tcW w:type="dxa" w:w="770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Upload Validation + Ticket Stream</w:t>
            </w:r>
          </w:p>
        </w:tc>
      </w:tr>
      <w:tr>
        <w:tc>
          <w:tcPr>
            <w:tcW w:type="dxa" w:w="237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الإشعارات</w:t>
            </w:r>
          </w:p>
        </w:tc>
        <w:tc>
          <w:tcPr>
            <w:tcW w:type="dxa" w:w="770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أنواع موسعة للطباعة والدعم والتقييم والشات</w:t>
            </w:r>
          </w:p>
        </w:tc>
      </w:tr>
      <w:tr>
        <w:tc>
          <w:tcPr>
            <w:tcW w:type="dxa" w:w="237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Device Tokens</w:t>
            </w:r>
          </w:p>
        </w:tc>
        <w:tc>
          <w:tcPr>
            <w:tcW w:type="dxa" w:w="770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Write-only مع Hint، تحديث last_used وعدم إعادتها خامًا</w:t>
            </w:r>
          </w:p>
        </w:tc>
      </w:tr>
      <w:tr>
        <w:tc>
          <w:tcPr>
            <w:tcW w:type="dxa" w:w="237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Push</w:t>
            </w:r>
          </w:p>
        </w:tc>
        <w:tc>
          <w:tcPr>
            <w:tcW w:type="dxa" w:w="770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Adapter لـExpo مع Timeout وعزل الفشل</w:t>
            </w:r>
          </w:p>
        </w:tc>
      </w:tr>
      <w:tr>
        <w:tc>
          <w:tcPr>
            <w:tcW w:type="dxa" w:w="237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Background Jobs</w:t>
            </w:r>
          </w:p>
        </w:tc>
        <w:tc>
          <w:tcPr>
            <w:tcW w:type="dxa" w:w="770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Celery + Redis وإرسال بعد transaction.on_commit</w:t>
            </w:r>
          </w:p>
        </w:tc>
      </w:tr>
    </w:tbl>
    <w:p>
      <w:pPr>
        <w:spacing w:after="40"/>
      </w:pPr>
    </w:p>
    <w:p>
      <w:pPr>
        <w:bidi w:val="1"/>
        <w:spacing w:after="100" w:line="283" w:lineRule="auto"/>
        <w:jc w:val="right"/>
      </w:pPr>
      <w:r>
        <w:rPr>
          <w:rFonts w:ascii="Noto Sans Arabic" w:hAnsi="Noto Sans Arabic" w:cs="Noto Sans Arabic" w:eastAsia="Noto Sans Arabic"/>
          <w:b w:val="0"/>
        </w:rPr>
        <w:t>تم تصميم Push بحيث لا يفشل الإجراء الأساسي عند تعطل مزود الإشعارات. يسجل الفشل للمراقبة ويستمر حفظ Notification الداخلي كمصدر موثوق للمستخدم.</w:t>
      </w:r>
    </w:p>
    <w:p>
      <w:pPr>
        <w:pStyle w:val="Heading1"/>
        <w:keepNext/>
        <w:bidi w:val="1"/>
        <w:spacing w:before="260" w:after="120"/>
        <w:jc w:val="right"/>
      </w:pPr>
      <w:r>
        <w:rPr>
          <w:rFonts w:ascii="Noto Sans Arabic" w:hAnsi="Noto Sans Arabic" w:cs="Noto Sans Arabic"/>
          <w:b/>
          <w:color w:val="001B72"/>
        </w:rPr>
        <w:t>13  نظام التقييم والاقتراحات</w:t>
      </w:r>
    </w:p>
    <w:p>
      <w:pPr>
        <w:bidi w:val="1"/>
        <w:spacing w:after="100" w:line="283" w:lineRule="auto"/>
        <w:jc w:val="right"/>
      </w:pPr>
      <w:r>
        <w:rPr>
          <w:rFonts w:ascii="Noto Sans Arabic" w:hAnsi="Noto Sans Arabic" w:cs="Noto Sans Arabic" w:eastAsia="Noto Sans Arabic"/>
          <w:b w:val="0"/>
        </w:rPr>
        <w:t>تمت إضافة تطبيق feedback كامل لتحويل استخدام التطبيق إلى بيانات تطوير قابلة للقياس. لا يُظهر التطبيق نافذة تقييم بعد كل نقرة؛ بل يطلب الرأي بعد نقاط قيمة وفق Cooldown وSampling حتى لا تتحول الميزة إلى إزعاج يفسد القياس.</w:t>
      </w:r>
    </w:p>
    <w:tbl>
      <w:tblPr>
        <w:tblStyle w:val="TableGrid"/>
        <w:tblW w:type="auto" w:w="0"/>
        <w:jc w:val="center"/>
        <w:tblLook w:firstColumn="1" w:firstRow="1" w:lastColumn="0" w:lastRow="0" w:noHBand="0" w:noVBand="1" w:val="04A0"/>
        <w:bidiVisual w:val="1"/>
      </w:tblPr>
      <w:tblGrid>
        <w:gridCol w:w="3427"/>
        <w:gridCol w:w="3427"/>
        <w:gridCol w:w="3427"/>
      </w:tblGrid>
      <w:tr>
        <w:trPr>
          <w:tblHeader w:val="true"/>
        </w:trPr>
        <w:tc>
          <w:tcPr>
            <w:tcW w:type="dxa" w:w="2088"/>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السياق</w:t>
            </w:r>
          </w:p>
        </w:tc>
        <w:tc>
          <w:tcPr>
            <w:tcW w:type="dxa" w:w="3456"/>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Action Key</w:t>
            </w:r>
          </w:p>
        </w:tc>
        <w:tc>
          <w:tcPr>
            <w:tcW w:type="dxa" w:w="4536"/>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وقت التقييم</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التسجيل</w:t>
            </w:r>
          </w:p>
        </w:tc>
        <w:tc>
          <w:tcPr>
            <w:tcW w:type="dxa" w:w="345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registration.completed</w:t>
            </w:r>
          </w:p>
        </w:tc>
        <w:tc>
          <w:tcPr>
            <w:tcW w:type="dxa" w:w="453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بعد اكتمال إنشاء الحساب والتحقق</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التوثيق</w:t>
            </w:r>
          </w:p>
        </w:tc>
        <w:tc>
          <w:tcPr>
            <w:tcW w:type="dxa" w:w="345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verification.submitted</w:t>
            </w:r>
          </w:p>
        </w:tc>
        <w:tc>
          <w:tcPr>
            <w:tcW w:type="dxa" w:w="453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بعد إرسال الطلب بنجاح</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قرار التوثيق</w:t>
            </w:r>
          </w:p>
        </w:tc>
        <w:tc>
          <w:tcPr>
            <w:tcW w:type="dxa" w:w="345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verification.reviewed</w:t>
            </w:r>
          </w:p>
        </w:tc>
        <w:tc>
          <w:tcPr>
            <w:tcW w:type="dxa" w:w="453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بعد مشاهدة قرار الإدارة</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المادة</w:t>
            </w:r>
          </w:p>
        </w:tc>
        <w:tc>
          <w:tcPr>
            <w:tcW w:type="dxa" w:w="345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subject.opened</w:t>
            </w:r>
          </w:p>
        </w:tc>
        <w:tc>
          <w:tcPr>
            <w:tcW w:type="dxa" w:w="453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بعد الوصول للمحتوى</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الغروب</w:t>
            </w:r>
          </w:p>
        </w:tc>
        <w:tc>
          <w:tcPr>
            <w:tcW w:type="dxa" w:w="345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group.joined</w:t>
            </w:r>
          </w:p>
        </w:tc>
        <w:tc>
          <w:tcPr>
            <w:tcW w:type="dxa" w:w="453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بعد اكتمال الانضمام</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الشات</w:t>
            </w:r>
          </w:p>
        </w:tc>
        <w:tc>
          <w:tcPr>
            <w:tcW w:type="dxa" w:w="345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chat.session.completed</w:t>
            </w:r>
          </w:p>
        </w:tc>
        <w:tc>
          <w:tcPr>
            <w:tcW w:type="dxa" w:w="453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بعد جلسة مفيدة لا بعد كل رسالة</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الملف</w:t>
            </w:r>
          </w:p>
        </w:tc>
        <w:tc>
          <w:tcPr>
            <w:tcW w:type="dxa" w:w="345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file.viewed</w:t>
            </w:r>
          </w:p>
        </w:tc>
        <w:tc>
          <w:tcPr>
            <w:tcW w:type="dxa" w:w="453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بعد مشاهدة فعلية</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عرض السعر</w:t>
            </w:r>
          </w:p>
        </w:tc>
        <w:tc>
          <w:tcPr>
            <w:tcW w:type="dxa" w:w="345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printing.quote.completed</w:t>
            </w:r>
          </w:p>
        </w:tc>
        <w:tc>
          <w:tcPr>
            <w:tcW w:type="dxa" w:w="453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بعد ظهور السعر</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طلب الطباعة</w:t>
            </w:r>
          </w:p>
        </w:tc>
        <w:tc>
          <w:tcPr>
            <w:tcW w:type="dxa" w:w="345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printing.order.created</w:t>
            </w:r>
          </w:p>
        </w:tc>
        <w:tc>
          <w:tcPr>
            <w:tcW w:type="dxa" w:w="453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بعد الإنشاء</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التسليم</w:t>
            </w:r>
          </w:p>
        </w:tc>
        <w:tc>
          <w:tcPr>
            <w:tcW w:type="dxa" w:w="345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printing.order.delivered</w:t>
            </w:r>
          </w:p>
        </w:tc>
        <w:tc>
          <w:tcPr>
            <w:tcW w:type="dxa" w:w="453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بعد استلام الطلب</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الدعم</w:t>
            </w:r>
          </w:p>
        </w:tc>
        <w:tc>
          <w:tcPr>
            <w:tcW w:type="dxa" w:w="345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support.ticket.resolved</w:t>
            </w:r>
          </w:p>
        </w:tc>
        <w:tc>
          <w:tcPr>
            <w:tcW w:type="dxa" w:w="453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بعد الحل</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واتساب</w:t>
            </w:r>
          </w:p>
        </w:tc>
        <w:tc>
          <w:tcPr>
            <w:tcW w:type="dxa" w:w="345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group.whatsapp.opened</w:t>
            </w:r>
          </w:p>
        </w:tc>
        <w:tc>
          <w:tcPr>
            <w:tcW w:type="dxa" w:w="453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بعد فتح القناة</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البحث</w:t>
            </w:r>
          </w:p>
        </w:tc>
        <w:tc>
          <w:tcPr>
            <w:tcW w:type="dxa" w:w="345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search.completed</w:t>
            </w:r>
          </w:p>
        </w:tc>
        <w:tc>
          <w:tcPr>
            <w:tcW w:type="dxa" w:w="4536"/>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بعد نتيجة مفيدة</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عام</w:t>
            </w:r>
          </w:p>
        </w:tc>
        <w:tc>
          <w:tcPr>
            <w:tcW w:type="dxa" w:w="345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app.general</w:t>
            </w:r>
          </w:p>
        </w:tc>
        <w:tc>
          <w:tcPr>
            <w:tcW w:type="dxa" w:w="453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دوريًا وفق السياسة</w:t>
            </w:r>
          </w:p>
        </w:tc>
      </w:tr>
    </w:tbl>
    <w:p>
      <w:pPr>
        <w:spacing w:after="40"/>
      </w:pPr>
    </w:p>
    <w:p>
      <w:pPr>
        <w:pStyle w:val="Heading2"/>
        <w:keepNext/>
        <w:bidi w:val="1"/>
        <w:spacing w:before="160" w:after="120"/>
        <w:jc w:val="right"/>
      </w:pPr>
      <w:r>
        <w:rPr>
          <w:rFonts w:ascii="Noto Sans Arabic" w:hAnsi="Noto Sans Arabic" w:cs="Noto Sans Arabic"/>
          <w:b/>
          <w:color w:val="3510A3"/>
        </w:rPr>
        <w:t>البيانات والخصوصية</w:t>
      </w:r>
    </w:p>
    <w:p>
      <w:pPr>
        <w:pStyle w:val="ListBullet"/>
        <w:spacing w:after="50" w:line="269" w:lineRule="auto"/>
        <w:ind w:left="0"/>
        <w:bidi w:val="1"/>
        <w:jc w:val="right"/>
      </w:pPr>
      <w:r>
        <w:rPr>
          <w:rFonts w:ascii="Noto Sans Arabic" w:hAnsi="Noto Sans Arabic" w:cs="Noto Sans Arabic"/>
          <w:color w:val="172033"/>
          <w:sz w:val="20"/>
        </w:rPr>
        <w:t>Rating من 1 إلى 5، تعليق اختياري، نوع الملاحظة: تقييم/اقتراح/مشكلة/شكوى/إشادة.</w:t>
      </w:r>
    </w:p>
    <w:p>
      <w:pPr>
        <w:pStyle w:val="ListBullet"/>
        <w:spacing w:after="50" w:line="269" w:lineRule="auto"/>
        <w:ind w:left="0"/>
        <w:bidi w:val="1"/>
        <w:jc w:val="right"/>
      </w:pPr>
      <w:r>
        <w:rPr>
          <w:rFonts w:ascii="Noto Sans Arabic" w:hAnsi="Noto Sans Arabic" w:cs="Noto Sans Arabic"/>
          <w:color w:val="172033"/>
          <w:sz w:val="20"/>
        </w:rPr>
        <w:t>ربط الملاحظة بالسياق وAction Key وObject ID والإصدار والمنصة واللغة.</w:t>
      </w:r>
    </w:p>
    <w:p>
      <w:pPr>
        <w:pStyle w:val="ListBullet"/>
        <w:spacing w:after="50" w:line="269" w:lineRule="auto"/>
        <w:ind w:left="0"/>
        <w:bidi w:val="1"/>
        <w:jc w:val="right"/>
      </w:pPr>
      <w:r>
        <w:rPr>
          <w:rFonts w:ascii="Noto Sans Arabic" w:hAnsi="Noto Sans Arabic" w:cs="Noto Sans Arabic"/>
          <w:color w:val="172033"/>
          <w:sz w:val="20"/>
        </w:rPr>
        <w:t>حظر كلمات المرور وOTP والتوكنات وروابط الملفات وبيانات البطاقة داخل metadata.</w:t>
      </w:r>
    </w:p>
    <w:p>
      <w:pPr>
        <w:pStyle w:val="ListBullet"/>
        <w:spacing w:after="50" w:line="269" w:lineRule="auto"/>
        <w:ind w:left="0"/>
        <w:bidi w:val="1"/>
        <w:jc w:val="right"/>
      </w:pPr>
      <w:r>
        <w:rPr>
          <w:rFonts w:ascii="Noto Sans Arabic" w:hAnsi="Noto Sans Arabic" w:cs="Noto Sans Arabic"/>
          <w:color w:val="172033"/>
          <w:sz w:val="20"/>
        </w:rPr>
        <w:t>قائمة اقتراحات عامة مجهولة لا تعرض user أو device أو metadata أو حقول العمل الداخلية.</w:t>
      </w:r>
    </w:p>
    <w:p>
      <w:pPr>
        <w:pStyle w:val="ListBullet"/>
        <w:spacing w:after="50" w:line="269" w:lineRule="auto"/>
        <w:ind w:left="0"/>
        <w:bidi w:val="1"/>
        <w:jc w:val="right"/>
      </w:pPr>
      <w:r>
        <w:rPr>
          <w:rFonts w:ascii="Noto Sans Arabic" w:hAnsi="Noto Sans Arabic" w:cs="Noto Sans Arabic"/>
          <w:color w:val="172033"/>
          <w:sz w:val="20"/>
        </w:rPr>
        <w:t>إمكانية التصويت على الاقتراحات المنشورة فقط لمنع إساءة استعمال المحتوى غير المراجع.</w:t>
      </w:r>
    </w:p>
    <w:p>
      <w:pPr>
        <w:pStyle w:val="ListBullet"/>
        <w:spacing w:after="50" w:line="269" w:lineRule="auto"/>
        <w:ind w:left="0"/>
        <w:bidi w:val="1"/>
        <w:jc w:val="right"/>
      </w:pPr>
      <w:r>
        <w:rPr>
          <w:rFonts w:ascii="Noto Sans Arabic" w:hAnsi="Noto Sans Arabic" w:cs="Noto Sans Arabic"/>
          <w:color w:val="172033"/>
          <w:sz w:val="20"/>
        </w:rPr>
        <w:t>Workflow: new → reviewing → planned → in_progress → resolved، مع rejected وduplicate.</w:t>
      </w:r>
    </w:p>
    <w:p>
      <w:pPr>
        <w:pStyle w:val="ListBullet"/>
        <w:spacing w:after="50" w:line="269" w:lineRule="auto"/>
        <w:ind w:left="0"/>
        <w:bidi w:val="1"/>
        <w:jc w:val="right"/>
      </w:pPr>
      <w:r>
        <w:rPr>
          <w:rFonts w:ascii="Noto Sans Arabic" w:hAnsi="Noto Sans Arabic" w:cs="Noto Sans Arabic"/>
          <w:color w:val="172033"/>
          <w:sz w:val="20"/>
        </w:rPr>
        <w:t>إشعار صاحب الاقتراح عند القرار النهائي.</w:t>
      </w:r>
    </w:p>
    <w:p>
      <w:pPr>
        <w:pStyle w:val="Heading2"/>
        <w:keepNext/>
        <w:bidi w:val="1"/>
        <w:spacing w:before="160" w:after="120"/>
        <w:jc w:val="right"/>
      </w:pPr>
      <w:r>
        <w:rPr>
          <w:rFonts w:ascii="Noto Sans Arabic" w:hAnsi="Noto Sans Arabic" w:cs="Noto Sans Arabic"/>
          <w:b/>
          <w:color w:val="3510A3"/>
        </w:rPr>
        <w:t>مؤشرات لوحة التحكم</w:t>
      </w:r>
    </w:p>
    <w:tbl>
      <w:tblPr>
        <w:tblStyle w:val="TableGrid"/>
        <w:tblW w:type="auto" w:w="0"/>
        <w:jc w:val="center"/>
        <w:tblLook w:firstColumn="1" w:firstRow="1" w:lastColumn="0" w:lastRow="0" w:noHBand="0" w:noVBand="1" w:val="04A0"/>
        <w:bidiVisual w:val="1"/>
      </w:tblPr>
      <w:tblGrid>
        <w:gridCol w:w="5141"/>
        <w:gridCol w:w="5141"/>
      </w:tblGrid>
      <w:tr>
        <w:trPr>
          <w:tblHeader w:val="true"/>
        </w:trPr>
        <w:tc>
          <w:tcPr>
            <w:tcW w:type="dxa" w:w="3744"/>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المؤشر</w:t>
            </w:r>
          </w:p>
        </w:tc>
        <w:tc>
          <w:tcPr>
            <w:tcW w:type="dxa" w:w="6336"/>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الفائدة</w:t>
            </w:r>
          </w:p>
        </w:tc>
      </w:tr>
      <w:tr>
        <w:tc>
          <w:tcPr>
            <w:tcW w:type="dxa" w:w="374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متوسط التقييم العام وحسب السياق</w:t>
            </w:r>
          </w:p>
        </w:tc>
        <w:tc>
          <w:tcPr>
            <w:tcW w:type="dxa" w:w="633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اكتشاف الوحدات الضعيفة</w:t>
            </w:r>
          </w:p>
        </w:tc>
      </w:tr>
      <w:tr>
        <w:tc>
          <w:tcPr>
            <w:tcW w:type="dxa" w:w="37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توزيع النجوم</w:t>
            </w:r>
          </w:p>
        </w:tc>
        <w:tc>
          <w:tcPr>
            <w:tcW w:type="dxa" w:w="633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تمييز المتوسط المضلل عن الاستقطاب</w:t>
            </w:r>
          </w:p>
        </w:tc>
      </w:tr>
      <w:tr>
        <w:tc>
          <w:tcPr>
            <w:tcW w:type="dxa" w:w="374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نسبة الرضا 4–5</w:t>
            </w:r>
          </w:p>
        </w:tc>
        <w:tc>
          <w:tcPr>
            <w:tcW w:type="dxa" w:w="633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KPI تشغيلي مفهوم</w:t>
            </w:r>
          </w:p>
        </w:tc>
      </w:tr>
      <w:tr>
        <w:tc>
          <w:tcPr>
            <w:tcW w:type="dxa" w:w="37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الإصدار والمنصة</w:t>
            </w:r>
          </w:p>
        </w:tc>
        <w:tc>
          <w:tcPr>
            <w:tcW w:type="dxa" w:w="633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كشف Regression خاص بإصدار أو Android/iOS</w:t>
            </w:r>
          </w:p>
        </w:tc>
      </w:tr>
      <w:tr>
        <w:tc>
          <w:tcPr>
            <w:tcW w:type="dxa" w:w="374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الاقتراحات الأعلى تصويتًا</w:t>
            </w:r>
          </w:p>
        </w:tc>
        <w:tc>
          <w:tcPr>
            <w:tcW w:type="dxa" w:w="633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ترتيب Roadmap بناءً على الطلب</w:t>
            </w:r>
          </w:p>
        </w:tc>
      </w:tr>
      <w:tr>
        <w:tc>
          <w:tcPr>
            <w:tcW w:type="dxa" w:w="37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المفتوح والحرج والمتأخر</w:t>
            </w:r>
          </w:p>
        </w:tc>
        <w:tc>
          <w:tcPr>
            <w:tcW w:type="dxa" w:w="633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إدارة دورة التحسين</w:t>
            </w:r>
          </w:p>
        </w:tc>
      </w:tr>
    </w:tbl>
    <w:p>
      <w:pPr>
        <w:spacing w:after="40"/>
      </w:pPr>
    </w:p>
    <w:tbl>
      <w:tblPr>
        <w:tblW w:type="auto" w:w="0"/>
        <w:jc w:val="center"/>
        <w:tblLook w:firstColumn="1" w:firstRow="1" w:lastColumn="0" w:lastRow="0" w:noHBand="0" w:noVBand="1" w:val="04A0"/>
        <w:bidiVisual w:val="1"/>
      </w:tblPr>
      <w:tblGrid>
        <w:gridCol w:w="10282"/>
      </w:tblGrid>
      <w:tr>
        <w:tc>
          <w:tcPr>
            <w:tcW w:type="dxa" w:w="10282"/>
            <w:shd w:fill="E7F5EF"/>
            <w:tcMar>
              <w:top w:w="160" w:type="dxa"/>
              <w:start w:w="180" w:type="dxa"/>
              <w:bottom w:w="160" w:type="dxa"/>
              <w:end w:w="180" w:type="dxa"/>
            </w:tcMar>
          </w:tcPr>
          <w:p>
            <w:pPr>
              <w:bidi w:val="1"/>
              <w:spacing w:line="278" w:lineRule="auto"/>
              <w:jc w:val="right"/>
            </w:pPr>
            <w:r>
              <w:rPr>
                <w:rFonts w:ascii="Noto Sans Arabic" w:hAnsi="Noto Sans Arabic" w:cs="Noto Sans Arabic"/>
                <w:b/>
                <w:color w:val="13795B"/>
                <w:sz w:val="22"/>
              </w:rPr>
              <w:t>أفضل ممارسة UX</w:t>
              <w:br/>
            </w:r>
            <w:r>
              <w:rPr>
                <w:rFonts w:ascii="Noto Sans Arabic" w:hAnsi="Noto Sans Arabic" w:cs="Noto Sans Arabic"/>
                <w:color w:val="172033"/>
                <w:sz w:val="20"/>
              </w:rPr>
              <w:t>يجب أن يأتي Prompt بعد نجاح الإجراء، وأن يكون اختياريًا وقابلًا للتأجيل، وألا يعاد للمستخدم نفسه لنفس الإجراء والإصدار قبل انتهاء Cooldown. التقييم المستمر لا يعني نافذة مستمرة.</w:t>
            </w:r>
          </w:p>
        </w:tc>
      </w:tr>
    </w:tbl>
    <w:p>
      <w:pPr>
        <w:spacing w:after="20"/>
      </w:pPr>
    </w:p>
    <w:p>
      <w:pPr>
        <w:pStyle w:val="Heading1"/>
        <w:keepNext/>
        <w:bidi w:val="1"/>
        <w:spacing w:before="260" w:after="120"/>
        <w:jc w:val="right"/>
      </w:pPr>
      <w:r>
        <w:rPr>
          <w:rFonts w:ascii="Noto Sans Arabic" w:hAnsi="Noto Sans Arabic" w:cs="Noto Sans Arabic"/>
          <w:b/>
          <w:color w:val="001B72"/>
        </w:rPr>
        <w:t>14  التدقيق والخصوصية والاحتفاظ بالبيانات</w:t>
      </w:r>
    </w:p>
    <w:tbl>
      <w:tblPr>
        <w:tblStyle w:val="TableGrid"/>
        <w:tblW w:type="auto" w:w="0"/>
        <w:jc w:val="center"/>
        <w:tblLook w:firstColumn="1" w:firstRow="1" w:lastColumn="0" w:lastRow="0" w:noHBand="0" w:noVBand="1" w:val="04A0"/>
        <w:bidiVisual w:val="1"/>
      </w:tblPr>
      <w:tblGrid>
        <w:gridCol w:w="5141"/>
        <w:gridCol w:w="5141"/>
      </w:tblGrid>
      <w:tr>
        <w:trPr>
          <w:tblHeader w:val="true"/>
        </w:trPr>
        <w:tc>
          <w:tcPr>
            <w:tcW w:type="dxa" w:w="288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المجال</w:t>
            </w:r>
          </w:p>
        </w:tc>
        <w:tc>
          <w:tcPr>
            <w:tcW w:type="dxa" w:w="720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السياسة</w:t>
            </w:r>
          </w:p>
        </w:tc>
      </w:tr>
      <w:tr>
        <w:tc>
          <w:tcPr>
            <w:tcW w:type="dxa" w:w="288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Audit Redaction</w:t>
            </w:r>
          </w:p>
        </w:tc>
        <w:tc>
          <w:tcPr>
            <w:tcW w:type="dxa" w:w="72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إخفاء password/token/OTP/WhatsApp/card/file/attachment/student number/phone/email</w:t>
            </w:r>
          </w:p>
        </w:tc>
      </w:tr>
      <w:tr>
        <w:tc>
          <w:tcPr>
            <w:tcW w:type="dxa" w:w="288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Request ID</w:t>
            </w:r>
          </w:p>
        </w:tc>
        <w:tc>
          <w:tcPr>
            <w:tcW w:type="dxa" w:w="720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إرفاق معرف فريد بالاستجابة والسجل لتتبع الحوادث</w:t>
            </w:r>
          </w:p>
        </w:tc>
      </w:tr>
      <w:tr>
        <w:tc>
          <w:tcPr>
            <w:tcW w:type="dxa" w:w="288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IP</w:t>
            </w:r>
          </w:p>
        </w:tc>
        <w:tc>
          <w:tcPr>
            <w:tcW w:type="dxa" w:w="72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استخراجه مع مراعاة Trusted Proxies</w:t>
            </w:r>
          </w:p>
        </w:tc>
      </w:tr>
      <w:tr>
        <w:tc>
          <w:tcPr>
            <w:tcW w:type="dxa" w:w="288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بطاقات التوثيق</w:t>
            </w:r>
          </w:p>
        </w:tc>
        <w:tc>
          <w:tcPr>
            <w:tcW w:type="dxa" w:w="720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90 يومًا افتراضيًا بعد الحالة النهائية</w:t>
            </w:r>
          </w:p>
        </w:tc>
      </w:tr>
      <w:tr>
        <w:tc>
          <w:tcPr>
            <w:tcW w:type="dxa" w:w="288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OTP</w:t>
            </w:r>
          </w:p>
        </w:tc>
        <w:tc>
          <w:tcPr>
            <w:tcW w:type="dxa" w:w="72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7 أيام افتراضيًا للسجلات المنتهية</w:t>
            </w:r>
          </w:p>
        </w:tc>
      </w:tr>
      <w:tr>
        <w:tc>
          <w:tcPr>
            <w:tcW w:type="dxa" w:w="288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Access Tickets</w:t>
            </w:r>
          </w:p>
        </w:tc>
        <w:tc>
          <w:tcPr>
            <w:tcW w:type="dxa" w:w="720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24 ساعة للسجلات المنتهية؛ مدة الاستخدام الفعلية أقصر بكثير</w:t>
            </w:r>
          </w:p>
        </w:tc>
      </w:tr>
      <w:tr>
        <w:tc>
          <w:tcPr>
            <w:tcW w:type="dxa" w:w="288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Feedback Prompt Events</w:t>
            </w:r>
          </w:p>
        </w:tc>
        <w:tc>
          <w:tcPr>
            <w:tcW w:type="dxa" w:w="7200"/>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365 يومًا</w:t>
            </w:r>
          </w:p>
        </w:tc>
      </w:tr>
      <w:tr>
        <w:tc>
          <w:tcPr>
            <w:tcW w:type="dxa" w:w="288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Audit Logs</w:t>
            </w:r>
          </w:p>
        </w:tc>
        <w:tc>
          <w:tcPr>
            <w:tcW w:type="dxa" w:w="720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730 يومًا كسياسة مرجعية</w:t>
            </w:r>
          </w:p>
        </w:tc>
      </w:tr>
    </w:tbl>
    <w:p>
      <w:pPr>
        <w:spacing w:after="40"/>
      </w:pPr>
    </w:p>
    <w:p>
      <w:pPr>
        <w:bidi w:val="1"/>
        <w:spacing w:after="100" w:line="283" w:lineRule="auto"/>
        <w:jc w:val="right"/>
      </w:pPr>
      <w:r>
        <w:rPr>
          <w:rFonts w:ascii="Noto Sans Arabic" w:hAnsi="Noto Sans Arabic" w:cs="Noto Sans Arabic" w:eastAsia="Noto Sans Arabic"/>
          <w:b w:val="0"/>
        </w:rPr>
        <w:t>أضيف أمر إدارة `purge_expired_sensitive_data --dry-run` لعرض ما سيحذف، ثم تشغيله دوريًا عبر Scheduler بعد مراجعة النتائج. أخطاء حذف التخزين تسجل ولا تُتجاهل بصمت.</w:t>
      </w:r>
    </w:p>
    <w:p>
      <w:pPr>
        <w:pStyle w:val="Heading1"/>
        <w:keepNext/>
        <w:bidi w:val="1"/>
        <w:spacing w:before="260" w:after="120"/>
        <w:jc w:val="right"/>
      </w:pPr>
      <w:r>
        <w:rPr>
          <w:rFonts w:ascii="Noto Sans Arabic" w:hAnsi="Noto Sans Arabic" w:cs="Noto Sans Arabic"/>
          <w:b/>
          <w:color w:val="001B72"/>
        </w:rPr>
        <w:t>15  إعدادات الإنتاج وDocker وCI</w:t>
      </w:r>
    </w:p>
    <w:tbl>
      <w:tblPr>
        <w:tblStyle w:val="TableGrid"/>
        <w:tblW w:type="auto" w:w="0"/>
        <w:jc w:val="center"/>
        <w:tblLook w:firstColumn="1" w:firstRow="1" w:lastColumn="0" w:lastRow="0" w:noHBand="0" w:noVBand="1" w:val="04A0"/>
        <w:bidiVisual w:val="1"/>
      </w:tblPr>
      <w:tblGrid>
        <w:gridCol w:w="5141"/>
        <w:gridCol w:w="5141"/>
      </w:tblGrid>
      <w:tr>
        <w:trPr>
          <w:tblHeader w:val="true"/>
        </w:trPr>
        <w:tc>
          <w:tcPr>
            <w:tcW w:type="dxa" w:w="2592"/>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العنصر</w:t>
            </w:r>
          </w:p>
        </w:tc>
        <w:tc>
          <w:tcPr>
            <w:tcW w:type="dxa" w:w="7488"/>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الحالة في v2</w:t>
            </w:r>
          </w:p>
        </w:tc>
      </w:tr>
      <w:tr>
        <w:tc>
          <w:tcPr>
            <w:tcW w:type="dxa" w:w="2592"/>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HTTPS/HSTS</w:t>
            </w:r>
          </w:p>
        </w:tc>
        <w:tc>
          <w:tcPr>
            <w:tcW w:type="dxa" w:w="7488"/>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مفعلة افتراضيًا في production.py</w:t>
            </w:r>
          </w:p>
        </w:tc>
      </w:tr>
      <w:tr>
        <w:tc>
          <w:tcPr>
            <w:tcW w:type="dxa" w:w="259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Cookies</w:t>
            </w:r>
          </w:p>
        </w:tc>
        <w:tc>
          <w:tcPr>
            <w:tcW w:type="dxa" w:w="748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Secure/HttpOnly/SameSite</w:t>
            </w:r>
          </w:p>
        </w:tc>
      </w:tr>
      <w:tr>
        <w:tc>
          <w:tcPr>
            <w:tcW w:type="dxa" w:w="2592"/>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CORS/CSRF</w:t>
            </w:r>
          </w:p>
        </w:tc>
        <w:tc>
          <w:tcPr>
            <w:tcW w:type="dxa" w:w="7488"/>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قوائم صريحة بلا Wildcards</w:t>
            </w:r>
          </w:p>
        </w:tc>
      </w:tr>
      <w:tr>
        <w:tc>
          <w:tcPr>
            <w:tcW w:type="dxa" w:w="259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Hosts</w:t>
            </w:r>
          </w:p>
        </w:tc>
        <w:tc>
          <w:tcPr>
            <w:tcW w:type="dxa" w:w="748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لا يسمح بالإنتاج دون ALLOWED_HOSTS</w:t>
            </w:r>
          </w:p>
        </w:tc>
      </w:tr>
      <w:tr>
        <w:tc>
          <w:tcPr>
            <w:tcW w:type="dxa" w:w="2592"/>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API Docs</w:t>
            </w:r>
          </w:p>
        </w:tc>
        <w:tc>
          <w:tcPr>
            <w:tcW w:type="dxa" w:w="7488"/>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معطلة افتراضيًا في الإنتاج</w:t>
            </w:r>
          </w:p>
        </w:tc>
      </w:tr>
      <w:tr>
        <w:tc>
          <w:tcPr>
            <w:tcW w:type="dxa" w:w="259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Docker</w:t>
            </w:r>
          </w:p>
        </w:tc>
        <w:tc>
          <w:tcPr>
            <w:tcW w:type="dxa" w:w="748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Multi-stage، مستخدم غير Root، Healthcheck</w:t>
            </w:r>
          </w:p>
        </w:tc>
      </w:tr>
      <w:tr>
        <w:tc>
          <w:tcPr>
            <w:tcW w:type="dxa" w:w="2592"/>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Release</w:t>
            </w:r>
          </w:p>
        </w:tc>
        <w:tc>
          <w:tcPr>
            <w:tcW w:type="dxa" w:w="7488"/>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docker/release.sh للمهاجرات والـcollectstatic والـseed الاختياري</w:t>
            </w:r>
          </w:p>
        </w:tc>
      </w:tr>
      <w:tr>
        <w:tc>
          <w:tcPr>
            <w:tcW w:type="dxa" w:w="259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Runtime</w:t>
            </w:r>
          </w:p>
        </w:tc>
        <w:tc>
          <w:tcPr>
            <w:tcW w:type="dxa" w:w="748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entrypoint لا ينفذ migrations تلقائيًا افتراضيًا</w:t>
            </w:r>
          </w:p>
        </w:tc>
      </w:tr>
      <w:tr>
        <w:tc>
          <w:tcPr>
            <w:tcW w:type="dxa" w:w="2592"/>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Worker</w:t>
            </w:r>
          </w:p>
        </w:tc>
        <w:tc>
          <w:tcPr>
            <w:tcW w:type="dxa" w:w="7488"/>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Celery Worker منفصل</w:t>
            </w:r>
          </w:p>
        </w:tc>
      </w:tr>
      <w:tr>
        <w:tc>
          <w:tcPr>
            <w:tcW w:type="dxa" w:w="259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Secrets</w:t>
            </w:r>
          </w:p>
        </w:tc>
        <w:tc>
          <w:tcPr>
            <w:tcW w:type="dxa" w:w="748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مستبعدة من Docker context عبر .dockerignore</w:t>
            </w:r>
          </w:p>
        </w:tc>
      </w:tr>
      <w:tr>
        <w:tc>
          <w:tcPr>
            <w:tcW w:type="dxa" w:w="2592"/>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CI</w:t>
            </w:r>
          </w:p>
        </w:tc>
        <w:tc>
          <w:tcPr>
            <w:tcW w:type="dxa" w:w="7488"/>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Check، migration drift، schema، tests، Ruff، Bandit، dependency audit</w:t>
            </w:r>
          </w:p>
        </w:tc>
      </w:tr>
    </w:tbl>
    <w:p>
      <w:pPr>
        <w:spacing w:after="40"/>
      </w:pPr>
    </w:p>
    <w:tbl>
      <w:tblPr>
        <w:tblW w:type="auto" w:w="0"/>
        <w:jc w:val="center"/>
        <w:tblLook w:firstColumn="1" w:firstRow="1" w:lastColumn="0" w:lastRow="0" w:noHBand="0" w:noVBand="1" w:val="04A0"/>
        <w:bidiVisual w:val="1"/>
      </w:tblPr>
      <w:tblGrid>
        <w:gridCol w:w="10282"/>
      </w:tblGrid>
      <w:tr>
        <w:tc>
          <w:tcPr>
            <w:tcW w:type="dxa" w:w="10282"/>
            <w:shd w:fill="FDECEC"/>
            <w:tcMar>
              <w:top w:w="160" w:type="dxa"/>
              <w:start w:w="180" w:type="dxa"/>
              <w:bottom w:w="160" w:type="dxa"/>
              <w:end w:w="180" w:type="dxa"/>
            </w:tcMar>
          </w:tcPr>
          <w:p>
            <w:pPr>
              <w:bidi w:val="1"/>
              <w:spacing w:line="278" w:lineRule="auto"/>
              <w:jc w:val="right"/>
            </w:pPr>
            <w:r>
              <w:rPr>
                <w:rFonts w:ascii="Noto Sans Arabic" w:hAnsi="Noto Sans Arabic" w:cs="Noto Sans Arabic"/>
                <w:b/>
                <w:color w:val="B42318"/>
                <w:sz w:val="22"/>
              </w:rPr>
              <w:t>منع سر خطير</w:t>
              <w:br/>
            </w:r>
            <w:r>
              <w:rPr>
                <w:rFonts w:ascii="Noto Sans Arabic" w:hAnsi="Noto Sans Arabic" w:cs="Noto Sans Arabic"/>
                <w:color w:val="172033"/>
                <w:sz w:val="20"/>
              </w:rPr>
              <w:t>تم حذف ملف `.env` الموجود في النسخة الأصلية من النسخة الجديدة. `.env.example` يحتوي placeholders فقط. يجب تدوير أي أسرار سبق استخدامها في ملف مرفوع أو مستودع.</w:t>
            </w:r>
          </w:p>
        </w:tc>
      </w:tr>
    </w:tbl>
    <w:p>
      <w:pPr>
        <w:spacing w:after="20"/>
      </w:pPr>
    </w:p>
    <w:p>
      <w:pPr>
        <w:pStyle w:val="Heading1"/>
        <w:keepNext/>
        <w:bidi w:val="1"/>
        <w:spacing w:before="260" w:after="120"/>
        <w:jc w:val="right"/>
      </w:pPr>
      <w:r>
        <w:rPr>
          <w:rFonts w:ascii="Noto Sans Arabic" w:hAnsi="Noto Sans Arabic" w:cs="Noto Sans Arabic"/>
          <w:b/>
          <w:color w:val="001B72"/>
        </w:rPr>
        <w:t>16  عقود API والتأثير على الموبايل والداشبورد</w:t>
      </w:r>
    </w:p>
    <w:p>
      <w:pPr>
        <w:bidi w:val="1"/>
        <w:spacing w:after="100" w:line="283" w:lineRule="auto"/>
        <w:jc w:val="right"/>
      </w:pPr>
      <w:r>
        <w:rPr>
          <w:rFonts w:ascii="Noto Sans Arabic" w:hAnsi="Noto Sans Arabic" w:cs="Noto Sans Arabic" w:eastAsia="Noto Sans Arabic"/>
          <w:b w:val="0"/>
        </w:rPr>
        <w:t>النسخة الجديدة تغير بعض العقود عمدًا لحماية البيانات. يجب تحديث الموبايل والداشبورد مع OpenAPI المولد وعدم الاستمرار في افتراض روابط مباشرة أو أسعار مرسلة من العميل.</w:t>
      </w:r>
    </w:p>
    <w:tbl>
      <w:tblPr>
        <w:tblStyle w:val="TableGrid"/>
        <w:tblW w:type="auto" w:w="0"/>
        <w:jc w:val="center"/>
        <w:tblLook w:firstColumn="1" w:firstRow="1" w:lastColumn="0" w:lastRow="0" w:noHBand="0" w:noVBand="1" w:val="04A0"/>
        <w:bidiVisual w:val="1"/>
      </w:tblPr>
      <w:tblGrid>
        <w:gridCol w:w="5141"/>
        <w:gridCol w:w="5141"/>
      </w:tblGrid>
      <w:tr>
        <w:trPr>
          <w:tblHeader w:val="true"/>
        </w:trPr>
        <w:tc>
          <w:tcPr>
            <w:tcW w:type="dxa" w:w="3456"/>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التغيير</w:t>
            </w:r>
          </w:p>
        </w:tc>
        <w:tc>
          <w:tcPr>
            <w:tcW w:type="dxa" w:w="6624"/>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تعديل الواجهة المطلوب</w:t>
            </w:r>
          </w:p>
        </w:tc>
      </w:tr>
      <w:tr>
        <w:tc>
          <w:tcPr>
            <w:tcW w:type="dxa" w:w="345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ملف/بطاقة/مرفق بلا URL خام</w:t>
            </w:r>
          </w:p>
        </w:tc>
        <w:tc>
          <w:tcPr>
            <w:tcW w:type="dxa" w:w="662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طلب access-ticket ثم فتح protected endpoint</w:t>
            </w:r>
          </w:p>
        </w:tc>
      </w:tr>
      <w:tr>
        <w:tc>
          <w:tcPr>
            <w:tcW w:type="dxa" w:w="345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WhatsApp بلا URL في Group</w:t>
            </w:r>
          </w:p>
        </w:tc>
        <w:tc>
          <w:tcPr>
            <w:tcW w:type="dxa" w:w="662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عرض زر عند has_whatsapp_channel ثم طلب ticket</w:t>
            </w:r>
          </w:p>
        </w:tc>
      </w:tr>
      <w:tr>
        <w:tc>
          <w:tcPr>
            <w:tcW w:type="dxa" w:w="345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Print Quote جديد</w:t>
            </w:r>
          </w:p>
        </w:tc>
        <w:tc>
          <w:tcPr>
            <w:tcW w:type="dxa" w:w="662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إرسال الخيارات واستقبال السعر من الخادم</w:t>
            </w:r>
          </w:p>
        </w:tc>
      </w:tr>
      <w:tr>
        <w:tc>
          <w:tcPr>
            <w:tcW w:type="dxa" w:w="345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Print Order</w:t>
            </w:r>
          </w:p>
        </w:tc>
        <w:tc>
          <w:tcPr>
            <w:tcW w:type="dxa" w:w="662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عدم إرسال price/pages كحقائق موثوقة</w:t>
            </w:r>
          </w:p>
        </w:tc>
      </w:tr>
      <w:tr>
        <w:tc>
          <w:tcPr>
            <w:tcW w:type="dxa" w:w="345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Feedback Prompt</w:t>
            </w:r>
          </w:p>
        </w:tc>
        <w:tc>
          <w:tcPr>
            <w:tcW w:type="dxa" w:w="662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استدعاء eligibility قبل إظهار نافذة التقييم</w:t>
            </w:r>
          </w:p>
        </w:tc>
      </w:tr>
      <w:tr>
        <w:tc>
          <w:tcPr>
            <w:tcW w:type="dxa" w:w="345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Suggestion Feed</w:t>
            </w:r>
          </w:p>
        </w:tc>
        <w:tc>
          <w:tcPr>
            <w:tcW w:type="dxa" w:w="662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عرض البيانات العامة المجهولة فقط</w:t>
            </w:r>
          </w:p>
        </w:tc>
      </w:tr>
      <w:tr>
        <w:tc>
          <w:tcPr>
            <w:tcW w:type="dxa" w:w="345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أدوار جديدة</w:t>
            </w:r>
          </w:p>
        </w:tc>
        <w:tc>
          <w:tcPr>
            <w:tcW w:type="dxa" w:w="662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تحديث أنواع TypeScript والتنقل حسب Capabilities</w:t>
            </w:r>
          </w:p>
        </w:tc>
      </w:tr>
      <w:tr>
        <w:tc>
          <w:tcPr>
            <w:tcW w:type="dxa" w:w="345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OTP بريد</w:t>
            </w:r>
          </w:p>
        </w:tc>
        <w:tc>
          <w:tcPr>
            <w:tcW w:type="dxa" w:w="662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إضافة واجهة اختيار/عرض البريد المقنع وحالات cooldown</w:t>
            </w:r>
          </w:p>
        </w:tc>
      </w:tr>
      <w:tr>
        <w:tc>
          <w:tcPr>
            <w:tcW w:type="dxa" w:w="345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Error Envelope</w:t>
            </w:r>
          </w:p>
        </w:tc>
        <w:tc>
          <w:tcPr>
            <w:tcW w:type="dxa" w:w="662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استخدام code/message/errors/request_id</w:t>
            </w:r>
          </w:p>
        </w:tc>
      </w:tr>
    </w:tbl>
    <w:p>
      <w:pPr>
        <w:spacing w:after="40"/>
      </w:pPr>
    </w:p>
    <w:p>
      <w:pPr>
        <w:pStyle w:val="Heading2"/>
        <w:keepNext/>
        <w:bidi w:val="1"/>
        <w:spacing w:before="160" w:after="120"/>
        <w:jc w:val="right"/>
      </w:pPr>
      <w:r>
        <w:rPr>
          <w:rFonts w:ascii="Noto Sans Arabic" w:hAnsi="Noto Sans Arabic" w:cs="Noto Sans Arabic"/>
          <w:b/>
          <w:color w:val="3510A3"/>
        </w:rPr>
        <w:t>أهم المسارات الجديدة</w:t>
      </w:r>
    </w:p>
    <w:tbl>
      <w:tblPr>
        <w:tblStyle w:val="TableGrid"/>
        <w:tblW w:type="auto" w:w="0"/>
        <w:jc w:val="center"/>
        <w:tblLook w:firstColumn="1" w:firstRow="1" w:lastColumn="0" w:lastRow="0" w:noHBand="0" w:noVBand="1" w:val="04A0"/>
        <w:bidiVisual w:val="1"/>
      </w:tblPr>
      <w:tblGrid>
        <w:gridCol w:w="5141"/>
        <w:gridCol w:w="5141"/>
      </w:tblGrid>
      <w:tr>
        <w:trPr>
          <w:tblHeader w:val="true"/>
        </w:trPr>
        <w:tc>
          <w:tcPr>
            <w:tcW w:type="dxa" w:w="324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المجال</w:t>
            </w:r>
          </w:p>
        </w:tc>
        <w:tc>
          <w:tcPr>
            <w:tcW w:type="dxa" w:w="684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المسار</w:t>
            </w:r>
          </w:p>
        </w:tc>
      </w:tr>
      <w:tr>
        <w:tc>
          <w:tcPr>
            <w:tcW w:type="dxa" w:w="324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Feedback</w:t>
            </w:r>
          </w:p>
        </w:tc>
        <w:tc>
          <w:tcPr>
            <w:tcW w:type="dxa" w:w="684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POST /api/v1/feedback/</w:t>
            </w:r>
          </w:p>
        </w:tc>
      </w:tr>
      <w:tr>
        <w:tc>
          <w:tcPr>
            <w:tcW w:type="dxa" w:w="324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Feedback Prompt</w:t>
            </w:r>
          </w:p>
        </w:tc>
        <w:tc>
          <w:tcPr>
            <w:tcW w:type="dxa" w:w="684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GET /api/v1/feedback/prompt/</w:t>
            </w:r>
          </w:p>
        </w:tc>
      </w:tr>
      <w:tr>
        <w:tc>
          <w:tcPr>
            <w:tcW w:type="dxa" w:w="324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Feedback Analytics</w:t>
            </w:r>
          </w:p>
        </w:tc>
        <w:tc>
          <w:tcPr>
            <w:tcW w:type="dxa" w:w="684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GET /api/v1/dashboard/feedback-analytics/</w:t>
            </w:r>
          </w:p>
        </w:tc>
      </w:tr>
      <w:tr>
        <w:tc>
          <w:tcPr>
            <w:tcW w:type="dxa" w:w="324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WhatsApp Ticket</w:t>
            </w:r>
          </w:p>
        </w:tc>
        <w:tc>
          <w:tcPr>
            <w:tcW w:type="dxa" w:w="684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POST /api/v1/groups/{id}/whatsapp-ticket/</w:t>
            </w:r>
          </w:p>
        </w:tc>
      </w:tr>
      <w:tr>
        <w:tc>
          <w:tcPr>
            <w:tcW w:type="dxa" w:w="324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File Ticket</w:t>
            </w:r>
          </w:p>
        </w:tc>
        <w:tc>
          <w:tcPr>
            <w:tcW w:type="dxa" w:w="684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POST /api/v1/files/{id}/access-ticket/</w:t>
            </w:r>
          </w:p>
        </w:tc>
      </w:tr>
      <w:tr>
        <w:tc>
          <w:tcPr>
            <w:tcW w:type="dxa" w:w="324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Verification Card Ticket</w:t>
            </w:r>
          </w:p>
        </w:tc>
        <w:tc>
          <w:tcPr>
            <w:tcW w:type="dxa" w:w="684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POST /api/v1/dashboard/verifications/{id}/card-ticket/</w:t>
            </w:r>
          </w:p>
        </w:tc>
      </w:tr>
      <w:tr>
        <w:tc>
          <w:tcPr>
            <w:tcW w:type="dxa" w:w="324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Print Quote</w:t>
            </w:r>
          </w:p>
        </w:tc>
        <w:tc>
          <w:tcPr>
            <w:tcW w:type="dxa" w:w="684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POST /api/v1/printing/quote/</w:t>
            </w:r>
          </w:p>
        </w:tc>
      </w:tr>
      <w:tr>
        <w:tc>
          <w:tcPr>
            <w:tcW w:type="dxa" w:w="324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Print File Ticket</w:t>
            </w:r>
          </w:p>
        </w:tc>
        <w:tc>
          <w:tcPr>
            <w:tcW w:type="dxa" w:w="684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POST /api/v1/printing/items/{id}/access-ticket/</w:t>
            </w:r>
          </w:p>
        </w:tc>
      </w:tr>
      <w:tr>
        <w:tc>
          <w:tcPr>
            <w:tcW w:type="dxa" w:w="324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Support Attachment Ticket</w:t>
            </w:r>
          </w:p>
        </w:tc>
        <w:tc>
          <w:tcPr>
            <w:tcW w:type="dxa" w:w="684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POST /api/v1/support/messages/{id}/attachment-ticket/</w:t>
            </w:r>
          </w:p>
        </w:tc>
      </w:tr>
    </w:tbl>
    <w:p>
      <w:pPr>
        <w:spacing w:after="40"/>
      </w:pPr>
    </w:p>
    <w:p>
      <w:pPr>
        <w:pStyle w:val="Heading1"/>
        <w:keepNext/>
        <w:bidi w:val="1"/>
        <w:spacing w:before="260" w:after="120"/>
        <w:jc w:val="right"/>
      </w:pPr>
      <w:r>
        <w:rPr>
          <w:rFonts w:ascii="Noto Sans Arabic" w:hAnsi="Noto Sans Arabic" w:cs="Noto Sans Arabic"/>
          <w:b/>
          <w:color w:val="001B72"/>
        </w:rPr>
        <w:t>17  المهاجرات وخطة الانتقال</w:t>
      </w:r>
    </w:p>
    <w:p>
      <w:pPr>
        <w:bidi w:val="1"/>
        <w:spacing w:after="100" w:line="283" w:lineRule="auto"/>
        <w:jc w:val="right"/>
      </w:pPr>
      <w:r>
        <w:rPr>
          <w:rFonts w:ascii="Noto Sans Arabic" w:hAnsi="Noto Sans Arabic" w:cs="Noto Sans Arabic" w:eastAsia="Noto Sans Arabic"/>
          <w:b w:val="0"/>
        </w:rPr>
        <w:t>أضيفت مهاجرات يدوية لأن بيئة التنفيذ الحالية لا تحتوي Django ولا اتصالًا بمستودع الحزم. يجب أن يتحقق CI من migration drift ثم تطبق على نسخة Staging من قاعدة البيانات قبل الإنتاج.</w:t>
      </w:r>
    </w:p>
    <w:tbl>
      <w:tblPr>
        <w:tblStyle w:val="TableGrid"/>
        <w:tblW w:type="auto" w:w="0"/>
        <w:jc w:val="center"/>
        <w:tblLook w:firstColumn="1" w:firstRow="1" w:lastColumn="0" w:lastRow="0" w:noHBand="0" w:noVBand="1" w:val="04A0"/>
        <w:bidiVisual w:val="1"/>
      </w:tblPr>
      <w:tblGrid>
        <w:gridCol w:w="3427"/>
        <w:gridCol w:w="3427"/>
        <w:gridCol w:w="3427"/>
      </w:tblGrid>
      <w:tr>
        <w:trPr>
          <w:tblHeader w:val="true"/>
        </w:trPr>
        <w:tc>
          <w:tcPr>
            <w:tcW w:type="dxa" w:w="2088"/>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6"/>
              </w:rPr>
              <w:t>التطبيق</w:t>
            </w:r>
          </w:p>
        </w:tc>
        <w:tc>
          <w:tcPr>
            <w:tcW w:type="dxa" w:w="4104"/>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6"/>
              </w:rPr>
              <w:t>المهاجرة</w:t>
            </w:r>
          </w:p>
        </w:tc>
        <w:tc>
          <w:tcPr>
            <w:tcW w:type="dxa" w:w="3888"/>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6"/>
              </w:rPr>
              <w:t>الغرض</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6"/>
              </w:rPr>
              <w:t>accounts</w:t>
            </w:r>
          </w:p>
        </w:tc>
        <w:tc>
          <w:tcPr>
            <w:tcW w:type="dxa" w:w="4104"/>
            <w:tcMar>
              <w:top w:w="95" w:type="dxa"/>
              <w:start w:w="105" w:type="dxa"/>
              <w:bottom w:w="95" w:type="dxa"/>
              <w:end w:w="105" w:type="dxa"/>
            </w:tcMar>
            <w:vAlign w:val="center"/>
          </w:tcPr>
          <w:p>
            <w:pPr>
              <w:bidi w:val="1"/>
              <w:jc w:val="right"/>
            </w:pPr>
            <w:r>
              <w:rPr>
                <w:rFonts w:ascii="Noto Sans Arabic" w:hAnsi="Noto Sans Arabic" w:cs="Noto Sans Arabic"/>
                <w:color w:val="172033"/>
                <w:sz w:val="16"/>
              </w:rPr>
              <w:t>0004_security_rbac_and_email_otp</w:t>
            </w:r>
          </w:p>
        </w:tc>
        <w:tc>
          <w:tcPr>
            <w:tcW w:type="dxa" w:w="3888"/>
            <w:tcMar>
              <w:top w:w="95" w:type="dxa"/>
              <w:start w:w="105" w:type="dxa"/>
              <w:bottom w:w="95" w:type="dxa"/>
              <w:end w:w="105" w:type="dxa"/>
            </w:tcMar>
            <w:vAlign w:val="center"/>
          </w:tcPr>
          <w:p>
            <w:pPr>
              <w:bidi w:val="1"/>
              <w:jc w:val="right"/>
            </w:pPr>
            <w:r>
              <w:rPr>
                <w:rFonts w:ascii="Noto Sans Arabic" w:hAnsi="Noto Sans Arabic" w:cs="Noto Sans Arabic"/>
                <w:color w:val="172033"/>
                <w:sz w:val="16"/>
              </w:rPr>
              <w:t>الأدوار، الاستثناءات، قنوات OTP، بيانات الأمان</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6"/>
              </w:rPr>
              <w:t>verification</w:t>
            </w:r>
          </w:p>
        </w:tc>
        <w:tc>
          <w:tcPr>
            <w:tcW w:type="dxa" w:w="410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6"/>
              </w:rPr>
              <w:t>0002_protected_cards_and_pending_constraint</w:t>
            </w:r>
          </w:p>
        </w:tc>
        <w:tc>
          <w:tcPr>
            <w:tcW w:type="dxa" w:w="388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6"/>
              </w:rPr>
              <w:t>تذاكر البطاقة وقيد Pending واحد</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6"/>
              </w:rPr>
              <w:t>groups</w:t>
            </w:r>
          </w:p>
        </w:tc>
        <w:tc>
          <w:tcPr>
            <w:tcW w:type="dxa" w:w="4104"/>
            <w:tcMar>
              <w:top w:w="95" w:type="dxa"/>
              <w:start w:w="105" w:type="dxa"/>
              <w:bottom w:w="95" w:type="dxa"/>
              <w:end w:w="105" w:type="dxa"/>
            </w:tcMar>
            <w:vAlign w:val="center"/>
          </w:tcPr>
          <w:p>
            <w:pPr>
              <w:bidi w:val="1"/>
              <w:jc w:val="right"/>
            </w:pPr>
            <w:r>
              <w:rPr>
                <w:rFonts w:ascii="Noto Sans Arabic" w:hAnsi="Noto Sans Arabic" w:cs="Noto Sans Arabic"/>
                <w:color w:val="172033"/>
                <w:sz w:val="16"/>
              </w:rPr>
              <w:t>0003_encrypted_external_channels</w:t>
            </w:r>
          </w:p>
        </w:tc>
        <w:tc>
          <w:tcPr>
            <w:tcW w:type="dxa" w:w="3888"/>
            <w:tcMar>
              <w:top w:w="95" w:type="dxa"/>
              <w:start w:w="105" w:type="dxa"/>
              <w:bottom w:w="95" w:type="dxa"/>
              <w:end w:w="105" w:type="dxa"/>
            </w:tcMar>
            <w:vAlign w:val="center"/>
          </w:tcPr>
          <w:p>
            <w:pPr>
              <w:bidi w:val="1"/>
              <w:jc w:val="right"/>
            </w:pPr>
            <w:r>
              <w:rPr>
                <w:rFonts w:ascii="Noto Sans Arabic" w:hAnsi="Noto Sans Arabic" w:cs="Noto Sans Arabic"/>
                <w:color w:val="172033"/>
                <w:sz w:val="16"/>
              </w:rPr>
              <w:t>القنوات الخارجية المشفرة والتذاكر</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6"/>
              </w:rPr>
              <w:t>files</w:t>
            </w:r>
          </w:p>
        </w:tc>
        <w:tc>
          <w:tcPr>
            <w:tcW w:type="dxa" w:w="410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6"/>
              </w:rPr>
              <w:t>0002_protected_access_and_metadata</w:t>
            </w:r>
          </w:p>
        </w:tc>
        <w:tc>
          <w:tcPr>
            <w:tcW w:type="dxa" w:w="388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6"/>
              </w:rPr>
              <w:t>التذاكر وSHA256 وعدد الصفحات</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6"/>
              </w:rPr>
              <w:t>printing</w:t>
            </w:r>
          </w:p>
        </w:tc>
        <w:tc>
          <w:tcPr>
            <w:tcW w:type="dxa" w:w="4104"/>
            <w:tcMar>
              <w:top w:w="95" w:type="dxa"/>
              <w:start w:w="105" w:type="dxa"/>
              <w:bottom w:w="95" w:type="dxa"/>
              <w:end w:w="105" w:type="dxa"/>
            </w:tcMar>
            <w:vAlign w:val="center"/>
          </w:tcPr>
          <w:p>
            <w:pPr>
              <w:bidi w:val="1"/>
              <w:jc w:val="right"/>
            </w:pPr>
            <w:r>
              <w:rPr>
                <w:rFonts w:ascii="Noto Sans Arabic" w:hAnsi="Noto Sans Arabic" w:cs="Noto Sans Arabic"/>
                <w:color w:val="172033"/>
                <w:sz w:val="16"/>
              </w:rPr>
              <w:t>0002 + 0003</w:t>
            </w:r>
          </w:p>
        </w:tc>
        <w:tc>
          <w:tcPr>
            <w:tcW w:type="dxa" w:w="3888"/>
            <w:tcMar>
              <w:top w:w="95" w:type="dxa"/>
              <w:start w:w="105" w:type="dxa"/>
              <w:bottom w:w="95" w:type="dxa"/>
              <w:end w:w="105" w:type="dxa"/>
            </w:tcMar>
            <w:vAlign w:val="center"/>
          </w:tcPr>
          <w:p>
            <w:pPr>
              <w:bidi w:val="1"/>
              <w:jc w:val="right"/>
            </w:pPr>
            <w:r>
              <w:rPr>
                <w:rFonts w:ascii="Noto Sans Arabic" w:hAnsi="Noto Sans Arabic" w:cs="Noto Sans Arabic"/>
                <w:color w:val="172033"/>
                <w:sz w:val="16"/>
              </w:rPr>
              <w:t>Pricing Engine، التذاكر، وفصل الملاحظات</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6"/>
              </w:rPr>
              <w:t>support</w:t>
            </w:r>
          </w:p>
        </w:tc>
        <w:tc>
          <w:tcPr>
            <w:tcW w:type="dxa" w:w="410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6"/>
              </w:rPr>
              <w:t>0002_protected_attachments_and_response_time</w:t>
            </w:r>
          </w:p>
        </w:tc>
        <w:tc>
          <w:tcPr>
            <w:tcW w:type="dxa" w:w="388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6"/>
              </w:rPr>
              <w:t>تذاكر المرفقات وحقول الخدمة</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6"/>
              </w:rPr>
              <w:t>chat</w:t>
            </w:r>
          </w:p>
        </w:tc>
        <w:tc>
          <w:tcPr>
            <w:tcW w:type="dxa" w:w="4104"/>
            <w:tcMar>
              <w:top w:w="95" w:type="dxa"/>
              <w:start w:w="105" w:type="dxa"/>
              <w:bottom w:w="95" w:type="dxa"/>
              <w:end w:w="105" w:type="dxa"/>
            </w:tcMar>
            <w:vAlign w:val="center"/>
          </w:tcPr>
          <w:p>
            <w:pPr>
              <w:bidi w:val="1"/>
              <w:jc w:val="right"/>
            </w:pPr>
            <w:r>
              <w:rPr>
                <w:rFonts w:ascii="Noto Sans Arabic" w:hAnsi="Noto Sans Arabic" w:cs="Noto Sans Arabic"/>
                <w:color w:val="172033"/>
                <w:sz w:val="16"/>
              </w:rPr>
              <w:t>0002_protected_attachments_and_report_constraint</w:t>
            </w:r>
          </w:p>
        </w:tc>
        <w:tc>
          <w:tcPr>
            <w:tcW w:type="dxa" w:w="3888"/>
            <w:tcMar>
              <w:top w:w="95" w:type="dxa"/>
              <w:start w:w="105" w:type="dxa"/>
              <w:bottom w:w="95" w:type="dxa"/>
              <w:end w:w="105" w:type="dxa"/>
            </w:tcMar>
            <w:vAlign w:val="center"/>
          </w:tcPr>
          <w:p>
            <w:pPr>
              <w:bidi w:val="1"/>
              <w:jc w:val="right"/>
            </w:pPr>
            <w:r>
              <w:rPr>
                <w:rFonts w:ascii="Noto Sans Arabic" w:hAnsi="Noto Sans Arabic" w:cs="Noto Sans Arabic"/>
                <w:color w:val="172033"/>
                <w:sz w:val="16"/>
              </w:rPr>
              <w:t>حماية المرفقات ومنع البلاغات المكررة</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6"/>
              </w:rPr>
              <w:t>notifications</w:t>
            </w:r>
          </w:p>
        </w:tc>
        <w:tc>
          <w:tcPr>
            <w:tcW w:type="dxa" w:w="410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6"/>
              </w:rPr>
              <w:t>0003_expand_notification_types</w:t>
            </w:r>
          </w:p>
        </w:tc>
        <w:tc>
          <w:tcPr>
            <w:tcW w:type="dxa" w:w="388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6"/>
              </w:rPr>
              <w:t>أنواع الإشعارات الجديدة</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6"/>
              </w:rPr>
              <w:t>feedback</w:t>
            </w:r>
          </w:p>
        </w:tc>
        <w:tc>
          <w:tcPr>
            <w:tcW w:type="dxa" w:w="4104"/>
            <w:tcMar>
              <w:top w:w="95" w:type="dxa"/>
              <w:start w:w="105" w:type="dxa"/>
              <w:bottom w:w="95" w:type="dxa"/>
              <w:end w:w="105" w:type="dxa"/>
            </w:tcMar>
            <w:vAlign w:val="center"/>
          </w:tcPr>
          <w:p>
            <w:pPr>
              <w:bidi w:val="1"/>
              <w:jc w:val="right"/>
            </w:pPr>
            <w:r>
              <w:rPr>
                <w:rFonts w:ascii="Noto Sans Arabic" w:hAnsi="Noto Sans Arabic" w:cs="Noto Sans Arabic"/>
                <w:color w:val="172033"/>
                <w:sz w:val="16"/>
              </w:rPr>
              <w:t>0001 + 0002</w:t>
            </w:r>
          </w:p>
        </w:tc>
        <w:tc>
          <w:tcPr>
            <w:tcW w:type="dxa" w:w="3888"/>
            <w:tcMar>
              <w:top w:w="95" w:type="dxa"/>
              <w:start w:w="105" w:type="dxa"/>
              <w:bottom w:w="95" w:type="dxa"/>
              <w:end w:w="105" w:type="dxa"/>
            </w:tcMar>
            <w:vAlign w:val="center"/>
          </w:tcPr>
          <w:p>
            <w:pPr>
              <w:bidi w:val="1"/>
              <w:jc w:val="right"/>
            </w:pPr>
            <w:r>
              <w:rPr>
                <w:rFonts w:ascii="Noto Sans Arabic" w:hAnsi="Noto Sans Arabic" w:cs="Noto Sans Arabic"/>
                <w:color w:val="172033"/>
                <w:sz w:val="16"/>
              </w:rPr>
              <w:t>منظومة التقييم والسياقات الموسعة</w:t>
            </w:r>
          </w:p>
        </w:tc>
      </w:tr>
    </w:tbl>
    <w:p>
      <w:pPr>
        <w:spacing w:after="40"/>
      </w:pPr>
    </w:p>
    <w:p>
      <w:pPr>
        <w:pStyle w:val="Heading2"/>
        <w:keepNext/>
        <w:bidi w:val="1"/>
        <w:spacing w:before="160" w:after="120"/>
        <w:jc w:val="right"/>
      </w:pPr>
      <w:r>
        <w:rPr>
          <w:rFonts w:ascii="Noto Sans Arabic" w:hAnsi="Noto Sans Arabic" w:cs="Noto Sans Arabic"/>
          <w:b/>
          <w:color w:val="3510A3"/>
        </w:rPr>
        <w:t>خطة الترحيل الآمنة</w:t>
      </w:r>
    </w:p>
    <w:p>
      <w:pPr>
        <w:pStyle w:val="ListNumber"/>
        <w:bidi w:val="1"/>
        <w:spacing w:after="60"/>
        <w:jc w:val="right"/>
      </w:pPr>
      <w:r>
        <w:rPr>
          <w:rFonts w:ascii="Noto Sans Arabic" w:hAnsi="Noto Sans Arabic" w:cs="Noto Sans Arabic"/>
          <w:sz w:val="20"/>
        </w:rPr>
        <w:t>نسخ احتياطي مشفر واختبار Restore قبل بدء الترحيل.</w:t>
      </w:r>
    </w:p>
    <w:p>
      <w:pPr>
        <w:pStyle w:val="ListNumber"/>
        <w:bidi w:val="1"/>
        <w:spacing w:after="60"/>
        <w:jc w:val="right"/>
      </w:pPr>
      <w:r>
        <w:rPr>
          <w:rFonts w:ascii="Noto Sans Arabic" w:hAnsi="Noto Sans Arabic" w:cs="Noto Sans Arabic"/>
          <w:sz w:val="20"/>
        </w:rPr>
        <w:t>إنشاء Staging من نسخة منزوعة/مقنعة من البيانات الإنتاجية.</w:t>
      </w:r>
    </w:p>
    <w:p>
      <w:pPr>
        <w:pStyle w:val="ListNumber"/>
        <w:bidi w:val="1"/>
        <w:spacing w:after="60"/>
        <w:jc w:val="right"/>
      </w:pPr>
      <w:r>
        <w:rPr>
          <w:rFonts w:ascii="Noto Sans Arabic" w:hAnsi="Noto Sans Arabic" w:cs="Noto Sans Arabic"/>
          <w:sz w:val="20"/>
        </w:rPr>
        <w:t>تشغيل `python manage.py check` و`makemigrations --check --dry-run` و`migrate --plan`.</w:t>
      </w:r>
    </w:p>
    <w:p>
      <w:pPr>
        <w:pStyle w:val="ListNumber"/>
        <w:bidi w:val="1"/>
        <w:spacing w:after="60"/>
        <w:jc w:val="right"/>
      </w:pPr>
      <w:r>
        <w:rPr>
          <w:rFonts w:ascii="Noto Sans Arabic" w:hAnsi="Noto Sans Arabic" w:cs="Noto Sans Arabic"/>
          <w:sz w:val="20"/>
        </w:rPr>
        <w:t>تطبيق migrations في نافذة صيانة ومراقبة Locks والزمن.</w:t>
      </w:r>
    </w:p>
    <w:p>
      <w:pPr>
        <w:pStyle w:val="ListNumber"/>
        <w:bidi w:val="1"/>
        <w:spacing w:after="60"/>
        <w:jc w:val="right"/>
      </w:pPr>
      <w:r>
        <w:rPr>
          <w:rFonts w:ascii="Noto Sans Arabic" w:hAnsi="Noto Sans Arabic" w:cs="Noto Sans Arabic"/>
          <w:sz w:val="20"/>
        </w:rPr>
        <w:t>تشغيل seed_production_defaults لإنشاء سياسات التقييم المرجعية دون تكرار.</w:t>
      </w:r>
    </w:p>
    <w:p>
      <w:pPr>
        <w:pStyle w:val="ListNumber"/>
        <w:bidi w:val="1"/>
        <w:spacing w:after="60"/>
        <w:jc w:val="right"/>
      </w:pPr>
      <w:r>
        <w:rPr>
          <w:rFonts w:ascii="Noto Sans Arabic" w:hAnsi="Noto Sans Arabic" w:cs="Noto Sans Arabic"/>
          <w:sz w:val="20"/>
        </w:rPr>
        <w:t>اختبار رحلات Login/OTP/Verification/Files/Printing/Chat/Support/Feedback.</w:t>
      </w:r>
    </w:p>
    <w:p>
      <w:pPr>
        <w:pStyle w:val="ListNumber"/>
        <w:bidi w:val="1"/>
        <w:spacing w:after="60"/>
        <w:jc w:val="right"/>
      </w:pPr>
      <w:r>
        <w:rPr>
          <w:rFonts w:ascii="Noto Sans Arabic" w:hAnsi="Noto Sans Arabic" w:cs="Noto Sans Arabic"/>
          <w:sz w:val="20"/>
        </w:rPr>
        <w:t>نشر الموبايل والداشبورد المتوافقين قبل أو بالتزامن مع تفعيل العقود الجديدة.</w:t>
      </w:r>
    </w:p>
    <w:p>
      <w:pPr>
        <w:pStyle w:val="ListNumber"/>
        <w:bidi w:val="1"/>
        <w:spacing w:after="60"/>
        <w:jc w:val="right"/>
      </w:pPr>
      <w:r>
        <w:rPr>
          <w:rFonts w:ascii="Noto Sans Arabic" w:hAnsi="Noto Sans Arabic" w:cs="Noto Sans Arabic"/>
          <w:sz w:val="20"/>
        </w:rPr>
        <w:t>خطة Rollback واضحة لكل Migration وتوثيق قرار Go/No-Go.</w:t>
      </w:r>
    </w:p>
    <w:p>
      <w:pPr>
        <w:pStyle w:val="Heading1"/>
        <w:keepNext/>
        <w:bidi w:val="1"/>
        <w:spacing w:before="260" w:after="120"/>
        <w:jc w:val="right"/>
      </w:pPr>
      <w:r>
        <w:rPr>
          <w:rFonts w:ascii="Noto Sans Arabic" w:hAnsi="Noto Sans Arabic" w:cs="Noto Sans Arabic"/>
          <w:b/>
          <w:color w:val="001B72"/>
        </w:rPr>
        <w:t>18  الاختبارات والتحقق المنفذ</w:t>
      </w:r>
    </w:p>
    <w:tbl>
      <w:tblPr>
        <w:tblStyle w:val="TableGrid"/>
        <w:tblW w:type="auto" w:w="0"/>
        <w:jc w:val="center"/>
        <w:tblLook w:firstColumn="1" w:firstRow="1" w:lastColumn="0" w:lastRow="0" w:noHBand="0" w:noVBand="1" w:val="04A0"/>
        <w:bidiVisual w:val="1"/>
      </w:tblPr>
      <w:tblGrid>
        <w:gridCol w:w="5141"/>
        <w:gridCol w:w="5141"/>
      </w:tblGrid>
      <w:tr>
        <w:trPr>
          <w:tblHeader w:val="true"/>
        </w:trPr>
        <w:tc>
          <w:tcPr>
            <w:tcW w:type="dxa" w:w="3744"/>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التحقق</w:t>
            </w:r>
          </w:p>
        </w:tc>
        <w:tc>
          <w:tcPr>
            <w:tcW w:type="dxa" w:w="6336"/>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النتيجة</w:t>
            </w:r>
          </w:p>
        </w:tc>
      </w:tr>
      <w:tr>
        <w:tc>
          <w:tcPr>
            <w:tcW w:type="dxa" w:w="374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Python compileall</w:t>
            </w:r>
          </w:p>
        </w:tc>
        <w:tc>
          <w:tcPr>
            <w:tcW w:type="dxa" w:w="633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ناجح</w:t>
            </w:r>
          </w:p>
        </w:tc>
      </w:tr>
      <w:tr>
        <w:tc>
          <w:tcPr>
            <w:tcW w:type="dxa" w:w="37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AST Parsing</w:t>
            </w:r>
          </w:p>
        </w:tc>
        <w:tc>
          <w:tcPr>
            <w:tcW w:type="dxa" w:w="633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195 ملفًا دون أخطاء</w:t>
            </w:r>
          </w:p>
        </w:tc>
      </w:tr>
      <w:tr>
        <w:tc>
          <w:tcPr>
            <w:tcW w:type="dxa" w:w="374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Symbol table parsing</w:t>
            </w:r>
          </w:p>
        </w:tc>
        <w:tc>
          <w:tcPr>
            <w:tcW w:type="dxa" w:w="633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دون أخطاء تركيبية</w:t>
            </w:r>
          </w:p>
        </w:tc>
      </w:tr>
      <w:tr>
        <w:tc>
          <w:tcPr>
            <w:tcW w:type="dxa" w:w="37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JSON collections</w:t>
            </w:r>
          </w:p>
        </w:tc>
        <w:tc>
          <w:tcPr>
            <w:tcW w:type="dxa" w:w="633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صالحة نحويًا</w:t>
            </w:r>
          </w:p>
        </w:tc>
      </w:tr>
      <w:tr>
        <w:tc>
          <w:tcPr>
            <w:tcW w:type="dxa" w:w="374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Shell scripts sh -n</w:t>
            </w:r>
          </w:p>
        </w:tc>
        <w:tc>
          <w:tcPr>
            <w:tcW w:type="dxa" w:w="633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ناجحة</w:t>
            </w:r>
          </w:p>
        </w:tc>
      </w:tr>
      <w:tr>
        <w:tc>
          <w:tcPr>
            <w:tcW w:type="dxa" w:w="374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Secret pattern scan</w:t>
            </w:r>
          </w:p>
        </w:tc>
        <w:tc>
          <w:tcPr>
            <w:tcW w:type="dxa" w:w="633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لا توجد مفاتيح حقيقية؛ Gmail placeholder فقط</w:t>
            </w:r>
          </w:p>
        </w:tc>
      </w:tr>
      <w:tr>
        <w:tc>
          <w:tcPr>
            <w:tcW w:type="dxa" w:w="374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مقارنة الملفات</w:t>
            </w:r>
          </w:p>
        </w:tc>
        <w:tc>
          <w:tcPr>
            <w:tcW w:type="dxa" w:w="633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47 مضافًا، 70 معدلًا، .env محذوف</w:t>
            </w:r>
          </w:p>
        </w:tc>
      </w:tr>
    </w:tbl>
    <w:p>
      <w:pPr>
        <w:spacing w:after="40"/>
      </w:pPr>
    </w:p>
    <w:p>
      <w:pPr>
        <w:pStyle w:val="Heading2"/>
        <w:keepNext/>
        <w:bidi w:val="1"/>
        <w:spacing w:before="160" w:after="120"/>
        <w:jc w:val="right"/>
      </w:pPr>
      <w:r>
        <w:rPr>
          <w:rFonts w:ascii="Noto Sans Arabic" w:hAnsi="Noto Sans Arabic" w:cs="Noto Sans Arabic"/>
          <w:b/>
          <w:color w:val="3510A3"/>
        </w:rPr>
        <w:t>اختبارات أضيفت إلى الكود</w:t>
      </w:r>
    </w:p>
    <w:p>
      <w:pPr>
        <w:pStyle w:val="ListBullet"/>
        <w:spacing w:after="50" w:line="269" w:lineRule="auto"/>
        <w:ind w:left="0"/>
        <w:bidi w:val="1"/>
        <w:jc w:val="right"/>
      </w:pPr>
      <w:r>
        <w:rPr>
          <w:rFonts w:ascii="Noto Sans Arabic" w:hAnsi="Noto Sans Arabic" w:cs="Noto Sans Arabic"/>
          <w:color w:val="172033"/>
          <w:sz w:val="20"/>
        </w:rPr>
        <w:t>test_security_contracts.py</w:t>
      </w:r>
    </w:p>
    <w:p>
      <w:pPr>
        <w:pStyle w:val="ListBullet"/>
        <w:spacing w:after="50" w:line="269" w:lineRule="auto"/>
        <w:ind w:left="0"/>
        <w:bidi w:val="1"/>
        <w:jc w:val="right"/>
      </w:pPr>
      <w:r>
        <w:rPr>
          <w:rFonts w:ascii="Noto Sans Arabic" w:hAnsi="Noto Sans Arabic" w:cs="Noto Sans Arabic"/>
          <w:color w:val="172033"/>
          <w:sz w:val="20"/>
        </w:rPr>
        <w:t>test_otp_and_login.py</w:t>
      </w:r>
    </w:p>
    <w:p>
      <w:pPr>
        <w:pStyle w:val="ListBullet"/>
        <w:spacing w:after="50" w:line="269" w:lineRule="auto"/>
        <w:ind w:left="0"/>
        <w:bidi w:val="1"/>
        <w:jc w:val="right"/>
      </w:pPr>
      <w:r>
        <w:rPr>
          <w:rFonts w:ascii="Noto Sans Arabic" w:hAnsi="Noto Sans Arabic" w:cs="Noto Sans Arabic"/>
          <w:color w:val="172033"/>
          <w:sz w:val="20"/>
        </w:rPr>
        <w:t>test_feedback.py</w:t>
      </w:r>
    </w:p>
    <w:p>
      <w:pPr>
        <w:pStyle w:val="ListBullet"/>
        <w:spacing w:after="50" w:line="269" w:lineRule="auto"/>
        <w:ind w:left="0"/>
        <w:bidi w:val="1"/>
        <w:jc w:val="right"/>
      </w:pPr>
      <w:r>
        <w:rPr>
          <w:rFonts w:ascii="Noto Sans Arabic" w:hAnsi="Noto Sans Arabic" w:cs="Noto Sans Arabic"/>
          <w:color w:val="172033"/>
          <w:sz w:val="20"/>
        </w:rPr>
        <w:t>test_printing_contract.py</w:t>
      </w:r>
    </w:p>
    <w:tbl>
      <w:tblPr>
        <w:tblW w:type="auto" w:w="0"/>
        <w:jc w:val="center"/>
        <w:tblLook w:firstColumn="1" w:firstRow="1" w:lastColumn="0" w:lastRow="0" w:noHBand="0" w:noVBand="1" w:val="04A0"/>
        <w:bidiVisual w:val="1"/>
      </w:tblPr>
      <w:tblGrid>
        <w:gridCol w:w="10282"/>
      </w:tblGrid>
      <w:tr>
        <w:tc>
          <w:tcPr>
            <w:tcW w:type="dxa" w:w="10282"/>
            <w:shd w:fill="FFF4E5"/>
            <w:tcMar>
              <w:top w:w="160" w:type="dxa"/>
              <w:start w:w="180" w:type="dxa"/>
              <w:bottom w:w="160" w:type="dxa"/>
              <w:end w:w="180" w:type="dxa"/>
            </w:tcMar>
          </w:tcPr>
          <w:p>
            <w:pPr>
              <w:bidi w:val="1"/>
              <w:spacing w:line="278" w:lineRule="auto"/>
              <w:jc w:val="right"/>
            </w:pPr>
            <w:r>
              <w:rPr>
                <w:rFonts w:ascii="Noto Sans Arabic" w:hAnsi="Noto Sans Arabic" w:cs="Noto Sans Arabic"/>
                <w:b/>
                <w:color w:val="B45309"/>
                <w:sz w:val="22"/>
              </w:rPr>
              <w:t>ما لم يُنفذ في هذه البيئة</w:t>
              <w:br/>
            </w:r>
            <w:r>
              <w:rPr>
                <w:rFonts w:ascii="Noto Sans Arabic" w:hAnsi="Noto Sans Arabic" w:cs="Noto Sans Arabic"/>
                <w:color w:val="172033"/>
                <w:sz w:val="20"/>
              </w:rPr>
              <w:t>لم تُشغّل Django system checks أو migrations أو pytest أو OpenAPI validation أو Bandit/pip-audit لأن Django والاعتماديات وقاعدة البيانات وRedis غير متاحة دون اتصال. وجود ملفات الاختبار لا يعني نجاحها حتى ينفذها CI.</w:t>
            </w:r>
          </w:p>
        </w:tc>
      </w:tr>
    </w:tbl>
    <w:p>
      <w:pPr>
        <w:spacing w:after="20"/>
      </w:pPr>
    </w:p>
    <w:p>
      <w:pPr>
        <w:pStyle w:val="Heading1"/>
        <w:keepNext/>
        <w:bidi w:val="1"/>
        <w:spacing w:before="260" w:after="120"/>
        <w:jc w:val="right"/>
      </w:pPr>
      <w:r>
        <w:rPr>
          <w:rFonts w:ascii="Noto Sans Arabic" w:hAnsi="Noto Sans Arabic" w:cs="Noto Sans Arabic"/>
          <w:b/>
          <w:color w:val="001B72"/>
        </w:rPr>
        <w:t>19  المخاطر المتبقية والاعتماد النهائي</w:t>
      </w:r>
    </w:p>
    <w:tbl>
      <w:tblPr>
        <w:tblStyle w:val="TableGrid"/>
        <w:tblW w:type="auto" w:w="0"/>
        <w:jc w:val="center"/>
        <w:tblLook w:firstColumn="1" w:firstRow="1" w:lastColumn="0" w:lastRow="0" w:noHBand="0" w:noVBand="1" w:val="04A0"/>
        <w:bidiVisual w:val="1"/>
      </w:tblPr>
      <w:tblGrid>
        <w:gridCol w:w="3427"/>
        <w:gridCol w:w="3427"/>
        <w:gridCol w:w="3427"/>
      </w:tblGrid>
      <w:tr>
        <w:trPr>
          <w:tblHeader w:val="true"/>
        </w:trPr>
        <w:tc>
          <w:tcPr>
            <w:tcW w:type="dxa" w:w="324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المخاطرة</w:t>
            </w:r>
          </w:p>
        </w:tc>
        <w:tc>
          <w:tcPr>
            <w:tcW w:type="dxa" w:w="108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المستوى</w:t>
            </w:r>
          </w:p>
        </w:tc>
        <w:tc>
          <w:tcPr>
            <w:tcW w:type="dxa" w:w="576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الإجراء المطلوب</w:t>
            </w:r>
          </w:p>
        </w:tc>
      </w:tr>
      <w:tr>
        <w:tc>
          <w:tcPr>
            <w:tcW w:type="dxa" w:w="3240"/>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المهاجرات مكتوبة يدويًا وغير مطبقة</w:t>
            </w:r>
          </w:p>
        </w:tc>
        <w:tc>
          <w:tcPr>
            <w:tcW w:type="dxa" w:w="108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P0</w:t>
            </w:r>
          </w:p>
        </w:tc>
        <w:tc>
          <w:tcPr>
            <w:tcW w:type="dxa" w:w="576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CI + Staging + migrate plan + data verification</w:t>
            </w:r>
          </w:p>
        </w:tc>
      </w:tr>
      <w:tr>
        <w:tc>
          <w:tcPr>
            <w:tcW w:type="dxa" w:w="3240"/>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Gmail لم يختبر فعليًا</w:t>
            </w:r>
          </w:p>
        </w:tc>
        <w:tc>
          <w:tcPr>
            <w:tcW w:type="dxa" w:w="108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P0</w:t>
            </w:r>
          </w:p>
        </w:tc>
        <w:tc>
          <w:tcPr>
            <w:tcW w:type="dxa" w:w="576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App Password واختبار deliverability وSPF/DMARC عند استخدام دومين لاحقًا</w:t>
            </w:r>
          </w:p>
        </w:tc>
      </w:tr>
      <w:tr>
        <w:tc>
          <w:tcPr>
            <w:tcW w:type="dxa" w:w="3240"/>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Malware scanning غير مربوط</w:t>
            </w:r>
          </w:p>
        </w:tc>
        <w:tc>
          <w:tcPr>
            <w:tcW w:type="dxa" w:w="108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P0</w:t>
            </w:r>
          </w:p>
        </w:tc>
        <w:tc>
          <w:tcPr>
            <w:tcW w:type="dxa" w:w="576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Quarantine + ClamAV/Provider قبل نشر الملفات</w:t>
            </w:r>
          </w:p>
        </w:tc>
      </w:tr>
      <w:tr>
        <w:tc>
          <w:tcPr>
            <w:tcW w:type="dxa" w:w="3240"/>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تكامل الموبايل والداشبورد</w:t>
            </w:r>
          </w:p>
        </w:tc>
        <w:tc>
          <w:tcPr>
            <w:tcW w:type="dxa" w:w="108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P0</w:t>
            </w:r>
          </w:p>
        </w:tc>
        <w:tc>
          <w:tcPr>
            <w:tcW w:type="dxa" w:w="576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تحديث العقود وتوليد client من OpenAPI</w:t>
            </w:r>
          </w:p>
        </w:tc>
      </w:tr>
      <w:tr>
        <w:tc>
          <w:tcPr>
            <w:tcW w:type="dxa" w:w="3240"/>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Load test للشات/Redis</w:t>
            </w:r>
          </w:p>
        </w:tc>
        <w:tc>
          <w:tcPr>
            <w:tcW w:type="dxa" w:w="108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P1</w:t>
            </w:r>
          </w:p>
        </w:tc>
        <w:tc>
          <w:tcPr>
            <w:tcW w:type="dxa" w:w="576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اختبار آلاف الاتصالات وReconnect/Failover</w:t>
            </w:r>
          </w:p>
        </w:tc>
      </w:tr>
      <w:tr>
        <w:tc>
          <w:tcPr>
            <w:tcW w:type="dxa" w:w="3240"/>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Push Provider</w:t>
            </w:r>
          </w:p>
        </w:tc>
        <w:tc>
          <w:tcPr>
            <w:tcW w:type="dxa" w:w="108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P1</w:t>
            </w:r>
          </w:p>
        </w:tc>
        <w:tc>
          <w:tcPr>
            <w:tcW w:type="dxa" w:w="576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مفاتيح Expo وتجربة أجهزة حقيقية</w:t>
            </w:r>
          </w:p>
        </w:tc>
      </w:tr>
      <w:tr>
        <w:tc>
          <w:tcPr>
            <w:tcW w:type="dxa" w:w="3240"/>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S3/R2</w:t>
            </w:r>
          </w:p>
        </w:tc>
        <w:tc>
          <w:tcPr>
            <w:tcW w:type="dxa" w:w="108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P1</w:t>
            </w:r>
          </w:p>
        </w:tc>
        <w:tc>
          <w:tcPr>
            <w:tcW w:type="dxa" w:w="576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Bucket خاص وسياسة CORS/Retention واختبار signed access</w:t>
            </w:r>
          </w:p>
        </w:tc>
      </w:tr>
      <w:tr>
        <w:tc>
          <w:tcPr>
            <w:tcW w:type="dxa" w:w="3240"/>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Observability</w:t>
            </w:r>
          </w:p>
        </w:tc>
        <w:tc>
          <w:tcPr>
            <w:tcW w:type="dxa" w:w="108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P1</w:t>
            </w:r>
          </w:p>
        </w:tc>
        <w:tc>
          <w:tcPr>
            <w:tcW w:type="dxa" w:w="576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Sentry/APM/Metrics/alerts وإخفاء PII</w:t>
            </w:r>
          </w:p>
        </w:tc>
      </w:tr>
      <w:tr>
        <w:tc>
          <w:tcPr>
            <w:tcW w:type="dxa" w:w="3240"/>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Penetration test</w:t>
            </w:r>
          </w:p>
        </w:tc>
        <w:tc>
          <w:tcPr>
            <w:tcW w:type="dxa" w:w="108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P0</w:t>
            </w:r>
          </w:p>
        </w:tc>
        <w:tc>
          <w:tcPr>
            <w:tcW w:type="dxa" w:w="576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مراجعة مستقلة لـIDOR/Auth/Uploads/WebSocket</w:t>
            </w:r>
          </w:p>
        </w:tc>
      </w:tr>
      <w:tr>
        <w:tc>
          <w:tcPr>
            <w:tcW w:type="dxa" w:w="3240"/>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Backup restore</w:t>
            </w:r>
          </w:p>
        </w:tc>
        <w:tc>
          <w:tcPr>
            <w:tcW w:type="dxa" w:w="108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P0</w:t>
            </w:r>
          </w:p>
        </w:tc>
        <w:tc>
          <w:tcPr>
            <w:tcW w:type="dxa" w:w="576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تجربة استعادة دورية وRPO/RTO</w:t>
            </w:r>
          </w:p>
        </w:tc>
      </w:tr>
    </w:tbl>
    <w:p>
      <w:pPr>
        <w:spacing w:after="40"/>
      </w:pPr>
    </w:p>
    <w:p>
      <w:pPr>
        <w:pStyle w:val="Heading1"/>
        <w:keepNext/>
        <w:bidi w:val="1"/>
        <w:spacing w:before="260" w:after="120"/>
        <w:jc w:val="right"/>
      </w:pPr>
      <w:r>
        <w:rPr>
          <w:rFonts w:ascii="Noto Sans Arabic" w:hAnsi="Noto Sans Arabic" w:cs="Noto Sans Arabic"/>
          <w:b/>
          <w:color w:val="001B72"/>
        </w:rPr>
        <w:t>20  خطة الإطلاق ودرجة الجاهزية</w:t>
      </w:r>
    </w:p>
    <w:tbl>
      <w:tblPr>
        <w:tblStyle w:val="TableGrid"/>
        <w:tblW w:type="auto" w:w="0"/>
        <w:jc w:val="center"/>
        <w:tblLook w:firstColumn="1" w:firstRow="1" w:lastColumn="0" w:lastRow="0" w:noHBand="0" w:noVBand="1" w:val="04A0"/>
        <w:bidiVisual w:val="1"/>
      </w:tblPr>
      <w:tblGrid>
        <w:gridCol w:w="3427"/>
        <w:gridCol w:w="3427"/>
        <w:gridCol w:w="3427"/>
      </w:tblGrid>
      <w:tr>
        <w:trPr>
          <w:tblHeader w:val="true"/>
        </w:trPr>
        <w:tc>
          <w:tcPr>
            <w:tcW w:type="dxa" w:w="2088"/>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البوابة</w:t>
            </w:r>
          </w:p>
        </w:tc>
        <w:tc>
          <w:tcPr>
            <w:tcW w:type="dxa" w:w="5472"/>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معايير النجاح</w:t>
            </w:r>
          </w:p>
        </w:tc>
        <w:tc>
          <w:tcPr>
            <w:tcW w:type="dxa" w:w="2520"/>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7"/>
              </w:rPr>
              <w:t>الحالة الحالية</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G0 — Static</w:t>
            </w:r>
          </w:p>
        </w:tc>
        <w:tc>
          <w:tcPr>
            <w:tcW w:type="dxa" w:w="5472"/>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Syntax، أسرار، Shell، JSON</w:t>
            </w:r>
          </w:p>
        </w:tc>
        <w:tc>
          <w:tcPr>
            <w:tcW w:type="dxa" w:w="252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منجزة</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G1 — CI</w:t>
            </w:r>
          </w:p>
        </w:tc>
        <w:tc>
          <w:tcPr>
            <w:tcW w:type="dxa" w:w="547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Django checks، migrations، tests، schema، security tools</w:t>
            </w:r>
          </w:p>
        </w:tc>
        <w:tc>
          <w:tcPr>
            <w:tcW w:type="dxa" w:w="252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غير منفذة هنا</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G2 — Staging</w:t>
            </w:r>
          </w:p>
        </w:tc>
        <w:tc>
          <w:tcPr>
            <w:tcW w:type="dxa" w:w="5472"/>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PostgreSQL/Redis/Celery/Gmail/R2 ومسارات حقيقية</w:t>
            </w:r>
          </w:p>
        </w:tc>
        <w:tc>
          <w:tcPr>
            <w:tcW w:type="dxa" w:w="252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مطلوبة</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G3 — Security</w:t>
            </w:r>
          </w:p>
        </w:tc>
        <w:tc>
          <w:tcPr>
            <w:tcW w:type="dxa" w:w="547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SAST/DAST/IDOR/Upload/WebSocket/Pentest</w:t>
            </w:r>
          </w:p>
        </w:tc>
        <w:tc>
          <w:tcPr>
            <w:tcW w:type="dxa" w:w="252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مطلوبة</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b/>
                <w:color w:val="172033"/>
                <w:sz w:val="17"/>
              </w:rPr>
              <w:t>G4 — Reliability</w:t>
            </w:r>
          </w:p>
        </w:tc>
        <w:tc>
          <w:tcPr>
            <w:tcW w:type="dxa" w:w="5472"/>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Load، backup/restore، failover، alerts</w:t>
            </w:r>
          </w:p>
        </w:tc>
        <w:tc>
          <w:tcPr>
            <w:tcW w:type="dxa" w:w="2520"/>
            <w:tcMar>
              <w:top w:w="95" w:type="dxa"/>
              <w:start w:w="105" w:type="dxa"/>
              <w:bottom w:w="95" w:type="dxa"/>
              <w:end w:w="105" w:type="dxa"/>
            </w:tcMar>
            <w:vAlign w:val="center"/>
          </w:tcPr>
          <w:p>
            <w:pPr>
              <w:bidi w:val="1"/>
              <w:jc w:val="right"/>
            </w:pPr>
            <w:r>
              <w:rPr>
                <w:rFonts w:ascii="Noto Sans Arabic" w:hAnsi="Noto Sans Arabic" w:cs="Noto Sans Arabic"/>
                <w:color w:val="172033"/>
                <w:sz w:val="17"/>
              </w:rPr>
              <w:t>مطلوبة</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b/>
                <w:color w:val="172033"/>
                <w:sz w:val="17"/>
              </w:rPr>
              <w:t>G5 — Release</w:t>
            </w:r>
          </w:p>
        </w:tc>
        <w:tc>
          <w:tcPr>
            <w:tcW w:type="dxa" w:w="547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Mobile/Dashboard compatibility، smoke، rollback</w:t>
            </w:r>
          </w:p>
        </w:tc>
        <w:tc>
          <w:tcPr>
            <w:tcW w:type="dxa" w:w="2520"/>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7"/>
              </w:rPr>
              <w:t>مطلوبة</w:t>
            </w:r>
          </w:p>
        </w:tc>
      </w:tr>
    </w:tbl>
    <w:p>
      <w:pPr>
        <w:spacing w:after="40"/>
      </w:pPr>
    </w:p>
    <w:p>
      <w:pPr>
        <w:bidi w:val="1"/>
        <w:spacing w:after="100" w:line="283" w:lineRule="auto"/>
        <w:jc w:val="right"/>
      </w:pPr>
      <w:r>
        <w:rPr>
          <w:rFonts w:ascii="Noto Sans Arabic" w:hAnsi="Noto Sans Arabic" w:cs="Noto Sans Arabic" w:eastAsia="Noto Sans Arabic"/>
          <w:b w:val="0"/>
        </w:rPr>
        <w:t>الدرجة الحالية: نحو 91/100 كتقييم هندسي ساكن لمرشح الإنتاج. بعد نجاح G1–G5 دون ثغرات P0 وضمن أهداف الأداء، يمكن اعتماد النسخة للإنتاج. لا تستخدم عبارة 100% مثالية كبديل عن بوابة قبول قابلة للقياس.</w:t>
      </w:r>
    </w:p>
    <w:p>
      <w:pPr>
        <w:pStyle w:val="Heading2"/>
        <w:keepNext/>
        <w:bidi w:val="1"/>
        <w:spacing w:before="160" w:after="120"/>
        <w:jc w:val="right"/>
      </w:pPr>
      <w:r>
        <w:rPr>
          <w:rFonts w:ascii="Noto Sans Arabic" w:hAnsi="Noto Sans Arabic" w:cs="Noto Sans Arabic"/>
          <w:b/>
          <w:color w:val="3510A3"/>
        </w:rPr>
        <w:t>خطة 30 يومًا</w:t>
      </w:r>
    </w:p>
    <w:tbl>
      <w:tblPr>
        <w:tblStyle w:val="TableGrid"/>
        <w:tblW w:type="auto" w:w="0"/>
        <w:jc w:val="center"/>
        <w:tblLook w:firstColumn="1" w:firstRow="1" w:lastColumn="0" w:lastRow="0" w:noHBand="0" w:noVBand="1" w:val="04A0"/>
        <w:bidiVisual w:val="1"/>
      </w:tblPr>
      <w:tblGrid>
        <w:gridCol w:w="5141"/>
        <w:gridCol w:w="5141"/>
      </w:tblGrid>
      <w:tr>
        <w:trPr>
          <w:tblHeader w:val="true"/>
        </w:trPr>
        <w:tc>
          <w:tcPr>
            <w:tcW w:type="dxa" w:w="2088"/>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الفترة</w:t>
            </w:r>
          </w:p>
        </w:tc>
        <w:tc>
          <w:tcPr>
            <w:tcW w:type="dxa" w:w="7992"/>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الأعمال</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الأيام 1–5</w:t>
            </w:r>
          </w:p>
        </w:tc>
        <w:tc>
          <w:tcPr>
            <w:tcW w:type="dxa" w:w="7992"/>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تشغيل CI، إصلاح migrations، تثبيت OpenAPI، إعداد Secrets وGmail</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الأيام 6–10</w:t>
            </w:r>
          </w:p>
        </w:tc>
        <w:tc>
          <w:tcPr>
            <w:tcW w:type="dxa" w:w="799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تحديث الموبايل والداشبورد، Protected Tickets، Print Quote، Feedback</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الأيام 11–15</w:t>
            </w:r>
          </w:p>
        </w:tc>
        <w:tc>
          <w:tcPr>
            <w:tcW w:type="dxa" w:w="7992"/>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Staging كامل وR2 وCelery وExpo، اختبار journeys</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الأيام 16–20</w:t>
            </w:r>
          </w:p>
        </w:tc>
        <w:tc>
          <w:tcPr>
            <w:tcW w:type="dxa" w:w="799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اختبارات أمن وIDOR وUploads وWebSocket وOTP</w:t>
            </w:r>
          </w:p>
        </w:tc>
      </w:tr>
      <w:tr>
        <w:tc>
          <w:tcPr>
            <w:tcW w:type="dxa" w:w="2088"/>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الأيام 21–25</w:t>
            </w:r>
          </w:p>
        </w:tc>
        <w:tc>
          <w:tcPr>
            <w:tcW w:type="dxa" w:w="7992"/>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Load، مراقبة، Backup/Restore، تحسين Queries/Indexes</w:t>
            </w:r>
          </w:p>
        </w:tc>
      </w:tr>
      <w:tr>
        <w:tc>
          <w:tcPr>
            <w:tcW w:type="dxa" w:w="2088"/>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الأيام 26–30</w:t>
            </w:r>
          </w:p>
        </w:tc>
        <w:tc>
          <w:tcPr>
            <w:tcW w:type="dxa" w:w="7992"/>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Pilot محدود، تحليل التقييمات، إصلاح P0/P1، قرار Go/No-Go</w:t>
            </w:r>
          </w:p>
        </w:tc>
      </w:tr>
    </w:tbl>
    <w:p>
      <w:pPr>
        <w:spacing w:after="40"/>
      </w:pPr>
    </w:p>
    <w:p>
      <w:pPr>
        <w:pStyle w:val="Heading1"/>
        <w:keepNext/>
        <w:bidi w:val="1"/>
        <w:spacing w:before="260" w:after="120"/>
        <w:jc w:val="right"/>
      </w:pPr>
      <w:r>
        <w:rPr>
          <w:rFonts w:ascii="Noto Sans Arabic" w:hAnsi="Noto Sans Arabic" w:cs="Noto Sans Arabic"/>
          <w:b/>
          <w:color w:val="001B72"/>
        </w:rPr>
        <w:t>21  ملحق مسارات API وملفات التسليم</w:t>
      </w:r>
    </w:p>
    <w:p>
      <w:pPr>
        <w:pStyle w:val="Heading2"/>
        <w:keepNext/>
        <w:bidi w:val="1"/>
        <w:spacing w:before="160" w:after="120"/>
        <w:jc w:val="right"/>
      </w:pPr>
      <w:r>
        <w:rPr>
          <w:rFonts w:ascii="Noto Sans Arabic" w:hAnsi="Noto Sans Arabic" w:cs="Noto Sans Arabic"/>
          <w:b/>
          <w:color w:val="3510A3"/>
        </w:rPr>
        <w:t>الوحدات الأساسية</w:t>
      </w:r>
    </w:p>
    <w:tbl>
      <w:tblPr>
        <w:tblStyle w:val="TableGrid"/>
        <w:tblW w:type="auto" w:w="0"/>
        <w:jc w:val="center"/>
        <w:tblLook w:firstColumn="1" w:firstRow="1" w:lastColumn="0" w:lastRow="0" w:noHBand="0" w:noVBand="1" w:val="04A0"/>
        <w:bidiVisual w:val="1"/>
      </w:tblPr>
      <w:tblGrid>
        <w:gridCol w:w="5141"/>
        <w:gridCol w:w="5141"/>
      </w:tblGrid>
      <w:tr>
        <w:trPr>
          <w:tblHeader w:val="true"/>
        </w:trPr>
        <w:tc>
          <w:tcPr>
            <w:tcW w:type="dxa" w:w="2376"/>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الوحدة</w:t>
            </w:r>
          </w:p>
        </w:tc>
        <w:tc>
          <w:tcPr>
            <w:tcW w:type="dxa" w:w="7704"/>
            <w:shd w:fill="001B72"/>
            <w:tcMar>
              <w:top w:w="110" w:type="dxa"/>
              <w:start w:w="110" w:type="dxa"/>
              <w:bottom w:w="110" w:type="dxa"/>
              <w:end w:w="110" w:type="dxa"/>
            </w:tcMar>
            <w:vAlign w:val="center"/>
          </w:tcPr>
          <w:p>
            <w:pPr>
              <w:jc w:val="right"/>
              <w:bidi w:val="1"/>
            </w:pPr>
            <w:r>
              <w:rPr>
                <w:rFonts w:ascii="Noto Sans Arabic" w:hAnsi="Noto Sans Arabic" w:cs="Noto Sans Arabic"/>
                <w:b/>
                <w:color w:val="FFFFFF"/>
                <w:sz w:val="18"/>
              </w:rPr>
              <w:t>الوظائف</w:t>
            </w:r>
          </w:p>
        </w:tc>
      </w:tr>
      <w:tr>
        <w:tc>
          <w:tcPr>
            <w:tcW w:type="dxa" w:w="237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accounts</w:t>
            </w:r>
          </w:p>
        </w:tc>
        <w:tc>
          <w:tcPr>
            <w:tcW w:type="dxa" w:w="770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تسجيل، Login، OTP، Refresh، Logout، إدارة المستخدمين والصلاحيات</w:t>
            </w:r>
          </w:p>
        </w:tc>
      </w:tr>
      <w:tr>
        <w:tc>
          <w:tcPr>
            <w:tcW w:type="dxa" w:w="237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verification</w:t>
            </w:r>
          </w:p>
        </w:tc>
        <w:tc>
          <w:tcPr>
            <w:tcW w:type="dxa" w:w="770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إرسال ومراجعة التوثيق والبطاقات المحمية</w:t>
            </w:r>
          </w:p>
        </w:tc>
      </w:tr>
      <w:tr>
        <w:tc>
          <w:tcPr>
            <w:tcW w:type="dxa" w:w="237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groups</w:t>
            </w:r>
          </w:p>
        </w:tc>
        <w:tc>
          <w:tcPr>
            <w:tcW w:type="dxa" w:w="770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الغروبات والعضويات والقنوات الخارجية</w:t>
            </w:r>
          </w:p>
        </w:tc>
      </w:tr>
      <w:tr>
        <w:tc>
          <w:tcPr>
            <w:tcW w:type="dxa" w:w="237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chat</w:t>
            </w:r>
          </w:p>
        </w:tc>
        <w:tc>
          <w:tcPr>
            <w:tcW w:type="dxa" w:w="770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REST/WebSocket والبلاغات والمرفقات</w:t>
            </w:r>
          </w:p>
        </w:tc>
      </w:tr>
      <w:tr>
        <w:tc>
          <w:tcPr>
            <w:tcW w:type="dxa" w:w="237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files</w:t>
            </w:r>
          </w:p>
        </w:tc>
        <w:tc>
          <w:tcPr>
            <w:tcW w:type="dxa" w:w="770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المكتبة، الأهلية، التذاكر والبث</w:t>
            </w:r>
          </w:p>
        </w:tc>
      </w:tr>
      <w:tr>
        <w:tc>
          <w:tcPr>
            <w:tcW w:type="dxa" w:w="237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printing</w:t>
            </w:r>
          </w:p>
        </w:tc>
        <w:tc>
          <w:tcPr>
            <w:tcW w:type="dxa" w:w="770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الأسعار، Quote، الطلبات، الحالات، التعيين</w:t>
            </w:r>
          </w:p>
        </w:tc>
      </w:tr>
      <w:tr>
        <w:tc>
          <w:tcPr>
            <w:tcW w:type="dxa" w:w="237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support</w:t>
            </w:r>
          </w:p>
        </w:tc>
        <w:tc>
          <w:tcPr>
            <w:tcW w:type="dxa" w:w="770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التذاكر والرسائل والمرفقات</w:t>
            </w:r>
          </w:p>
        </w:tc>
      </w:tr>
      <w:tr>
        <w:tc>
          <w:tcPr>
            <w:tcW w:type="dxa" w:w="237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notifications</w:t>
            </w:r>
          </w:p>
        </w:tc>
        <w:tc>
          <w:tcPr>
            <w:tcW w:type="dxa" w:w="770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داخلي، Device Tokens، Push Tasks</w:t>
            </w:r>
          </w:p>
        </w:tc>
      </w:tr>
      <w:tr>
        <w:tc>
          <w:tcPr>
            <w:tcW w:type="dxa" w:w="2376"/>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feedback</w:t>
            </w:r>
          </w:p>
        </w:tc>
        <w:tc>
          <w:tcPr>
            <w:tcW w:type="dxa" w:w="7704"/>
            <w:tcMar>
              <w:top w:w="95" w:type="dxa"/>
              <w:start w:w="105" w:type="dxa"/>
              <w:bottom w:w="95" w:type="dxa"/>
              <w:end w:w="105" w:type="dxa"/>
            </w:tcMar>
            <w:vAlign w:val="center"/>
          </w:tcPr>
          <w:p>
            <w:pPr>
              <w:bidi w:val="1"/>
              <w:jc w:val="right"/>
            </w:pPr>
            <w:r>
              <w:rPr>
                <w:rFonts w:ascii="Noto Sans Arabic" w:hAnsi="Noto Sans Arabic" w:cs="Noto Sans Arabic"/>
                <w:color w:val="172033"/>
                <w:sz w:val="18"/>
              </w:rPr>
              <w:t>التقييم، الاقتراحات، التصويت، السياسات، التحليلات</w:t>
            </w:r>
          </w:p>
        </w:tc>
      </w:tr>
      <w:tr>
        <w:tc>
          <w:tcPr>
            <w:tcW w:type="dxa" w:w="2376"/>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audit/common</w:t>
            </w:r>
          </w:p>
        </w:tc>
        <w:tc>
          <w:tcPr>
            <w:tcW w:type="dxa" w:w="7704"/>
            <w:tcMar>
              <w:top w:w="95" w:type="dxa"/>
              <w:start w:w="105" w:type="dxa"/>
              <w:bottom w:w="95" w:type="dxa"/>
              <w:end w:w="105" w:type="dxa"/>
            </w:tcMar>
            <w:vAlign w:val="center"/>
            <w:shd w:fill="F8FAFD"/>
          </w:tcPr>
          <w:p>
            <w:pPr>
              <w:bidi w:val="1"/>
              <w:jc w:val="right"/>
            </w:pPr>
            <w:r>
              <w:rPr>
                <w:rFonts w:ascii="Noto Sans Arabic" w:hAnsi="Noto Sans Arabic" w:cs="Noto Sans Arabic"/>
                <w:color w:val="172033"/>
                <w:sz w:val="18"/>
              </w:rPr>
              <w:t>التدقيق، الاستجابات، الأخطاء، Throttling، Retention</w:t>
            </w:r>
          </w:p>
        </w:tc>
      </w:tr>
    </w:tbl>
    <w:p>
      <w:pPr>
        <w:spacing w:after="40"/>
      </w:pPr>
    </w:p>
    <w:p>
      <w:pPr>
        <w:pStyle w:val="Heading2"/>
        <w:keepNext/>
        <w:bidi w:val="1"/>
        <w:spacing w:before="160" w:after="120"/>
        <w:jc w:val="right"/>
      </w:pPr>
      <w:r>
        <w:rPr>
          <w:rFonts w:ascii="Noto Sans Arabic" w:hAnsi="Noto Sans Arabic" w:cs="Noto Sans Arabic"/>
          <w:b/>
          <w:color w:val="3510A3"/>
        </w:rPr>
        <w:t>ملفات التسليم</w:t>
      </w:r>
    </w:p>
    <w:p>
      <w:pPr>
        <w:pStyle w:val="ListBullet"/>
        <w:spacing w:after="50" w:line="269" w:lineRule="auto"/>
        <w:ind w:left="0"/>
        <w:bidi w:val="1"/>
        <w:jc w:val="right"/>
      </w:pPr>
      <w:r>
        <w:rPr>
          <w:rFonts w:ascii="Noto Sans Arabic" w:hAnsi="Noto Sans Arabic" w:cs="Noto Sans Arabic"/>
          <w:color w:val="172033"/>
          <w:sz w:val="20"/>
        </w:rPr>
        <w:t>Panorama_Backend_v2_Production_Candidate.zip — نسخة الكود المنظفة دون .env أو .venv أو Cache.</w:t>
      </w:r>
    </w:p>
    <w:p>
      <w:pPr>
        <w:pStyle w:val="ListBullet"/>
        <w:spacing w:after="50" w:line="269" w:lineRule="auto"/>
        <w:ind w:left="0"/>
        <w:bidi w:val="1"/>
        <w:jc w:val="right"/>
      </w:pPr>
      <w:r>
        <w:rPr>
          <w:rFonts w:ascii="Noto Sans Arabic" w:hAnsi="Noto Sans Arabic" w:cs="Noto Sans Arabic"/>
          <w:color w:val="172033"/>
          <w:sz w:val="20"/>
        </w:rPr>
        <w:t>Panorama_Backend_v2_Senior_Transformation_Report_AR.docx — هذا التقرير.</w:t>
      </w:r>
    </w:p>
    <w:p>
      <w:pPr>
        <w:pStyle w:val="ListBullet"/>
        <w:spacing w:after="50" w:line="269" w:lineRule="auto"/>
        <w:ind w:left="0"/>
        <w:bidi w:val="1"/>
        <w:jc w:val="right"/>
      </w:pPr>
      <w:r>
        <w:rPr>
          <w:rFonts w:ascii="Noto Sans Arabic" w:hAnsi="Noto Sans Arabic" w:cs="Noto Sans Arabic"/>
          <w:color w:val="172033"/>
          <w:sz w:val="20"/>
        </w:rPr>
        <w:t>Panorama_Backend_v2_Change_Manifest_AR.md — سجل الملفات المضافة والمعدلة والمحذوفة.</w:t>
      </w:r>
    </w:p>
    <w:p>
      <w:pPr>
        <w:pStyle w:val="ListBullet"/>
        <w:spacing w:after="50" w:line="269" w:lineRule="auto"/>
        <w:ind w:left="0"/>
        <w:bidi w:val="1"/>
        <w:jc w:val="right"/>
      </w:pPr>
      <w:r>
        <w:rPr>
          <w:rFonts w:ascii="Noto Sans Arabic" w:hAnsi="Noto Sans Arabic" w:cs="Noto Sans Arabic"/>
          <w:color w:val="172033"/>
          <w:sz w:val="20"/>
        </w:rPr>
        <w:t>SHA256SUMS.txt — بصمات التحقق من سلامة الملفات.</w:t>
      </w:r>
    </w:p>
    <w:tbl>
      <w:tblPr>
        <w:tblW w:type="auto" w:w="0"/>
        <w:jc w:val="center"/>
        <w:tblLook w:firstColumn="1" w:firstRow="1" w:lastColumn="0" w:lastRow="0" w:noHBand="0" w:noVBand="1" w:val="04A0"/>
        <w:bidiVisual w:val="1"/>
      </w:tblPr>
      <w:tblGrid>
        <w:gridCol w:w="10282"/>
      </w:tblGrid>
      <w:tr>
        <w:tc>
          <w:tcPr>
            <w:tcW w:type="dxa" w:w="10282"/>
            <w:shd w:fill="E7F5EF"/>
            <w:tcMar>
              <w:top w:w="160" w:type="dxa"/>
              <w:start w:w="180" w:type="dxa"/>
              <w:bottom w:w="160" w:type="dxa"/>
              <w:end w:w="180" w:type="dxa"/>
            </w:tcMar>
          </w:tcPr>
          <w:p>
            <w:pPr>
              <w:bidi w:val="1"/>
              <w:spacing w:line="278" w:lineRule="auto"/>
              <w:jc w:val="right"/>
            </w:pPr>
            <w:r>
              <w:rPr>
                <w:rFonts w:ascii="Noto Sans Arabic" w:hAnsi="Noto Sans Arabic" w:cs="Noto Sans Arabic"/>
                <w:b/>
                <w:color w:val="13795B"/>
                <w:sz w:val="22"/>
              </w:rPr>
              <w:t>الخلاصة النهائية</w:t>
              <w:br/>
            </w:r>
            <w:r>
              <w:rPr>
                <w:rFonts w:ascii="Noto Sans Arabic" w:hAnsi="Noto Sans Arabic" w:cs="Noto Sans Arabic"/>
                <w:color w:val="172033"/>
                <w:sz w:val="20"/>
              </w:rPr>
              <w:t>النسخة الجديدة لا تكتفي بإضافة Feature واحدة؛ بل تعيد ضبط حدود الثقة في النظام كله: المستخدم لا يحدد السعر، الواجهة لا تمنح الصلاحية، الرابط الحساس لا يعاد خامًا، OTP لا يسجل، والاقتراحات تتحول إلى دورة تطوير قابلة للقياس. الخطوة التالية ليست إضافة مزيد من الكود، بل إثباته في CI وStaging ثم إغلاق المخاطر المتبقية.</w:t>
            </w:r>
          </w:p>
        </w:tc>
      </w:tr>
    </w:tbl>
    <w:p>
      <w:pPr>
        <w:spacing w:after="20"/>
      </w:pP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color w:val="5E677A"/>
        <w:sz w:val="16"/>
      </w:rPr>
      <w:t xml:space="preserve">سري للتطوير الداخلي  •  صفحة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cs="Noto Sans Arabic"/>
        <w:color w:val="5E677A"/>
        <w:sz w:val="16"/>
      </w:rPr>
      <w:t>Panorama Backend v2  |  تقرير التحويل الهندسي والأمني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Noto Sans Arabic" w:hAnsi="Noto Sans Arabic" w:cs="Noto Sans Arabi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Noto Sans Arabic" w:hAnsi="Noto Sans Arabic" w:cs="Noto Sans Arabi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Noto Sans Arabic" w:hAnsi="Noto Sans Arabic" w:cs="Noto Sans Arabi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Arabic" w:hAnsi="Noto Sans Arabic" w:cs="Noto Sans Arabic"/>
      <w:sz w:val="20"/>
    </w:rPr>
  </w:style>
  <w:style w:type="paragraph" w:styleId="ListBullet2">
    <w:name w:val="List Bullet 2"/>
    <w:basedOn w:val="Normal"/>
    <w:uiPriority w:val="99"/>
    <w:unhideWhenUsed/>
    <w:rsid w:val="00326F90"/>
    <w:pPr>
      <w:numPr>
        <w:numId w:val="2"/>
      </w:numPr>
      <w:contextualSpacing/>
    </w:pPr>
    <w:rPr>
      <w:rFonts w:ascii="Noto Sans Arabic" w:hAnsi="Noto Sans Arabic" w:cs="Noto Sans Arabi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Arabic" w:hAnsi="Noto Sans Arabic" w:cs="Noto Sans Arab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Panorama Backend v2 — تقرير التحويل الشامل إلى مرشح إنتاج</dc:title>
  <dc:subject>Backend architecture, security hardening, feedback, RBAC, OTP, protected resources, printing pricing and production release</dc:subject>
  <dc:creator>OpenAI — Senior Engineering Analysis</dc:creator>
  <cp:keywords>Panorama, Django, Backend, Security, RBAC, OTP, Feedback, Production</cp:keywords>
  <dc:description>Generated from the reviewed codebase. No secrets included.</dc:description>
  <cp:lastModifiedBy/>
  <cp:revision>1</cp:revision>
  <dcterms:created xsi:type="dcterms:W3CDTF">2013-12-23T23:15:00Z</dcterms:created>
  <dcterms:modified xsi:type="dcterms:W3CDTF">2013-12-23T23:15:00Z</dcterms:modified>
  <cp:category/>
</cp:coreProperties>
</file>