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December 28, 2022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  3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An unauthorized individual accessed the personal and financial data of 50,000 customers. The estimated financial impact is $100,000. The incident has been resolved after a thorough investigation.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14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By an indivual who sent email from external source 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16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individual was able to gain unauthorized access to customer personal</w:t>
            </w:r>
          </w:p>
          <w:p w:rsidR="00000000" w:rsidDel="00000000" w:rsidP="00000000" w:rsidRDefault="00000000" w:rsidRPr="00000000" w14:paraId="00000017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identifiable information (PII) and financial information.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19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  <w:u w:val="singl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u w:val="single"/>
                <w:rtl w:val="0"/>
              </w:rPr>
              <w:t xml:space="preserve">Decmeber22-28th,2022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1B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  <w:u w:val="singl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u w:val="single"/>
                <w:rtl w:val="0"/>
              </w:rPr>
              <w:t xml:space="preserve">Online 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1D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  <w:u w:val="singl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u w:val="single"/>
                <w:rtl w:val="0"/>
              </w:rPr>
              <w:t xml:space="preserve">Because of vulnerability in the 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company implemented regular vulnerability scans and penetration testing along with access control mechanism </w:t>
            </w:r>
          </w:p>
        </w:tc>
      </w:tr>
    </w:tbl>
    <w:p w:rsidR="00000000" w:rsidDel="00000000" w:rsidP="00000000" w:rsidRDefault="00000000" w:rsidRPr="00000000" w14:paraId="00000024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