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page" w:horzAnchor="margin" w:tblpXSpec="center" w:leftFromText="141" w:rightFromText="141" w:tblpY="518"/>
        <w:tblW w:w="10916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840"/>
        <w:gridCol w:w="3539"/>
        <w:gridCol w:w="3537"/>
      </w:tblGrid>
      <w:tr>
        <w:trPr>
          <w:trHeight w:val="1112" w:hRule="atLeast"/>
          <w:cantSplit/>
        </w:trPr>
        <w:tc>
          <w:tcPr>
            <w:tcW w:w="3840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mall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mallCaps/>
                <w:sz w:val="24"/>
              </w:rPr>
              <w:t>Office National Des Aéroports</w:t>
            </w:r>
          </w:p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mall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mallCaps/>
                <w:sz w:val="24"/>
              </w:rPr>
              <w:t>Aéroport Mohammed V</w:t>
            </w:r>
          </w:p>
        </w:tc>
        <w:tc>
          <w:tcPr>
            <w:tcW w:w="3539" w:type="dxa"/>
            <w:vMerge w:val="restart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entury Gothic" w:hAnsi="Century Gothic" w:cs="Century Gothic"/>
              </w:rPr>
            </w:pPr>
            <w:r>
              <w:rPr>
                <w:b/>
                <w:lang w:val="en-US" w:eastAsia="en-US"/>
              </w:rPr>
              <w:drawing>
                <wp:inline distT="0" distB="0" distL="0" distR="0">
                  <wp:extent cx="2134235" cy="1120775"/>
                  <wp:effectExtent l="0" t="0" r="0" b="0"/>
                  <wp:docPr id="1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23" r="-12" b="-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4235" cy="11207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37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cs="Century Gothic" w:ascii="Century Gothic" w:hAnsi="Century Gothic"/>
                <w:b/>
                <w:bCs/>
                <w:sz w:val="32"/>
                <w:szCs w:val="32"/>
              </w:rPr>
              <w:t>FICHE D’INTERVENTION</w:t>
            </w:r>
          </w:p>
        </w:tc>
      </w:tr>
      <w:tr>
        <w:trPr>
          <w:trHeight w:val="572" w:hRule="atLeast"/>
          <w:cantSplit/>
        </w:trPr>
        <w:tc>
          <w:tcPr>
            <w:tcW w:w="3840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caps/>
                <w:sz w:val="24"/>
              </w:rPr>
              <w:t>département TECHNIQUE NAVIGATION</w:t>
            </w:r>
          </w:p>
        </w:tc>
        <w:tc>
          <w:tcPr>
            <w:tcW w:w="3539" w:type="dxa"/>
            <w:vMerge w:val="continue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</w:rPr>
            </w:pPr>
            <w:r>
              <w:rPr>
                <w:rFonts w:cs="Century Gothic" w:ascii="Century Gothic" w:hAnsi="Century Gothic"/>
                <w:b/>
                <w:bCs/>
                <w:caps/>
                <w:sz w:val="24"/>
              </w:rPr>
            </w:r>
          </w:p>
        </w:tc>
        <w:tc>
          <w:tcPr>
            <w:tcW w:w="3537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4"/>
              <w:ind w:hanging="0" w:start="0"/>
              <w:rPr>
                <w:rFonts w:ascii="Century Gothic" w:hAnsi="Century Gothic" w:cs="Century Gothic"/>
                <w:b/>
                <w:bC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z w:val="24"/>
              </w:rPr>
              <w:t>CMN.PS08.E.005/02</w:t>
            </w:r>
          </w:p>
        </w:tc>
      </w:tr>
    </w:tbl>
    <w:p>
      <w:pPr>
        <w:pStyle w:val="Normal"/>
        <w:rPr>
          <w:sz w:val="16"/>
          <w:szCs w:val="16"/>
          <w:vertAlign w:val="superscript"/>
        </w:rPr>
      </w:pPr>
      <w:r>
        <w:rPr>
          <w:sz w:val="16"/>
          <w:szCs w:val="16"/>
          <w:vertAlign w:val="superscript"/>
        </w:rPr>
      </w:r>
    </w:p>
    <w:tbl>
      <w:tblPr>
        <w:tblW w:w="110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6"/>
        <w:gridCol w:w="5528"/>
        <w:gridCol w:w="2213"/>
        <w:gridCol w:w="2153"/>
      </w:tblGrid>
      <w:tr>
        <w:trPr/>
        <w:tc>
          <w:tcPr>
            <w:tcW w:w="1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N° Marché</w:t>
            </w:r>
          </w:p>
        </w:tc>
        <w:tc>
          <w:tcPr>
            <w:tcW w:w="5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Intitulé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Société</w:t>
            </w:r>
          </w:p>
        </w:tc>
        <w:tc>
          <w:tcPr>
            <w:tcW w:w="21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Lieu de l’intervention </w:t>
            </w:r>
            <w:r>
              <w:rPr>
                <w:rFonts w:cs="Century Gothic" w:ascii="Century Gothic" w:hAnsi="Century Gothic"/>
                <w:b/>
                <w:i/>
                <w:sz w:val="22"/>
                <w:szCs w:val="22"/>
                <w:vertAlign w:val="superscript"/>
              </w:rPr>
              <w:t>(01)</w:t>
            </w:r>
          </w:p>
        </w:tc>
      </w:tr>
      <w:tr>
        <w:trPr>
          <w:trHeight w:val="448" w:hRule="atLeast"/>
        </w:trPr>
        <w:tc>
          <w:tcPr>
            <w:tcW w:w="1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  <w:t>044/24</w:t>
            </w:r>
          </w:p>
        </w:tc>
        <w:tc>
          <w:tcPr>
            <w:tcW w:w="5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  <w:t>Installation et maintenance des EDS T1 et T2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  <w:t>SMITHS DETECTION</w:t>
            </w:r>
          </w:p>
        </w:tc>
        <w:tc>
          <w:tcPr>
            <w:tcW w:w="21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  <w:t>CMN T1 ZONE B</w:t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85"/>
        <w:gridCol w:w="1734"/>
        <w:gridCol w:w="1735"/>
        <w:gridCol w:w="1734"/>
        <w:gridCol w:w="1735"/>
        <w:gridCol w:w="1735"/>
      </w:tblGrid>
      <w:tr>
        <w:trPr/>
        <w:tc>
          <w:tcPr>
            <w:tcW w:w="238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Nature de l’intervention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Contrôle</w:t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Maintenance préventive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Maintenance corrective</w:t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Maintenance de garantie</w:t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Autre</w:t>
            </w:r>
          </w:p>
        </w:tc>
      </w:tr>
      <w:tr>
        <w:trPr/>
        <w:tc>
          <w:tcPr>
            <w:tcW w:w="238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ind w:start="720" w:end="0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60"/>
        <w:gridCol w:w="1560"/>
        <w:gridCol w:w="992"/>
        <w:gridCol w:w="1134"/>
        <w:gridCol w:w="1276"/>
        <w:gridCol w:w="1134"/>
        <w:gridCol w:w="992"/>
        <w:gridCol w:w="1276"/>
        <w:gridCol w:w="1134"/>
      </w:tblGrid>
      <w:tr>
        <w:trPr/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Date et heure de la demande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Demandeur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Par Fax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Par mail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Par téléphone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 xml:space="preserve">  </w:t>
            </w: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Via le call center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Par sms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Via station de base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Demande planifiée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  <w:p>
            <w:pPr>
              <w:pStyle w:val="Normal"/>
              <w:numPr>
                <w:ilvl w:val="0"/>
                <w:numId w:val="12"/>
              </w:numPr>
              <w:rPr>
                <w:rFonts w:ascii="Century Gothic" w:hAnsi="Century Gothic" w:cs="Century Gothic"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364"/>
        <w:gridCol w:w="898"/>
        <w:gridCol w:w="898"/>
        <w:gridCol w:w="898"/>
      </w:tblGrid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Exigences pour l’intervention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(02)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OUI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NA</w:t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Le prestataire utilise les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E</w:t>
            </w:r>
            <w:r>
              <w:rPr>
                <w:rFonts w:cs="Century Gothic" w:ascii="Century Gothic" w:hAnsi="Century Gothic"/>
                <w:sz w:val="22"/>
                <w:szCs w:val="22"/>
              </w:rPr>
              <w:t xml:space="preserve">quipements de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P</w:t>
            </w:r>
            <w:r>
              <w:rPr>
                <w:rFonts w:cs="Century Gothic" w:ascii="Century Gothic" w:hAnsi="Century Gothic"/>
                <w:sz w:val="22"/>
                <w:szCs w:val="22"/>
              </w:rPr>
              <w:t xml:space="preserve">rotection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I</w:t>
            </w:r>
            <w:r>
              <w:rPr>
                <w:rFonts w:cs="Century Gothic" w:ascii="Century Gothic" w:hAnsi="Century Gothic"/>
                <w:sz w:val="22"/>
                <w:szCs w:val="22"/>
              </w:rPr>
              <w:t>ndividuelle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protège le lieu d’intervention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minimise les risques et les contraintes de l’intervention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8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utilise l’effectif adéquat pour l’intervention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5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applique les procédures de maintenance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utilise la consignation et la déconsignation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4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utilise le permis de feu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9"/>
              </w:numPr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start="720" w:end="0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utilise l’outillage et l’appareillage nécessaires à l’intervention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0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respecte les normes et les exigences de sûreté, de sécurité, de qualité et d’environnements exigés par le marché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1"/>
              </w:numPr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60"/>
        <w:gridCol w:w="2410"/>
        <w:gridCol w:w="2410"/>
        <w:gridCol w:w="1559"/>
        <w:gridCol w:w="1559"/>
        <w:gridCol w:w="1560"/>
      </w:tblGrid>
      <w:tr>
        <w:trPr/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Date et heure de l’intervention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Lieu de l’intervention</w:t>
            </w:r>
            <w:r>
              <w:rPr>
                <w:rFonts w:cs="Century Gothic" w:ascii="Century Gothic" w:hAnsi="Century Gothic"/>
                <w:b/>
                <w:vertAlign w:val="superscript"/>
              </w:rPr>
              <w:t xml:space="preserve">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(01)</w:t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Equipement ou ouvrage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Début de l’intervention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Fin de l’intervention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Durée de l’intervention</w:t>
            </w:r>
          </w:p>
        </w:tc>
      </w:tr>
      <w:tr>
        <w:trPr>
          <w:trHeight w:val="58" w:hRule="atLeast"/>
        </w:trPr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 xml:space="preserve">CMN T1 ZONE B    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55"/>
        <w:gridCol w:w="3543"/>
        <w:gridCol w:w="1560"/>
      </w:tblGrid>
      <w:tr>
        <w:trPr/>
        <w:tc>
          <w:tcPr>
            <w:tcW w:w="1105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Pièces ou éléments remplacés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(02)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Désignation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Référence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Quantité</w:t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181" w:leader="none"/>
              </w:tabs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entury Gothic" w:hAnsi="Century Gothic" w:cs="Century Gothic"/>
          <w:vertAlign w:val="superscript"/>
        </w:rPr>
      </w:pPr>
      <w:r>
        <w:rPr>
          <w:rFonts w:cs="Century Gothic" w:ascii="Century Gothic" w:hAnsi="Century Gothic"/>
          <w:b/>
          <w:vertAlign w:val="superscript"/>
        </w:rPr>
        <w:t>N.B</w:t>
      </w:r>
      <w:r>
        <w:rPr>
          <w:rFonts w:cs="Century Gothic" w:ascii="Century Gothic" w:hAnsi="Century Gothic"/>
          <w:vertAlign w:val="superscript"/>
        </w:rPr>
        <w:t xml:space="preserve"> : </w:t>
      </w:r>
      <w:r>
        <w:rPr>
          <w:rFonts w:cs="Century Gothic" w:ascii="Century Gothic" w:hAnsi="Century Gothic"/>
          <w:i/>
          <w:vertAlign w:val="superscript"/>
        </w:rPr>
        <w:t>(01)</w:t>
      </w:r>
      <w:r>
        <w:rPr>
          <w:rFonts w:cs="Century Gothic" w:ascii="Century Gothic" w:hAnsi="Century Gothic"/>
          <w:vertAlign w:val="superscript"/>
        </w:rPr>
        <w:t>  Préciser le lieu de l’intervention,           NA : Non Appliqué</w:t>
      </w:r>
      <w:r>
        <w:br w:type="page"/>
      </w:r>
    </w:p>
    <w:p>
      <w:pPr>
        <w:pStyle w:val="Normal"/>
        <w:rPr/>
      </w:pPr>
      <w:r>
        <w:rPr>
          <w:rFonts w:cs="Century Gothic" w:ascii="Century Gothic" w:hAnsi="Century Gothic"/>
          <w:vertAlign w:val="superscript"/>
        </w:rPr>
      </w:r>
    </w:p>
    <w:tbl>
      <w:tblPr>
        <w:tblpPr w:vertAnchor="page" w:horzAnchor="margin" w:tblpXSpec="center" w:leftFromText="141" w:rightFromText="141" w:tblpY="518"/>
        <w:tblW w:w="10916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840"/>
        <w:gridCol w:w="3539"/>
        <w:gridCol w:w="3537"/>
      </w:tblGrid>
      <w:tr>
        <w:trPr>
          <w:trHeight w:val="1112" w:hRule="atLeast"/>
          <w:cantSplit/>
        </w:trPr>
        <w:tc>
          <w:tcPr>
            <w:tcW w:w="3840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mall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mallCaps/>
                <w:sz w:val="24"/>
              </w:rPr>
              <w:t>Office National Des Aéroports</w:t>
            </w:r>
          </w:p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mall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mallCaps/>
                <w:sz w:val="24"/>
              </w:rPr>
              <w:t>Aéroport Mohammed V</w:t>
            </w:r>
          </w:p>
        </w:tc>
        <w:tc>
          <w:tcPr>
            <w:tcW w:w="3539" w:type="dxa"/>
            <w:vMerge w:val="restart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entury Gothic" w:hAnsi="Century Gothic" w:cs="Century Gothic"/>
              </w:rPr>
            </w:pPr>
            <w:r>
              <w:rPr>
                <w:b/>
                <w:lang w:val="en-US" w:eastAsia="en-US"/>
              </w:rPr>
              <w:drawing>
                <wp:inline distT="0" distB="0" distL="0" distR="0">
                  <wp:extent cx="2134235" cy="1120775"/>
                  <wp:effectExtent l="0" t="0" r="0" b="0"/>
                  <wp:docPr id="2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12" t="-23" r="-12" b="-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4235" cy="11207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37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cs="Century Gothic" w:ascii="Century Gothic" w:hAnsi="Century Gothic"/>
                <w:b/>
                <w:bCs/>
                <w:sz w:val="32"/>
                <w:szCs w:val="32"/>
              </w:rPr>
              <w:t>FICHE D’INTERVENTION</w:t>
            </w:r>
          </w:p>
        </w:tc>
      </w:tr>
      <w:tr>
        <w:trPr>
          <w:trHeight w:val="572" w:hRule="atLeast"/>
          <w:cantSplit/>
        </w:trPr>
        <w:tc>
          <w:tcPr>
            <w:tcW w:w="3840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caps/>
                <w:sz w:val="24"/>
              </w:rPr>
              <w:t>département TECHNIQUE NAVIGATION</w:t>
            </w:r>
          </w:p>
        </w:tc>
        <w:tc>
          <w:tcPr>
            <w:tcW w:w="3539" w:type="dxa"/>
            <w:vMerge w:val="continue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</w:rPr>
            </w:pPr>
            <w:r>
              <w:rPr>
                <w:rFonts w:cs="Century Gothic" w:ascii="Century Gothic" w:hAnsi="Century Gothic"/>
                <w:b/>
                <w:bCs/>
                <w:caps/>
                <w:sz w:val="24"/>
              </w:rPr>
            </w:r>
          </w:p>
        </w:tc>
        <w:tc>
          <w:tcPr>
            <w:tcW w:w="3537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4"/>
              <w:ind w:hanging="0" w:start="0"/>
              <w:rPr>
                <w:rFonts w:ascii="Century Gothic" w:hAnsi="Century Gothic" w:cs="Century Gothic"/>
                <w:b/>
                <w:bC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z w:val="24"/>
              </w:rPr>
              <w:t>CMN.PS08.E.005/02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58"/>
      </w:tblGrid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Compte rendu de l’intervention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(02)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3"/>
              </w:num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Maintenance préventive 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3"/>
              </w:numPr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  <w:t>Test calibration passe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3"/>
              </w:numPr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  <w:t>IQ test passe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3"/>
              </w:numPr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  <w:t xml:space="preserve">Machine Opérationnelle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</w:r>
          </w:p>
        </w:tc>
      </w:tr>
    </w:tbl>
    <w:p>
      <w:pPr>
        <w:pStyle w:val="Normal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58"/>
      </w:tblGrid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Commentaire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(02)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364"/>
        <w:gridCol w:w="898"/>
        <w:gridCol w:w="898"/>
        <w:gridCol w:w="898"/>
      </w:tblGrid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Bilan de l’intervention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(03)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OUI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NA</w:t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Les essais de l’équipement ou de l’ouvrage sont concluants 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L’intervention du prestataire est conforme aux clauses du contrat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Technicien superviseur a assuré le suivi de l’opération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Les procédures en vigueur ont été respectées par le prestataire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doit fournir au service un rapport détaillé de l’intervention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Autre commentaire : </w:t>
            </w:r>
          </w:p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4"/>
        <w:gridCol w:w="2765"/>
        <w:gridCol w:w="2764"/>
        <w:gridCol w:w="2765"/>
      </w:tblGrid>
      <w:tr>
        <w:trPr/>
        <w:tc>
          <w:tcPr>
            <w:tcW w:w="2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Prestataire</w:t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Technicien</w:t>
            </w:r>
          </w:p>
        </w:tc>
        <w:tc>
          <w:tcPr>
            <w:tcW w:w="2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Section</w:t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Chef de service</w:t>
            </w:r>
          </w:p>
        </w:tc>
      </w:tr>
      <w:tr>
        <w:trPr/>
        <w:tc>
          <w:tcPr>
            <w:tcW w:w="2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  <w:lang w:val="en-US" w:eastAsia="en-US"/>
              </w:rPr>
              <w:drawing>
                <wp:anchor distT="0" distB="0" distL="114935" distR="114935" simplePos="0" relativeHeight="9" behindDoc="0" locked="0" layoutInCell="1" allowOverlap="1">
                  <wp:simplePos x="0" y="0"/>
                  <wp:positionH relativeFrom="column">
                    <wp:posOffset>253365</wp:posOffset>
                  </wp:positionH>
                  <wp:positionV relativeFrom="paragraph">
                    <wp:posOffset>102870</wp:posOffset>
                  </wp:positionV>
                  <wp:extent cx="1656715" cy="1050290"/>
                  <wp:effectExtent l="0" t="0" r="0" b="0"/>
                  <wp:wrapNone/>
                  <wp:docPr id="3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5" t="-8" r="-5" b="-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715" cy="1050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VISA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jc w:val="end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Date : 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VISA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ind w:firstLine="708" w:end="0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Date : 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2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VISA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ind w:firstLine="708" w:end="0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Date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VISA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Date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entury Gothic" w:hAnsi="Century Gothic" w:cs="Century Gothic"/>
          <w:vertAlign w:val="superscript"/>
        </w:rPr>
      </w:pPr>
      <w:r>
        <w:rPr>
          <w:rFonts w:cs="Century Gothic" w:ascii="Century Gothic" w:hAnsi="Century Gothic"/>
          <w:b/>
          <w:vertAlign w:val="superscript"/>
        </w:rPr>
        <w:t>N.B</w:t>
      </w:r>
      <w:r>
        <w:rPr>
          <w:rFonts w:cs="Century Gothic" w:ascii="Century Gothic" w:hAnsi="Century Gothic"/>
          <w:vertAlign w:val="superscript"/>
        </w:rPr>
        <w:t xml:space="preserve"> : </w:t>
      </w:r>
      <w:r>
        <w:rPr>
          <w:rFonts w:cs="Century Gothic" w:ascii="Century Gothic" w:hAnsi="Century Gothic"/>
          <w:i/>
          <w:vertAlign w:val="superscript"/>
        </w:rPr>
        <w:t>(01)</w:t>
      </w:r>
      <w:r>
        <w:rPr>
          <w:rFonts w:cs="Century Gothic" w:ascii="Century Gothic" w:hAnsi="Century Gothic"/>
          <w:vertAlign w:val="superscript"/>
        </w:rPr>
        <w:t> préciser le lieu de l’intervention, NA : Non Appliqué</w:t>
      </w:r>
    </w:p>
    <w:p>
      <w:pPr>
        <w:pStyle w:val="Normal"/>
        <w:rPr>
          <w:rFonts w:ascii="Century Gothic" w:hAnsi="Century Gothic" w:cs="Century Gothic"/>
          <w:vertAlign w:val="superscript"/>
        </w:rPr>
      </w:pPr>
      <w:r>
        <w:rPr>
          <w:rFonts w:cs="Century Gothic" w:ascii="Century Gothic" w:hAnsi="Century Gothic"/>
          <w:vertAlign w:val="superscript"/>
        </w:rPr>
        <w:t xml:space="preserve">         </w:t>
      </w:r>
      <w:r>
        <w:rPr>
          <w:rFonts w:cs="Century Gothic" w:ascii="Century Gothic" w:hAnsi="Century Gothic"/>
          <w:vertAlign w:val="superscript"/>
        </w:rPr>
        <w:t>(02) à renseigner par le technicien superviseur de l’intervention</w:t>
      </w:r>
    </w:p>
    <w:p>
      <w:pPr>
        <w:pStyle w:val="Normal"/>
        <w:rPr>
          <w:sz w:val="16"/>
          <w:szCs w:val="16"/>
        </w:rPr>
      </w:pPr>
      <w:r>
        <w:rPr>
          <w:rFonts w:cs="Century Gothic" w:ascii="Century Gothic" w:hAnsi="Century Gothic"/>
          <w:vertAlign w:val="superscript"/>
        </w:rPr>
        <w:t xml:space="preserve">         </w:t>
      </w:r>
      <w:r>
        <w:rPr>
          <w:rFonts w:cs="Century Gothic" w:ascii="Century Gothic" w:hAnsi="Century Gothic"/>
          <w:vertAlign w:val="superscript"/>
        </w:rPr>
        <w:t>(03) à renseigner par le chef de section et à valider par le chef du service</w:t>
      </w:r>
    </w:p>
    <w:sectPr>
      <w:headerReference w:type="default" r:id="rId5"/>
      <w:footerReference w:type="default" r:id="rId6"/>
      <w:type w:val="nextPage"/>
      <w:pgSz w:w="11906" w:h="16838"/>
      <w:pgMar w:left="1417" w:right="1417" w:gutter="0" w:header="708" w:top="1417" w:footer="708" w:bottom="7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Wingdings">
    <w:charset w:val="02"/>
    <w:family w:val="auto"/>
    <w:pitch w:val="variable"/>
  </w:font>
  <w:font w:name="Courier New">
    <w:charset w:val="00"/>
    <w:family w:val="modern"/>
    <w:pitch w:val="default"/>
  </w:font>
  <w:font w:name="Century Gothic">
    <w:charset w:val="00"/>
    <w:family w:val="swiss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</w:tabs>
      <w:rPr>
        <w:rFonts w:ascii="Century Gothic" w:hAnsi="Century Gothic" w:cs="Century Gothic"/>
        <w:b/>
        <w:i/>
        <w:color w:val="FFFFFF"/>
        <w:sz w:val="16"/>
        <w:szCs w:val="16"/>
      </w:rPr>
    </w:pPr>
    <w:r>
      <w:rPr>
        <w:rFonts w:cs="Cambria" w:ascii="Century Gothic" w:hAnsi="Century Gothic"/>
        <w:b/>
        <w:i/>
        <w:color w:val="FFFFFF"/>
        <w:sz w:val="16"/>
        <w:szCs w:val="16"/>
        <w:highlight w:val="darkBlue"/>
      </w:rPr>
      <w:t>Aéroport Mohammed V                              Fiche d’intervention de maintenance</w:t>
      <w:tab/>
      <w:t xml:space="preserve">             Page </w:t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fldChar w:fldCharType="begin"/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instrText xml:space="preserve"> PAGE </w:instrText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fldChar w:fldCharType="separate"/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t>3</w:t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fldChar w:fldCharType="end"/>
    </w:r>
    <w:r>
      <mc:AlternateContent>
        <mc:Choice Requires="wpg">
          <w:drawing>
            <wp:anchor distT="0" distB="0" distL="114935" distR="114935" simplePos="0" relativeHeight="8" behindDoc="1" locked="0" layoutInCell="0" allowOverlap="1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761605" cy="822325"/>
              <wp:effectExtent l="635" t="0" r="635" b="0"/>
              <wp:wrapNone/>
              <wp:docPr id="4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61600" cy="822240"/>
                        <a:chOff x="0" y="0"/>
                        <a:chExt cx="7761600" cy="822240"/>
                      </a:xfrm>
                    </wpg:grpSpPr>
                    <wps:wsp>
                      <wps:cNvCnPr/>
                      <wps:spPr>
                        <a:xfrm flipV="1">
                          <a:off x="-899640" y="-10116000"/>
                          <a:ext cx="776196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31849B"/>
                          </a:solidFill>
                          <a:miter/>
                        </a:ln>
                      </wps:spPr>
                      <wps:bodyPr/>
                    </wps:wsp>
                    <wps:wsp>
                      <wps:cNvPr id="5" name=""/>
                      <wps:cNvSpPr/>
                      <wps:spPr>
                        <a:xfrm flipV="1">
                          <a:off x="0" y="0"/>
                          <a:ext cx="1976760" cy="82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0pt;margin-top:777.05pt;width:611.15pt;height:64.75pt" coordorigin="0,15541" coordsize="12223,1295"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left:-1417;top:-389;width:12223;height:0;flip:y;rotation:180;mso-position-horizontal:center;mso-position-horizontal-relative:page;mso-position-vertical:bottom;mso-position-vertical-relative:page" type="_x0000_t32">
                <v:stroke color="#31849b" weight="9360" joinstyle="miter" endcap="flat"/>
                <v:fill o:detectmouseclick="t" on="false"/>
                <w10:wrap type="none"/>
              </v:shape>
              <v:rect id="shape_0" stroked="f" o:allowincell="f" style="position:absolute;left:0;top:15542;width:3112;height:1294;flip:y;mso-wrap-style:none;v-text-anchor:middle;mso-position-horizontal:center;mso-position-horizontal-relative:page;mso-position-vertical:bottom;mso-position-vertical-relative:page">
                <v:fill o:detectmouseclick="t" on="false"/>
                <v:stroke color="#3465a4" joinstyle="round" endcap="flat"/>
                <w10:wrap type="none"/>
              </v:rect>
            </v:group>
          </w:pict>
        </mc:Fallback>
      </mc:AlternateContent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t>/2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36"/>
        <w:tab w:val="clear" w:pos="9072"/>
        <w:tab w:val="left" w:pos="6378" w:leader="none"/>
      </w:tabs>
      <w:rPr/>
    </w:pPr>
    <w:r>
      <w:rPr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z w:val="24"/>
        <w:szCs w:val="24"/>
      </w:rPr>
    </w:lvl>
  </w:abstractNum>
  <w:abstractNum w:abstractNumId="3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z w:val="24"/>
        <w:szCs w:val="24"/>
      </w:rPr>
    </w:lvl>
  </w:abstractNum>
  <w:abstractNum w:abstractNumId="8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z w:val="24"/>
        <w:szCs w:val="24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fr-FR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color w:val="000000"/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center"/>
      <w:outlineLvl w:val="3"/>
    </w:pPr>
    <w:rPr>
      <w:sz w:val="28"/>
    </w:rPr>
  </w:style>
  <w:style w:type="character" w:styleId="WW8Num1z0">
    <w:name w:val="WW8Num1z0"/>
    <w:rPr>
      <w:rFonts w:ascii="Wingdings" w:hAnsi="Wingdings" w:cs="Wingdings"/>
      <w:sz w:val="24"/>
      <w:szCs w:val="24"/>
    </w:rPr>
  </w:style>
  <w:style w:type="character" w:styleId="WW8Num1z1">
    <w:name w:val="WW8Num1z1"/>
    <w:rPr>
      <w:rFonts w:ascii="Courier New" w:hAnsi="Courier New" w:cs="Courier New"/>
    </w:rPr>
  </w:style>
  <w:style w:type="character" w:styleId="WW8Num1z2">
    <w:name w:val="WW8Num1z2"/>
    <w:rPr>
      <w:rFonts w:ascii="Wingdings" w:hAnsi="Wingdings" w:cs="Wingdings"/>
    </w:rPr>
  </w:style>
  <w:style w:type="character" w:styleId="WW8Num1z3">
    <w:name w:val="WW8Num1z3"/>
    <w:rPr>
      <w:rFonts w:ascii="Symbol" w:hAnsi="Symbol" w:cs="Symbol"/>
    </w:rPr>
  </w:style>
  <w:style w:type="character" w:styleId="WW8Num2z0">
    <w:name w:val="WW8Num2z0"/>
    <w:rPr>
      <w:rFonts w:ascii="Wingdings" w:hAnsi="Wingdings" w:cs="Wingdings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rFonts w:ascii="Wingdings" w:hAnsi="Wingdings" w:cs="Wingdings"/>
    </w:rPr>
  </w:style>
  <w:style w:type="character" w:styleId="WW8Num3z1">
    <w:name w:val="WW8Num3z1"/>
    <w:rPr>
      <w:rFonts w:ascii="Courier New" w:hAnsi="Courier New" w:cs="Courier New"/>
    </w:rPr>
  </w:style>
  <w:style w:type="character" w:styleId="WW8Num3z3">
    <w:name w:val="WW8Num3z3"/>
    <w:rPr>
      <w:rFonts w:ascii="Symbol" w:hAnsi="Symbol" w:cs="Symbol"/>
    </w:rPr>
  </w:style>
  <w:style w:type="character" w:styleId="WW8Num4z0">
    <w:name w:val="WW8Num4z0"/>
    <w:rPr>
      <w:rFonts w:ascii="Wingdings" w:hAnsi="Wingdings" w:cs="Wingdings"/>
    </w:rPr>
  </w:style>
  <w:style w:type="character" w:styleId="WW8Num4z1">
    <w:name w:val="WW8Num4z1"/>
    <w:rPr>
      <w:rFonts w:ascii="Courier New" w:hAnsi="Courier New" w:cs="Courier New"/>
    </w:rPr>
  </w:style>
  <w:style w:type="character" w:styleId="WW8Num4z3">
    <w:name w:val="WW8Num4z3"/>
    <w:rPr>
      <w:rFonts w:ascii="Symbol" w:hAnsi="Symbol" w:cs="Symbol"/>
    </w:rPr>
  </w:style>
  <w:style w:type="character" w:styleId="WW8Num5z0">
    <w:name w:val="WW8Num5z0"/>
    <w:rPr>
      <w:rFonts w:ascii="Wingdings" w:hAnsi="Wingdings" w:cs="Wingdings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3">
    <w:name w:val="WW8Num5z3"/>
    <w:rPr>
      <w:rFonts w:ascii="Symbol" w:hAnsi="Symbol" w:cs="Symbol"/>
    </w:rPr>
  </w:style>
  <w:style w:type="character" w:styleId="WW8Num6z0">
    <w:name w:val="WW8Num6z0"/>
    <w:rPr>
      <w:rFonts w:ascii="Wingdings" w:hAnsi="Wingdings" w:cs="Wingdings"/>
      <w:sz w:val="24"/>
      <w:szCs w:val="24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6z3">
    <w:name w:val="WW8Num6z3"/>
    <w:rPr>
      <w:rFonts w:ascii="Symbol" w:hAnsi="Symbol" w:cs="Symbol"/>
    </w:rPr>
  </w:style>
  <w:style w:type="character" w:styleId="WW8Num7z0">
    <w:name w:val="WW8Num7z0"/>
    <w:rPr>
      <w:rFonts w:ascii="Wingdings" w:hAnsi="Wingdings" w:cs="Wingdings"/>
      <w:sz w:val="24"/>
      <w:szCs w:val="24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rFonts w:ascii="Wingdings" w:hAnsi="Wingdings" w:cs="Wingdings"/>
    </w:rPr>
  </w:style>
  <w:style w:type="character" w:styleId="WW8Num8z1">
    <w:name w:val="WW8Num8z1"/>
    <w:rPr>
      <w:rFonts w:ascii="Courier New" w:hAnsi="Courier New" w:cs="Courier New"/>
    </w:rPr>
  </w:style>
  <w:style w:type="character" w:styleId="WW8Num8z3">
    <w:name w:val="WW8Num8z3"/>
    <w:rPr>
      <w:rFonts w:ascii="Symbol" w:hAnsi="Symbol" w:cs="Symbol"/>
    </w:rPr>
  </w:style>
  <w:style w:type="character" w:styleId="WW8Num9z0">
    <w:name w:val="WW8Num9z0"/>
    <w:rPr>
      <w:rFonts w:ascii="Wingdings" w:hAnsi="Wingdings" w:cs="Wingdings"/>
    </w:rPr>
  </w:style>
  <w:style w:type="character" w:styleId="WW8Num9z1">
    <w:name w:val="WW8Num9z1"/>
    <w:rPr>
      <w:rFonts w:ascii="Courier New" w:hAnsi="Courier New" w:cs="Courier New"/>
    </w:rPr>
  </w:style>
  <w:style w:type="character" w:styleId="WW8Num9z3">
    <w:name w:val="WW8Num9z3"/>
    <w:rPr>
      <w:rFonts w:ascii="Symbol" w:hAnsi="Symbol" w:cs="Symbol"/>
    </w:rPr>
  </w:style>
  <w:style w:type="character" w:styleId="WW8Num10z0">
    <w:name w:val="WW8Num10z0"/>
    <w:rPr>
      <w:rFonts w:ascii="Wingdings" w:hAnsi="Wingdings" w:cs="Wingdings"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rFonts w:ascii="Wingdings" w:hAnsi="Wingdings" w:cs="Wingdings"/>
    </w:rPr>
  </w:style>
  <w:style w:type="character" w:styleId="WW8Num11z1">
    <w:name w:val="WW8Num11z1"/>
    <w:rPr>
      <w:rFonts w:ascii="Courier New" w:hAnsi="Courier New" w:cs="Courier New"/>
    </w:rPr>
  </w:style>
  <w:style w:type="character" w:styleId="WW8Num11z3">
    <w:name w:val="WW8Num11z3"/>
    <w:rPr>
      <w:rFonts w:ascii="Symbol" w:hAnsi="Symbol" w:cs="Symbol"/>
    </w:rPr>
  </w:style>
  <w:style w:type="character" w:styleId="WW8Num12z0">
    <w:name w:val="WW8Num12z0"/>
    <w:rPr>
      <w:rFonts w:ascii="Wingdings" w:hAnsi="Wingdings" w:cs="Wingdings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Wingdings" w:hAnsi="Wingdings" w:cs="Wingdings"/>
      <w:sz w:val="24"/>
      <w:szCs w:val="24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rFonts w:ascii="Century Gothic" w:hAnsi="Century Gothic" w:cs="Century Gothic"/>
      <w:b/>
      <w:sz w:val="22"/>
      <w:szCs w:val="22"/>
    </w:rPr>
  </w:style>
  <w:style w:type="character" w:styleId="WW8Num15z0">
    <w:name w:val="WW8Num15z0"/>
    <w:rPr>
      <w:rFonts w:ascii="Symbol" w:hAnsi="Symbol" w:cs="Symbol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6z0">
    <w:name w:val="WW8Num16z0"/>
    <w:rPr>
      <w:rFonts w:ascii="Symbol" w:hAnsi="Symbol" w:cs="Symbol"/>
    </w:rPr>
  </w:style>
  <w:style w:type="character" w:styleId="WW8Num16z1">
    <w:name w:val="WW8Num16z1"/>
    <w:rPr>
      <w:rFonts w:ascii="Courier New" w:hAnsi="Courier New" w:cs="Courier New"/>
    </w:rPr>
  </w:style>
  <w:style w:type="character" w:styleId="WW8Num16z2">
    <w:name w:val="WW8Num16z2"/>
    <w:rPr>
      <w:rFonts w:ascii="Wingdings" w:hAnsi="Wingdings" w:cs="Wingdings"/>
    </w:rPr>
  </w:style>
  <w:style w:type="character" w:styleId="WW8Num17z0">
    <w:name w:val="WW8Num17z0"/>
    <w:rPr>
      <w:rFonts w:ascii="Wingdings" w:hAnsi="Wingdings" w:cs="Wingdings"/>
    </w:rPr>
  </w:style>
  <w:style w:type="character" w:styleId="WW8Num17z1">
    <w:name w:val="WW8Num17z1"/>
    <w:rPr>
      <w:rFonts w:ascii="Courier New" w:hAnsi="Courier New" w:cs="Courier New"/>
    </w:rPr>
  </w:style>
  <w:style w:type="character" w:styleId="WW8Num17z3">
    <w:name w:val="WW8Num17z3"/>
    <w:rPr>
      <w:rFonts w:ascii="Symbol" w:hAnsi="Symbol" w:cs="Symbol"/>
    </w:rPr>
  </w:style>
  <w:style w:type="character" w:styleId="WW8Num18z0">
    <w:name w:val="WW8Num18z0"/>
    <w:rPr>
      <w:rFonts w:ascii="Wingdings" w:hAnsi="Wingdings" w:cs="Wingdings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3">
    <w:name w:val="WW8Num18z3"/>
    <w:rPr>
      <w:rFonts w:ascii="Symbol" w:hAnsi="Symbol" w:cs="Symbol"/>
    </w:rPr>
  </w:style>
  <w:style w:type="character" w:styleId="Policepardfaut">
    <w:name w:val="Police par défaut"/>
    <w:rPr/>
  </w:style>
  <w:style w:type="character" w:styleId="En-tteCar">
    <w:name w:val="En-tête Car"/>
    <w:rPr>
      <w:sz w:val="24"/>
      <w:szCs w:val="24"/>
    </w:rPr>
  </w:style>
  <w:style w:type="character" w:styleId="PieddepageCar">
    <w:name w:val="Pied de page Car"/>
    <w:rPr>
      <w:sz w:val="24"/>
      <w:szCs w:val="24"/>
    </w:rPr>
  </w:style>
  <w:style w:type="character" w:styleId="TextedebullesCar">
    <w:name w:val="Texte de bulles Car"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>
      <w:lang w:val="en-US"/>
    </w:rPr>
  </w:style>
  <w:style w:type="paragraph" w:styleId="Textedebulles">
    <w:name w:val="Texte de bulles"/>
    <w:basedOn w:val="Normal"/>
    <w:pPr/>
    <w:rPr>
      <w:rFonts w:ascii="Tahoma" w:hAnsi="Tahoma" w:cs="Tahoma"/>
      <w:sz w:val="16"/>
      <w:szCs w:val="16"/>
      <w:lang w:val="en-US"/>
    </w:rPr>
  </w:style>
  <w:style w:type="paragraph" w:styleId="FrameContents">
    <w:name w:val="Frame Contents"/>
    <w:basedOn w:val="Normal"/>
    <w:pPr/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2026-10-07T12:15:00Z</dcterms:created>
  <dc:creator>youssef</dc:creator>
  <dc:description/>
  <cp:keywords/>
  <dc:language>en-US</dc:language>
  <cp:lastModifiedBy>CTX98</cp:lastModifiedBy>
  <cp:lastPrinted>2017-10-16T14:37:00Z</cp:lastPrinted>
  <dcterms:modified xsi:type="dcterms:W3CDTF">2026-10-07T12:15:00Z</dcterms:modified>
  <cp:revision>2</cp:revision>
  <dc:subject/>
  <dc:title>OFFICE NATIONAL DES AEROPORTS</dc:title>
</cp:coreProperties>
</file>