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B347" w14:textId="77777777" w:rsidR="00D900B3" w:rsidRPr="00D900B3" w:rsidRDefault="00D900B3" w:rsidP="00D900B3">
      <w:pPr>
        <w:rPr>
          <w:b/>
          <w:bCs/>
        </w:rPr>
      </w:pPr>
      <w:r w:rsidRPr="00D900B3">
        <w:rPr>
          <w:b/>
          <w:bCs/>
        </w:rPr>
        <w:t>Contract 2 — CommunityGovernance.sol</w:t>
      </w:r>
    </w:p>
    <w:p w14:paraId="4C8E8143" w14:textId="77777777" w:rsidR="00D900B3" w:rsidRPr="00D900B3" w:rsidRDefault="00D900B3" w:rsidP="00D900B3">
      <w:r w:rsidRPr="00D900B3">
        <w:rPr>
          <w:b/>
          <w:bCs/>
        </w:rPr>
        <w:t>Problem:</w:t>
      </w:r>
      <w:r w:rsidRPr="00D900B3">
        <w:t xml:space="preserve"> DAOs need transparent, on-chain binding votes. </w:t>
      </w:r>
      <w:r w:rsidRPr="00D900B3">
        <w:rPr>
          <w:b/>
          <w:bCs/>
        </w:rPr>
        <w:t>Solution:</w:t>
      </w:r>
      <w:r w:rsidRPr="00D900B3">
        <w:t xml:space="preserve"> Any ERC-20 token holder above 0.1% supply can propose. Members vote For/Against/Abstain weighted by token balance. Proposals auto-execute on-chain (treasury transfers, config changes, etc.) once 5% quorum + majority is reached.</w:t>
      </w:r>
    </w:p>
    <w:p w14:paraId="1B4B5B3D" w14:textId="77777777" w:rsidR="007E0545" w:rsidRDefault="007E0545"/>
    <w:sectPr w:rsidR="007E0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896"/>
    <w:rsid w:val="003F36D6"/>
    <w:rsid w:val="007E0545"/>
    <w:rsid w:val="008A6B50"/>
    <w:rsid w:val="00D900B3"/>
    <w:rsid w:val="00F7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DABED6-803E-4D2C-98A5-848D915D9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2026-05-17T09:02:00Z</dcterms:created>
  <dcterms:modified xsi:type="dcterms:W3CDTF">2026-05-17T09:02:00Z</dcterms:modified>
</cp:coreProperties>
</file>