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Thesis Results Guide</w:t>
      </w:r>
    </w:p>
    <w:p>
      <w:r>
        <w:rPr>
          <w:i w:val="0"/>
          <w:sz w:val="26"/>
        </w:rPr>
        <w:t>Hybrid Machine Learning Framework for Detection of Depression and its Severity in Cancer Patients using Fear of Cancer Recurrence (FCR)</w:t>
      </w:r>
    </w:p>
    <w:p>
      <w:r>
        <w:rPr>
          <w:i/>
        </w:rPr>
        <w:t>MS Bioinformatics thesis, NUST. A plain-language companion to the figures and tables in thesis_outputs/.</w:t>
      </w:r>
    </w:p>
    <w:p>
      <w:r>
        <w:rPr>
          <w:i/>
          <w:sz w:val="19"/>
        </w:rPr>
        <w:t>Generated 19 October 2026 from git commit 9bafade-dirty. Every number in this document is read from the analysis result files; to update it, re-run  python -m thesis_analysis.run_all --stage report.</w:t>
      </w:r>
    </w:p>
    <w:tbl>
      <w:tblPr>
        <w:tblW w:type="auto" w:w="0"/>
        <w:tblLook w:firstColumn="1" w:firstRow="1" w:lastColumn="0" w:lastRow="0" w:noHBand="0" w:noVBand="1" w:val="04A0"/>
      </w:tblPr>
      <w:tblGrid>
        <w:gridCol w:w="9298"/>
      </w:tblGrid>
      <w:tr>
        <w:tc>
          <w:tcPr>
            <w:tcW w:type="dxa" w:w="9298"/>
            <w:shd w:val="clear" w:color="auto" w:fill="EAF1F8"/>
          </w:tcPr>
          <w:p>
            <w:r>
              <w:rPr>
                <w:b/>
              </w:rPr>
              <w:t>How to use this guide</w:t>
            </w:r>
          </w:p>
          <w:p>
            <w:pPr>
              <w:pStyle w:val="ListBullet"/>
              <w:spacing w:after="40"/>
            </w:pPr>
            <w:r>
              <w:t>Part 1 tells the whole story on one page — read it first.</w:t>
            </w:r>
          </w:p>
          <w:p>
            <w:pPr>
              <w:pStyle w:val="ListBullet"/>
              <w:spacing w:after="40"/>
            </w:pPr>
            <w:r>
              <w:t>Parts 2–5 explain each result in simple words and name the figure or table to cite in the thesis.</w:t>
            </w:r>
          </w:p>
          <w:p>
            <w:pPr>
              <w:pStyle w:val="ListBullet"/>
              <w:spacing w:after="40"/>
            </w:pPr>
            <w:r>
              <w:t>Part 6 explains how to read every figure; Part 7 is a glossary of the technical terms.</w:t>
            </w:r>
          </w:p>
          <w:p>
            <w:pPr>
              <w:pStyle w:val="ListBullet"/>
              <w:spacing w:after="40"/>
            </w:pPr>
            <w:r>
              <w:t>Parts 8–9 list the limitations and the decisions to agree with your supervisor before submission.</w:t>
            </w:r>
          </w:p>
          <w:p>
            <w:pPr>
              <w:pStyle w:val="ListBullet"/>
              <w:spacing w:after="40"/>
            </w:pPr>
            <w:r>
              <w:t>Unless stated otherwise, results are for 'All rows' (n = 1530), the primary analysis.</w:t>
            </w:r>
          </w:p>
        </w:tc>
      </w:tr>
    </w:tbl>
    <w:p>
      <w:pPr>
        <w:spacing w:after="80" w:line="240" w:lineRule="auto"/>
      </w:pPr>
      <w:r>
        <w:rPr>
          <w:sz w:val="4"/>
        </w:rPr>
      </w:r>
    </w:p>
    <w:p>
      <w:pPr>
        <w:pStyle w:val="Heading1"/>
        <w:pageBreakBefore w:val="0"/>
      </w:pPr>
      <w:r>
        <w:t>1. The study in one page</w:t>
      </w:r>
    </w:p>
    <w:p>
      <w:r>
        <w:rPr>
          <w:b/>
        </w:rPr>
        <w:t xml:space="preserve">Research question. </w:t>
      </w:r>
      <w:r>
        <w:rPr>
          <w:i w:val="0"/>
        </w:rPr>
        <w:t>Can fear of cancer recurrence (FCR), together with basic demographic and clinical information, detect depression and estimate its severity in people with cancer?</w:t>
      </w:r>
    </w:p>
    <w:p>
      <w:r>
        <w:rPr>
          <w:b/>
        </w:rPr>
        <w:t xml:space="preserve">Data. </w:t>
      </w:r>
      <w:r>
        <w:rPr>
          <w:i w:val="0"/>
        </w:rPr>
        <w:t>1530 participants answered the BDI depression questionnaire and the FCRI fear-of-recurrence questionnaire, plus questions on gender, age, province, cancer type, time since diagnosis, cancer status, treatment and medication. A BDI total of 11 or more was counted as depressed; the BDI total was also split into six severity classes.</w:t>
      </w:r>
    </w:p>
    <w:p>
      <w:r>
        <w:rPr>
          <w:b/>
        </w:rPr>
        <w:t xml:space="preserve">What was done. </w:t>
      </w:r>
      <w:r>
        <w:rPr>
          <w:i w:val="0"/>
        </w:rPr>
        <w:t>(1) cleaned and scored the data; (2) tested statistically how FCR relates to depression; (3) trained machine-learning models with and without the depression questions, adding a feature-selection step and combining models into ensembles (the 'hybrid' framework); (4) measured performance honestly with repeated nested cross-validation and explained the final models with SHAP.</w:t>
      </w:r>
    </w:p>
    <w:tbl>
      <w:tblPr>
        <w:tblW w:type="auto" w:w="0"/>
        <w:tblLook w:firstColumn="1" w:firstRow="1" w:lastColumn="0" w:lastRow="0" w:noHBand="0" w:noVBand="1" w:val="04A0"/>
      </w:tblPr>
      <w:tblGrid>
        <w:gridCol w:w="9298"/>
      </w:tblGrid>
      <w:tr>
        <w:tc>
          <w:tcPr>
            <w:tcW w:type="dxa" w:w="9298"/>
            <w:shd w:val="clear" w:color="auto" w:fill="EAF1F8"/>
          </w:tcPr>
          <w:p>
            <w:r>
              <w:rPr>
                <w:b/>
              </w:rPr>
              <w:t>The answer in brief</w:t>
            </w:r>
          </w:p>
          <w:p>
            <w:pPr>
              <w:pStyle w:val="ListBullet"/>
              <w:spacing w:after="40"/>
            </w:pPr>
            <w:r>
              <w:t>Fear of recurrence and depression rise together strongly (Spearman ρ = 0.85).</w:t>
            </w:r>
          </w:p>
          <w:p>
            <w:pPr>
              <w:pStyle w:val="ListBullet"/>
              <w:spacing w:after="40"/>
            </w:pPr>
            <w:r>
              <w:t>Without seeing any depression questions, the hybrid model (Boruta (RF) + Soft Voting) detected depression with macro F1 0.88: it found 98% of depressed participants and correctly cleared 82% of non-depressed participants (ROC-AUC 0.96).</w:t>
            </w:r>
          </w:p>
          <w:p>
            <w:pPr>
              <w:pStyle w:val="ListBullet"/>
              <w:spacing w:after="40"/>
            </w:pPr>
            <w:r>
              <w:t>Estimating the exact severity class is harder: macro F1 0.60, but most mistakes are near misses (quadratic weighted κ 0.86).</w:t>
            </w:r>
          </w:p>
          <w:p>
            <w:pPr>
              <w:pStyle w:val="ListBullet"/>
              <w:spacing w:after="40"/>
            </w:pPr>
            <w:r>
              <w:t>The FCRI answers carry the signal. FCRI alone performed about the same as FCRI + demographic + clinical (binary macro F1 0.875 vs 0.872), while demographic + clinical information alone reached only 0.634.</w:t>
            </w:r>
          </w:p>
          <w:p>
            <w:pPr>
              <w:pStyle w:val="ListBullet"/>
              <w:spacing w:after="40"/>
            </w:pPr>
            <w:r>
              <w:t>Feature selection made the model simpler but did not make it significantly better than the same ensemble without it (difference +0.010, p = 0.865).</w:t>
            </w:r>
          </w:p>
          <w:p>
            <w:pPr>
              <w:pStyle w:val="ListBullet"/>
              <w:spacing w:after="40"/>
            </w:pPr>
            <w:r>
              <w:t>Caution: when the 561 rows that match a mock-data generator are removed, binary macro F1 falls to 0.63 and severity to 0.46. Which rows are real must be settled before submission.</w:t>
            </w:r>
          </w:p>
        </w:tc>
      </w:tr>
    </w:tbl>
    <w:p>
      <w:pPr>
        <w:spacing w:after="80" w:line="240" w:lineRule="auto"/>
      </w:pPr>
      <w:r>
        <w:rPr>
          <w:sz w:val="4"/>
        </w:rPr>
      </w:r>
    </w:p>
    <w:p>
      <w:pPr>
        <w:pStyle w:val="Heading1"/>
        <w:pageBreakBefore w:val="0"/>
      </w:pPr>
      <w:r>
        <w:t>2. The data</w:t>
      </w:r>
    </w:p>
    <w:p>
      <w:r>
        <w:rPr>
          <w:i w:val="0"/>
        </w:rPr>
        <w:t>All analyses were run twice, on two versions of the dataset:</w:t>
      </w:r>
    </w:p>
    <w:p>
      <w:pPr>
        <w:pStyle w:val="ListBullet"/>
        <w:spacing w:after="60"/>
      </w:pPr>
      <w:r>
        <w:rPr>
          <w:b/>
        </w:rPr>
        <w:t xml:space="preserve">All rows (n = 1530). </w:t>
      </w:r>
      <w:r>
        <w:t>Every cleaned response. This is the primary analysis.</w:t>
      </w:r>
    </w:p>
    <w:p>
      <w:pPr>
        <w:pStyle w:val="ListBullet"/>
        <w:spacing w:after="60"/>
      </w:pPr>
      <w:r>
        <w:rPr>
          <w:b/>
        </w:rPr>
        <w:t xml:space="preserve">Excluding generator-matched rows (n = 969). </w:t>
      </w:r>
      <w:r>
        <w:t>561 rows have a name and all 21 BDI answers identical to the output of a mock-data generator found in the project's history, so they may not be real participants. This version leaves them out.</w:t>
      </w:r>
    </w:p>
    <w:tbl>
      <w:tblPr>
        <w:tblStyle w:val="TableGrid"/>
        <w:tblW w:type="auto" w:w="0"/>
        <w:tblLook w:firstColumn="1" w:firstRow="1" w:lastColumn="0" w:lastRow="0" w:noHBand="0" w:noVBand="1" w:val="04A0"/>
      </w:tblPr>
      <w:tblGrid>
        <w:gridCol w:w="3099"/>
        <w:gridCol w:w="3099"/>
        <w:gridCol w:w="3099"/>
      </w:tblGrid>
      <w:tr>
        <w:tc>
          <w:tcPr>
            <w:tcW w:type="dxa" w:w="4195"/>
            <w:shd w:val="clear" w:color="auto" w:fill="D9E2F3"/>
          </w:tcPr>
          <w:p>
            <w:pPr>
              <w:keepNext/>
              <w:spacing w:after="20"/>
            </w:pPr>
            <w:r>
              <w:rPr>
                <w:b/>
                <w:sz w:val="20"/>
              </w:rPr>
            </w:r>
          </w:p>
        </w:tc>
        <w:tc>
          <w:tcPr>
            <w:tcW w:type="dxa" w:w="2494"/>
            <w:shd w:val="clear" w:color="auto" w:fill="D9E2F3"/>
          </w:tcPr>
          <w:p>
            <w:pPr>
              <w:keepNext/>
              <w:spacing w:after="20"/>
            </w:pPr>
            <w:r>
              <w:rPr>
                <w:b/>
                <w:sz w:val="20"/>
              </w:rPr>
              <w:t>All rows</w:t>
            </w:r>
          </w:p>
        </w:tc>
        <w:tc>
          <w:tcPr>
            <w:tcW w:type="dxa" w:w="2494"/>
            <w:shd w:val="clear" w:color="auto" w:fill="D9E2F3"/>
          </w:tcPr>
          <w:p>
            <w:pPr>
              <w:keepNext/>
              <w:spacing w:after="20"/>
            </w:pPr>
            <w:r>
              <w:rPr>
                <w:b/>
                <w:sz w:val="20"/>
              </w:rPr>
              <w:t>Excluding generator-matched rows</w:t>
            </w:r>
          </w:p>
        </w:tc>
      </w:tr>
      <w:tr>
        <w:tc>
          <w:tcPr>
            <w:tcW w:type="dxa" w:w="4195"/>
          </w:tcPr>
          <w:p>
            <w:pPr>
              <w:keepNext/>
              <w:spacing w:after="20"/>
            </w:pPr>
            <w:r>
              <w:rPr>
                <w:sz w:val="20"/>
              </w:rPr>
              <w:t>Participants</w:t>
            </w:r>
          </w:p>
        </w:tc>
        <w:tc>
          <w:tcPr>
            <w:tcW w:type="dxa" w:w="2494"/>
          </w:tcPr>
          <w:p>
            <w:pPr>
              <w:keepNext/>
              <w:spacing w:after="20"/>
              <w:jc w:val="center"/>
            </w:pPr>
            <w:r>
              <w:rPr>
                <w:sz w:val="20"/>
              </w:rPr>
              <w:t>1530</w:t>
            </w:r>
          </w:p>
        </w:tc>
        <w:tc>
          <w:tcPr>
            <w:tcW w:type="dxa" w:w="2494"/>
          </w:tcPr>
          <w:p>
            <w:pPr>
              <w:keepNext/>
              <w:spacing w:after="20"/>
              <w:jc w:val="center"/>
            </w:pPr>
            <w:r>
              <w:rPr>
                <w:sz w:val="20"/>
              </w:rPr>
              <w:t>969</w:t>
            </w:r>
          </w:p>
        </w:tc>
      </w:tr>
      <w:tr>
        <w:tc>
          <w:tcPr>
            <w:tcW w:type="dxa" w:w="4195"/>
          </w:tcPr>
          <w:p>
            <w:pPr>
              <w:keepNext/>
              <w:spacing w:after="20"/>
            </w:pPr>
            <w:r>
              <w:rPr>
                <w:sz w:val="20"/>
              </w:rPr>
              <w:t>Depressed (BDI ≥ 11)</w:t>
            </w:r>
          </w:p>
        </w:tc>
        <w:tc>
          <w:tcPr>
            <w:tcW w:type="dxa" w:w="2494"/>
          </w:tcPr>
          <w:p>
            <w:pPr>
              <w:keepNext/>
              <w:spacing w:after="20"/>
              <w:jc w:val="center"/>
            </w:pPr>
            <w:r>
              <w:rPr>
                <w:sz w:val="20"/>
              </w:rPr>
              <w:t>1411</w:t>
            </w:r>
          </w:p>
        </w:tc>
        <w:tc>
          <w:tcPr>
            <w:tcW w:type="dxa" w:w="2494"/>
          </w:tcPr>
          <w:p>
            <w:pPr>
              <w:keepNext/>
              <w:spacing w:after="20"/>
              <w:jc w:val="center"/>
            </w:pPr>
            <w:r>
              <w:rPr>
                <w:sz w:val="20"/>
              </w:rPr>
              <w:t>950</w:t>
            </w:r>
          </w:p>
        </w:tc>
      </w:tr>
      <w:tr>
        <w:tc>
          <w:tcPr>
            <w:tcW w:type="dxa" w:w="4195"/>
          </w:tcPr>
          <w:p>
            <w:pPr>
              <w:keepNext/>
              <w:spacing w:after="20"/>
            </w:pPr>
            <w:r>
              <w:rPr>
                <w:sz w:val="20"/>
              </w:rPr>
              <w:t>Not depressed (BDI &lt; 11)</w:t>
            </w:r>
          </w:p>
        </w:tc>
        <w:tc>
          <w:tcPr>
            <w:tcW w:type="dxa" w:w="2494"/>
          </w:tcPr>
          <w:p>
            <w:pPr>
              <w:keepNext/>
              <w:spacing w:after="20"/>
              <w:jc w:val="center"/>
            </w:pPr>
            <w:r>
              <w:rPr>
                <w:sz w:val="20"/>
              </w:rPr>
              <w:t>119</w:t>
            </w:r>
          </w:p>
        </w:tc>
        <w:tc>
          <w:tcPr>
            <w:tcW w:type="dxa" w:w="2494"/>
          </w:tcPr>
          <w:p>
            <w:pPr>
              <w:keepNext/>
              <w:spacing w:after="20"/>
              <w:jc w:val="center"/>
            </w:pPr>
            <w:r>
              <w:rPr>
                <w:sz w:val="20"/>
              </w:rPr>
              <w:t>19</w:t>
            </w:r>
          </w:p>
        </w:tc>
      </w:tr>
      <w:tr>
        <w:tc>
          <w:tcPr>
            <w:tcW w:type="dxa" w:w="4195"/>
          </w:tcPr>
          <w:p>
            <w:pPr>
              <w:keepNext/>
              <w:spacing w:after="20"/>
            </w:pPr>
            <w:r>
              <w:rPr>
                <w:sz w:val="20"/>
              </w:rPr>
              <w:t xml:space="preserve">   Normal (BDI 0–10)</w:t>
            </w:r>
          </w:p>
        </w:tc>
        <w:tc>
          <w:tcPr>
            <w:tcW w:type="dxa" w:w="2494"/>
          </w:tcPr>
          <w:p>
            <w:pPr>
              <w:keepNext/>
              <w:spacing w:after="20"/>
              <w:jc w:val="center"/>
            </w:pPr>
            <w:r>
              <w:rPr>
                <w:sz w:val="20"/>
              </w:rPr>
              <w:t>119</w:t>
            </w:r>
          </w:p>
        </w:tc>
        <w:tc>
          <w:tcPr>
            <w:tcW w:type="dxa" w:w="2494"/>
          </w:tcPr>
          <w:p>
            <w:pPr>
              <w:keepNext/>
              <w:spacing w:after="20"/>
              <w:jc w:val="center"/>
            </w:pPr>
            <w:r>
              <w:rPr>
                <w:sz w:val="20"/>
              </w:rPr>
              <w:t>19</w:t>
            </w:r>
          </w:p>
        </w:tc>
      </w:tr>
      <w:tr>
        <w:tc>
          <w:tcPr>
            <w:tcW w:type="dxa" w:w="4195"/>
          </w:tcPr>
          <w:p>
            <w:pPr>
              <w:keepNext/>
              <w:spacing w:after="20"/>
            </w:pPr>
            <w:r>
              <w:rPr>
                <w:sz w:val="20"/>
              </w:rPr>
              <w:t xml:space="preserve">   Mild mood disturbance (BDI 11–16)</w:t>
            </w:r>
          </w:p>
        </w:tc>
        <w:tc>
          <w:tcPr>
            <w:tcW w:type="dxa" w:w="2494"/>
          </w:tcPr>
          <w:p>
            <w:pPr>
              <w:keepNext/>
              <w:spacing w:after="20"/>
              <w:jc w:val="center"/>
            </w:pPr>
            <w:r>
              <w:rPr>
                <w:sz w:val="20"/>
              </w:rPr>
              <w:t>133</w:t>
            </w:r>
          </w:p>
        </w:tc>
        <w:tc>
          <w:tcPr>
            <w:tcW w:type="dxa" w:w="2494"/>
          </w:tcPr>
          <w:p>
            <w:pPr>
              <w:keepNext/>
              <w:spacing w:after="20"/>
              <w:jc w:val="center"/>
            </w:pPr>
            <w:r>
              <w:rPr>
                <w:sz w:val="20"/>
              </w:rPr>
              <w:t>47</w:t>
            </w:r>
          </w:p>
        </w:tc>
      </w:tr>
      <w:tr>
        <w:tc>
          <w:tcPr>
            <w:tcW w:type="dxa" w:w="4195"/>
          </w:tcPr>
          <w:p>
            <w:pPr>
              <w:keepNext/>
              <w:spacing w:after="20"/>
            </w:pPr>
            <w:r>
              <w:rPr>
                <w:sz w:val="20"/>
              </w:rPr>
              <w:t xml:space="preserve">   Borderline clinical depression (BDI 17–20)</w:t>
            </w:r>
          </w:p>
        </w:tc>
        <w:tc>
          <w:tcPr>
            <w:tcW w:type="dxa" w:w="2494"/>
          </w:tcPr>
          <w:p>
            <w:pPr>
              <w:keepNext/>
              <w:spacing w:after="20"/>
              <w:jc w:val="center"/>
            </w:pPr>
            <w:r>
              <w:rPr>
                <w:sz w:val="20"/>
              </w:rPr>
              <w:t>138</w:t>
            </w:r>
          </w:p>
        </w:tc>
        <w:tc>
          <w:tcPr>
            <w:tcW w:type="dxa" w:w="2494"/>
          </w:tcPr>
          <w:p>
            <w:pPr>
              <w:keepNext/>
              <w:spacing w:after="20"/>
              <w:jc w:val="center"/>
            </w:pPr>
            <w:r>
              <w:rPr>
                <w:sz w:val="20"/>
              </w:rPr>
              <w:t>58</w:t>
            </w:r>
          </w:p>
        </w:tc>
      </w:tr>
      <w:tr>
        <w:tc>
          <w:tcPr>
            <w:tcW w:type="dxa" w:w="4195"/>
          </w:tcPr>
          <w:p>
            <w:pPr>
              <w:keepNext/>
              <w:spacing w:after="20"/>
            </w:pPr>
            <w:r>
              <w:rPr>
                <w:sz w:val="20"/>
              </w:rPr>
              <w:t xml:space="preserve">   Moderate depression (BDI 21–30)</w:t>
            </w:r>
          </w:p>
        </w:tc>
        <w:tc>
          <w:tcPr>
            <w:tcW w:type="dxa" w:w="2494"/>
          </w:tcPr>
          <w:p>
            <w:pPr>
              <w:keepNext/>
              <w:spacing w:after="20"/>
              <w:jc w:val="center"/>
            </w:pPr>
            <w:r>
              <w:rPr>
                <w:sz w:val="20"/>
              </w:rPr>
              <w:t>424</w:t>
            </w:r>
          </w:p>
        </w:tc>
        <w:tc>
          <w:tcPr>
            <w:tcW w:type="dxa" w:w="2494"/>
          </w:tcPr>
          <w:p>
            <w:pPr>
              <w:keepNext/>
              <w:spacing w:after="20"/>
              <w:jc w:val="center"/>
            </w:pPr>
            <w:r>
              <w:rPr>
                <w:sz w:val="20"/>
              </w:rPr>
              <w:t>253</w:t>
            </w:r>
          </w:p>
        </w:tc>
      </w:tr>
      <w:tr>
        <w:tc>
          <w:tcPr>
            <w:tcW w:type="dxa" w:w="4195"/>
          </w:tcPr>
          <w:p>
            <w:pPr>
              <w:keepNext/>
              <w:spacing w:after="20"/>
            </w:pPr>
            <w:r>
              <w:rPr>
                <w:sz w:val="20"/>
              </w:rPr>
              <w:t xml:space="preserve">   Severe depression (BDI 31–40)</w:t>
            </w:r>
          </w:p>
        </w:tc>
        <w:tc>
          <w:tcPr>
            <w:tcW w:type="dxa" w:w="2494"/>
          </w:tcPr>
          <w:p>
            <w:pPr>
              <w:keepNext/>
              <w:spacing w:after="20"/>
              <w:jc w:val="center"/>
            </w:pPr>
            <w:r>
              <w:rPr>
                <w:sz w:val="20"/>
              </w:rPr>
              <w:t>317</w:t>
            </w:r>
          </w:p>
        </w:tc>
        <w:tc>
          <w:tcPr>
            <w:tcW w:type="dxa" w:w="2494"/>
          </w:tcPr>
          <w:p>
            <w:pPr>
              <w:keepNext/>
              <w:spacing w:after="20"/>
              <w:jc w:val="center"/>
            </w:pPr>
            <w:r>
              <w:rPr>
                <w:sz w:val="20"/>
              </w:rPr>
              <w:t>225</w:t>
            </w:r>
          </w:p>
        </w:tc>
      </w:tr>
      <w:tr>
        <w:tc>
          <w:tcPr>
            <w:tcW w:type="dxa" w:w="4195"/>
          </w:tcPr>
          <w:p>
            <w:pPr>
              <w:keepNext/>
              <w:spacing w:after="20"/>
            </w:pPr>
            <w:r>
              <w:rPr>
                <w:sz w:val="20"/>
              </w:rPr>
              <w:t xml:space="preserve">   Extreme depression (BDI 41–63)</w:t>
            </w:r>
          </w:p>
        </w:tc>
        <w:tc>
          <w:tcPr>
            <w:tcW w:type="dxa" w:w="2494"/>
          </w:tcPr>
          <w:p>
            <w:pPr>
              <w:keepNext/>
              <w:spacing w:after="20"/>
              <w:jc w:val="center"/>
            </w:pPr>
            <w:r>
              <w:rPr>
                <w:sz w:val="20"/>
              </w:rPr>
              <w:t>399</w:t>
            </w:r>
          </w:p>
        </w:tc>
        <w:tc>
          <w:tcPr>
            <w:tcW w:type="dxa" w:w="2494"/>
          </w:tcPr>
          <w:p>
            <w:pPr>
              <w:keepNext/>
              <w:spacing w:after="20"/>
              <w:jc w:val="center"/>
            </w:pPr>
            <w:r>
              <w:rPr>
                <w:sz w:val="20"/>
              </w:rPr>
              <w:t>367</w:t>
            </w:r>
          </w:p>
        </w:tc>
      </w:tr>
      <w:tr>
        <w:tc>
          <w:tcPr>
            <w:tcW w:type="dxa" w:w="4195"/>
          </w:tcPr>
          <w:p>
            <w:pPr>
              <w:keepNext/>
              <w:spacing w:after="20"/>
            </w:pPr>
            <w:r>
              <w:rPr>
                <w:sz w:val="20"/>
              </w:rPr>
              <w:t>Mean BDI total (SD)</w:t>
            </w:r>
          </w:p>
        </w:tc>
        <w:tc>
          <w:tcPr>
            <w:tcW w:type="dxa" w:w="2494"/>
          </w:tcPr>
          <w:p>
            <w:pPr>
              <w:keepNext/>
              <w:spacing w:after="20"/>
              <w:jc w:val="center"/>
            </w:pPr>
            <w:r>
              <w:rPr>
                <w:sz w:val="20"/>
              </w:rPr>
              <w:t>29.7 (13.0)</w:t>
            </w:r>
          </w:p>
        </w:tc>
        <w:tc>
          <w:tcPr>
            <w:tcW w:type="dxa" w:w="2494"/>
          </w:tcPr>
          <w:p>
            <w:pPr>
              <w:keepNext/>
              <w:spacing w:after="20"/>
              <w:jc w:val="center"/>
            </w:pPr>
            <w:r>
              <w:rPr>
                <w:sz w:val="20"/>
              </w:rPr>
              <w:t>34.2 (11.6)</w:t>
            </w:r>
          </w:p>
        </w:tc>
      </w:tr>
      <w:tr>
        <w:tc>
          <w:tcPr>
            <w:tcW w:type="dxa" w:w="4195"/>
          </w:tcPr>
          <w:p>
            <w:pPr>
              <w:spacing w:after="20"/>
            </w:pPr>
            <w:r>
              <w:rPr>
                <w:sz w:val="20"/>
              </w:rPr>
              <w:t>Mean FCRI total (SD)</w:t>
            </w:r>
          </w:p>
        </w:tc>
        <w:tc>
          <w:tcPr>
            <w:tcW w:type="dxa" w:w="2494"/>
          </w:tcPr>
          <w:p>
            <w:pPr>
              <w:spacing w:after="20"/>
              <w:jc w:val="center"/>
            </w:pPr>
            <w:r>
              <w:rPr>
                <w:sz w:val="20"/>
              </w:rPr>
              <w:t>78.5 (34.7)</w:t>
            </w:r>
          </w:p>
        </w:tc>
        <w:tc>
          <w:tcPr>
            <w:tcW w:type="dxa" w:w="2494"/>
          </w:tcPr>
          <w:p>
            <w:pPr>
              <w:spacing w:after="20"/>
              <w:jc w:val="center"/>
            </w:pPr>
            <w:r>
              <w:rPr>
                <w:sz w:val="20"/>
              </w:rPr>
              <w:t>96.5 (28.0)</w:t>
            </w:r>
          </w:p>
        </w:tc>
      </w:tr>
    </w:tbl>
    <w:p>
      <w:pPr>
        <w:spacing w:after="80" w:line="240" w:lineRule="auto"/>
      </w:pPr>
      <w:r>
        <w:rPr>
          <w:sz w:val="4"/>
        </w:rPr>
      </w:r>
    </w:p>
    <w:p>
      <w:r>
        <w:rPr>
          <w:b/>
        </w:rPr>
        <w:t xml:space="preserve">What this means. </w:t>
      </w:r>
      <w:r>
        <w:rPr>
          <w:i w:val="0"/>
        </w:rPr>
        <w:t>Most participants are depressed; only 119 are not. Classes this unequal make the 'not depressed' group hard to learn, which is why the main score is macro F1 (it gives each class equal weight) and why class weights are used. See Figure 4.1 and Table 4.2.</w:t>
      </w:r>
    </w:p>
    <w:p>
      <w:r>
        <w:rPr>
          <w:b/>
        </w:rPr>
        <w:t xml:space="preserve">Reliability. </w:t>
      </w:r>
      <w:r>
        <w:rPr>
          <w:i w:val="0"/>
        </w:rPr>
        <w:t>Both questionnaires are internally consistent (Cronbach's α: BDI 0.91, FCRI 0.97; Table 4.4).</w:t>
      </w:r>
    </w:p>
    <w:p>
      <w:pPr>
        <w:pStyle w:val="Heading2"/>
        <w:pageBreakBefore w:val="0"/>
      </w:pPr>
      <w:r>
        <w:t>Data problems found</w:t>
      </w:r>
    </w:p>
    <w:p>
      <w:pPr>
        <w:pStyle w:val="ListBullet"/>
        <w:spacing w:after="60"/>
      </w:pPr>
      <w:r>
        <w:t>717 answers to BDI items 6 and 7 had been scored wrongly by the original parser ("I don't feel ..." was scored as a symptom). They were corrected here; the saved app models in models/ were trained before this fix.</w:t>
      </w:r>
    </w:p>
    <w:p>
      <w:pPr>
        <w:pStyle w:val="ListBullet"/>
        <w:spacing w:after="60"/>
      </w:pPr>
      <w:r>
        <w:t>19 men report ovarian or cervical cancer and 5 women report prostate cancer.</w:t>
      </w:r>
    </w:p>
    <w:p>
      <w:pPr>
        <w:pStyle w:val="ListBullet"/>
        <w:spacing w:after="60"/>
      </w:pPr>
      <w:r>
        <w:t>68 participants are under 18 years old.</w:t>
      </w:r>
    </w:p>
    <w:p>
      <w:pPr>
        <w:pStyle w:val="ListBullet"/>
        <w:spacing w:after="60"/>
      </w:pPr>
      <w:r>
        <w:t>26 participants gave the same answer to all 21 BDI questions.</w:t>
      </w:r>
    </w:p>
    <w:p>
      <w:pPr>
        <w:pStyle w:val="ListBullet"/>
        <w:spacing w:after="60"/>
      </w:pPr>
      <w:r>
        <w:t>Duplicate responses found: 0. 54 participants had a few missing FCRI answers, which were filled with their own subscale average.</w:t>
      </w:r>
    </w:p>
    <w:p>
      <w:r>
        <w:rPr>
          <w:i/>
        </w:rPr>
        <w:t>These are listed in Table 4.1. They were kept in the analysis but should be discussed with your supervisor (Part 9).</w:t>
      </w:r>
    </w:p>
    <w:p>
      <w:pPr>
        <w:pStyle w:val="Heading1"/>
        <w:pageBreakBefore/>
      </w:pPr>
      <w:r>
        <w:t>3. What was done, in plain words</w:t>
      </w:r>
    </w:p>
    <w:p>
      <w:pPr>
        <w:jc w:val="center"/>
      </w:pPr>
      <w:r>
        <w:drawing>
          <wp:inline xmlns:a="http://schemas.openxmlformats.org/drawingml/2006/main" xmlns:pic="http://schemas.openxmlformats.org/drawingml/2006/picture">
            <wp:extent cx="5580000" cy="4144868"/>
            <wp:docPr id="1" name="Picture 1"/>
            <wp:cNvGraphicFramePr>
              <a:graphicFrameLocks noChangeAspect="1"/>
            </wp:cNvGraphicFramePr>
            <a:graphic>
              <a:graphicData uri="http://schemas.openxmlformats.org/drawingml/2006/picture">
                <pic:pic>
                  <pic:nvPicPr>
                    <pic:cNvPr id="0" name="ch3_fig01_methodology_flowchart.png"/>
                    <pic:cNvPicPr/>
                  </pic:nvPicPr>
                  <pic:blipFill>
                    <a:blip r:embed="rId9"/>
                    <a:stretch>
                      <a:fillRect/>
                    </a:stretch>
                  </pic:blipFill>
                  <pic:spPr>
                    <a:xfrm>
                      <a:off x="0" y="0"/>
                      <a:ext cx="5580000" cy="4144868"/>
                    </a:xfrm>
                    <a:prstGeom prst="rect"/>
                  </pic:spPr>
                </pic:pic>
              </a:graphicData>
            </a:graphic>
          </wp:inline>
        </w:drawing>
      </w:r>
    </w:p>
    <w:p>
      <w:pPr>
        <w:jc w:val="center"/>
      </w:pPr>
      <w:r>
        <w:rPr>
          <w:b/>
          <w:sz w:val="19"/>
        </w:rPr>
        <w:t xml:space="preserve">Figure 3.1. </w:t>
      </w:r>
      <w:r>
        <w:rPr>
          <w:i/>
          <w:sz w:val="19"/>
        </w:rPr>
        <w:t>Overall research methodology of the hybrid machine-learning framework.</w:t>
      </w:r>
    </w:p>
    <w:p>
      <w:pPr>
        <w:pStyle w:val="Heading2"/>
        <w:pageBreakBefore w:val="0"/>
      </w:pPr>
      <w:r>
        <w:t>Step 1 — Two targets from one score</w:t>
      </w:r>
    </w:p>
    <w:p>
      <w:r>
        <w:rPr>
          <w:i w:val="0"/>
        </w:rPr>
        <w:t>The BDI total decides both things the model must predict: depressed if BDI ≥ 11 (binary), and a severity class (Normal 0–10, Mild mood disturbance 11–16, Borderline clinical depression 17–20, Moderate depression 21–30, Severe depression 31–40, Extreme depression 41–63). See Figure 3.3.</w:t>
      </w:r>
    </w:p>
    <w:p>
      <w:pPr>
        <w:pStyle w:val="Heading2"/>
        <w:pageBreakBefore w:val="0"/>
      </w:pPr>
      <w:r>
        <w:t>Step 2 — Four feature sets, to avoid fooling ourselves</w:t>
      </w:r>
    </w:p>
    <w:p>
      <w:r>
        <w:rPr>
          <w:i w:val="0"/>
        </w:rPr>
        <w:t>Because the labels are calculated from the BDI answers, a model that sees those answers simply adds them up again; this is called leakage. Four sets of inputs were therefore compared:</w:t>
      </w:r>
    </w:p>
    <w:tbl>
      <w:tblPr>
        <w:tblStyle w:val="TableGrid"/>
        <w:tblW w:type="auto" w:w="0"/>
        <w:tblLook w:firstColumn="1" w:firstRow="1" w:lastColumn="0" w:lastRow="0" w:noHBand="0" w:noVBand="1" w:val="04A0"/>
      </w:tblPr>
      <w:tblGrid>
        <w:gridCol w:w="3099"/>
        <w:gridCol w:w="3099"/>
        <w:gridCol w:w="3099"/>
      </w:tblGrid>
      <w:tr>
        <w:tc>
          <w:tcPr>
            <w:tcW w:type="dxa" w:w="737"/>
            <w:shd w:val="clear" w:color="auto" w:fill="D9E2F3"/>
          </w:tcPr>
          <w:p>
            <w:pPr>
              <w:keepNext/>
              <w:spacing w:after="20"/>
            </w:pPr>
            <w:r>
              <w:rPr>
                <w:b/>
                <w:sz w:val="20"/>
              </w:rPr>
              <w:t>Set</w:t>
            </w:r>
          </w:p>
        </w:tc>
        <w:tc>
          <w:tcPr>
            <w:tcW w:type="dxa" w:w="3402"/>
            <w:shd w:val="clear" w:color="auto" w:fill="D9E2F3"/>
          </w:tcPr>
          <w:p>
            <w:pPr>
              <w:keepNext/>
              <w:spacing w:after="20"/>
            </w:pPr>
            <w:r>
              <w:rPr>
                <w:b/>
                <w:sz w:val="20"/>
              </w:rPr>
              <w:t>Inputs</w:t>
            </w:r>
          </w:p>
        </w:tc>
        <w:tc>
          <w:tcPr>
            <w:tcW w:type="dxa" w:w="5102"/>
            <w:shd w:val="clear" w:color="auto" w:fill="D9E2F3"/>
          </w:tcPr>
          <w:p>
            <w:pPr>
              <w:keepNext/>
              <w:spacing w:after="20"/>
            </w:pPr>
            <w:r>
              <w:rPr>
                <w:b/>
                <w:sz w:val="20"/>
              </w:rPr>
              <w:t>Why it is there</w:t>
            </w:r>
          </w:p>
        </w:tc>
      </w:tr>
      <w:tr>
        <w:tc>
          <w:tcPr>
            <w:tcW w:type="dxa" w:w="737"/>
          </w:tcPr>
          <w:p>
            <w:pPr>
              <w:keepNext/>
              <w:spacing w:after="20"/>
            </w:pPr>
            <w:r>
              <w:rPr>
                <w:sz w:val="20"/>
              </w:rPr>
              <w:t>A</w:t>
            </w:r>
          </w:p>
        </w:tc>
        <w:tc>
          <w:tcPr>
            <w:tcW w:type="dxa" w:w="3402"/>
          </w:tcPr>
          <w:p>
            <w:pPr>
              <w:keepNext/>
              <w:spacing w:after="20"/>
            </w:pPr>
            <w:r>
              <w:rPr>
                <w:sz w:val="20"/>
              </w:rPr>
              <w:t>BDI + FCRI + demographic + clinical</w:t>
            </w:r>
          </w:p>
        </w:tc>
        <w:tc>
          <w:tcPr>
            <w:tcW w:type="dxa" w:w="5102"/>
          </w:tcPr>
          <w:p>
            <w:pPr>
              <w:keepNext/>
              <w:spacing w:after="20"/>
            </w:pPr>
            <w:r>
              <w:rPr>
                <w:sz w:val="20"/>
              </w:rPr>
              <w:t>Upper bound only — contains the answer (leakage).</w:t>
            </w:r>
          </w:p>
        </w:tc>
      </w:tr>
      <w:tr>
        <w:tc>
          <w:tcPr>
            <w:tcW w:type="dxa" w:w="737"/>
          </w:tcPr>
          <w:p>
            <w:pPr>
              <w:keepNext/>
              <w:spacing w:after="20"/>
            </w:pPr>
            <w:r>
              <w:rPr>
                <w:sz w:val="20"/>
              </w:rPr>
              <w:t>B</w:t>
            </w:r>
          </w:p>
        </w:tc>
        <w:tc>
          <w:tcPr>
            <w:tcW w:type="dxa" w:w="3402"/>
          </w:tcPr>
          <w:p>
            <w:pPr>
              <w:keepNext/>
              <w:spacing w:after="20"/>
            </w:pPr>
            <w:r>
              <w:rPr>
                <w:sz w:val="20"/>
              </w:rPr>
              <w:t>FCRI + demographic + clinical</w:t>
            </w:r>
          </w:p>
        </w:tc>
        <w:tc>
          <w:tcPr>
            <w:tcW w:type="dxa" w:w="5102"/>
          </w:tcPr>
          <w:p>
            <w:pPr>
              <w:keepNext/>
              <w:spacing w:after="20"/>
            </w:pPr>
            <w:r>
              <w:rPr>
                <w:sz w:val="20"/>
              </w:rPr>
              <w:t>The honest test of the thesis claim. Main set.</w:t>
            </w:r>
          </w:p>
        </w:tc>
      </w:tr>
      <w:tr>
        <w:tc>
          <w:tcPr>
            <w:tcW w:type="dxa" w:w="737"/>
          </w:tcPr>
          <w:p>
            <w:pPr>
              <w:keepNext/>
              <w:spacing w:after="20"/>
            </w:pPr>
            <w:r>
              <w:rPr>
                <w:sz w:val="20"/>
              </w:rPr>
              <w:t>C</w:t>
            </w:r>
          </w:p>
        </w:tc>
        <w:tc>
          <w:tcPr>
            <w:tcW w:type="dxa" w:w="3402"/>
          </w:tcPr>
          <w:p>
            <w:pPr>
              <w:keepNext/>
              <w:spacing w:after="20"/>
            </w:pPr>
            <w:r>
              <w:rPr>
                <w:sz w:val="20"/>
              </w:rPr>
              <w:t>FCRI only</w:t>
            </w:r>
          </w:p>
        </w:tc>
        <w:tc>
          <w:tcPr>
            <w:tcW w:type="dxa" w:w="5102"/>
          </w:tcPr>
          <w:p>
            <w:pPr>
              <w:keepNext/>
              <w:spacing w:after="20"/>
            </w:pPr>
            <w:r>
              <w:rPr>
                <w:sz w:val="20"/>
              </w:rPr>
              <w:t>Does fear of recurrence alone carry the signal?</w:t>
            </w:r>
          </w:p>
        </w:tc>
      </w:tr>
      <w:tr>
        <w:tc>
          <w:tcPr>
            <w:tcW w:type="dxa" w:w="737"/>
          </w:tcPr>
          <w:p>
            <w:pPr>
              <w:spacing w:after="20"/>
            </w:pPr>
            <w:r>
              <w:rPr>
                <w:sz w:val="20"/>
              </w:rPr>
              <w:t>D</w:t>
            </w:r>
          </w:p>
        </w:tc>
        <w:tc>
          <w:tcPr>
            <w:tcW w:type="dxa" w:w="3402"/>
          </w:tcPr>
          <w:p>
            <w:pPr>
              <w:spacing w:after="20"/>
            </w:pPr>
            <w:r>
              <w:rPr>
                <w:sz w:val="20"/>
              </w:rPr>
              <w:t>Demographic + clinical</w:t>
            </w:r>
          </w:p>
        </w:tc>
        <w:tc>
          <w:tcPr>
            <w:tcW w:type="dxa" w:w="5102"/>
          </w:tcPr>
          <w:p>
            <w:pPr>
              <w:spacing w:after="20"/>
            </w:pPr>
            <w:r>
              <w:rPr>
                <w:sz w:val="20"/>
              </w:rPr>
              <w:t>What can be done without any questionnaire?</w:t>
            </w:r>
          </w:p>
        </w:tc>
      </w:tr>
    </w:tbl>
    <w:p>
      <w:pPr>
        <w:spacing w:after="80" w:line="240" w:lineRule="auto"/>
      </w:pPr>
      <w:r>
        <w:rPr>
          <w:sz w:val="4"/>
        </w:rPr>
      </w:r>
    </w:p>
    <w:p>
      <w:pPr>
        <w:pStyle w:val="Heading2"/>
        <w:pageBreakBefore w:val="0"/>
      </w:pPr>
      <w:r>
        <w:t>Step 3 — The hybrid framework</w:t>
      </w:r>
    </w:p>
    <w:p>
      <w:r>
        <w:rPr>
          <w:i w:val="0"/>
        </w:rPr>
        <w:t>For every training split the pipeline (1) one-hot encodes categories and scales answers to 0–1, (2) chooses the most useful inputs with one of five feature-selection methods (mutual information, χ², RFE, L1 logistic regression, Boruta), (3) tunes four learners (logistic regression, random forest, XGBoost, SVM) and (4) combines them by soft voting or stacking. The best feature-selection method + best ensemble on set B is the hybrid model. See Figure 3.5 and Table 3.3.</w:t>
      </w:r>
    </w:p>
    <w:p>
      <w:pPr>
        <w:pStyle w:val="Heading2"/>
        <w:pageBreakBefore w:val="0"/>
      </w:pPr>
      <w:r>
        <w:t>Step 4 — Honest testing with nested cross-validation</w:t>
      </w:r>
    </w:p>
    <w:p>
      <w:r>
        <w:rPr>
          <w:i w:val="0"/>
        </w:rPr>
        <w:t>The data were split into 5 parts; each part in turn was the test set and the rest the training set, and this was repeated 5 times with different splits (25 test results per model). Inside each training set a second 3-fold loop tuned the settings, so the test part was never used for any decision. Every step that learns from data (scaling, SMOTE, feature selection) was re-done inside each training split. See Figure 3.6 and Figure 3.4. A separate hold-out test set was not used because the 'not depressed' group is too small to split off reliably.</w:t>
      </w:r>
    </w:p>
    <w:p>
      <w:pPr>
        <w:pStyle w:val="Heading2"/>
        <w:pageBreakBefore w:val="0"/>
      </w:pPr>
      <w:r>
        <w:t>Step 5 — Explaining the model</w:t>
      </w:r>
    </w:p>
    <w:p>
      <w:r>
        <w:rPr>
          <w:i w:val="0"/>
        </w:rPr>
        <w:t>The final hybrid models were explained with SHAP, which shows how much each answer pushed each prediction towards or away from depression.</w:t>
      </w:r>
    </w:p>
    <w:p>
      <w:pPr>
        <w:pStyle w:val="Heading1"/>
        <w:pageBreakBefore/>
      </w:pPr>
      <w:r>
        <w:t>4. The results, one at a time</w:t>
      </w:r>
    </w:p>
    <w:p>
      <w:pPr>
        <w:pStyle w:val="Heading2"/>
        <w:pageBreakBefore w:val="0"/>
      </w:pPr>
      <w:r>
        <w:t>4.1 Fear of recurrence is strongly linked with depression</w:t>
      </w:r>
    </w:p>
    <w:tbl>
      <w:tblPr>
        <w:tblW w:type="auto" w:w="0"/>
        <w:tblLook w:firstColumn="1" w:firstRow="1" w:lastColumn="0" w:lastRow="0" w:noHBand="0" w:noVBand="1" w:val="04A0"/>
      </w:tblPr>
      <w:tblGrid>
        <w:gridCol w:w="9298"/>
      </w:tblGrid>
      <w:tr>
        <w:tc>
          <w:tcPr>
            <w:tcW w:type="dxa" w:w="9298"/>
            <w:shd w:val="clear" w:color="auto" w:fill="EAF1F8"/>
          </w:tcPr>
          <w:p>
            <w:r>
              <w:rPr>
                <w:b/>
              </w:rPr>
              <w:t>Key numbers</w:t>
            </w:r>
          </w:p>
          <w:p>
            <w:pPr>
              <w:pStyle w:val="ListBullet"/>
              <w:spacing w:after="40"/>
            </w:pPr>
            <w:r>
              <w:t>Spearman correlation between FCRI total and BDI total: ρ = 0.85 (p &lt; 0.001).</w:t>
            </w:r>
          </w:p>
          <w:p>
            <w:pPr>
              <w:pStyle w:val="ListBullet"/>
              <w:spacing w:after="40"/>
            </w:pPr>
            <w:r>
              <w:t>15 of 16 comparisons between depressed and non-depressed participants were significant after Holm correction.</w:t>
            </w:r>
          </w:p>
          <w:p>
            <w:pPr>
              <w:pStyle w:val="ListBullet"/>
              <w:spacing w:after="40"/>
            </w:pPr>
            <w:r>
              <w:t>The multivariable logistic regression has 3.61 'not depressed' cases per model parameter — below the usual minimum of 10, so its odds ratios are unstable; report them with care.</w:t>
            </w:r>
          </w:p>
        </w:tc>
      </w:tr>
    </w:tbl>
    <w:p>
      <w:pPr>
        <w:spacing w:after="80" w:line="240" w:lineRule="auto"/>
      </w:pPr>
      <w:r>
        <w:rPr>
          <w:sz w:val="4"/>
        </w:rPr>
      </w:r>
    </w:p>
    <w:p>
      <w:r>
        <w:rPr>
          <w:i w:val="0"/>
        </w:rPr>
        <w:t>Cite Figure 4.5, Figure 4.3, Figure 4.4, Table 4.5 and Table 4.11.</w:t>
      </w:r>
    </w:p>
    <w:p>
      <w:pPr>
        <w:jc w:val="center"/>
      </w:pPr>
      <w:r>
        <w:drawing>
          <wp:inline xmlns:a="http://schemas.openxmlformats.org/drawingml/2006/main" xmlns:pic="http://schemas.openxmlformats.org/drawingml/2006/picture">
            <wp:extent cx="4320000" cy="1859869"/>
            <wp:docPr id="2" name="Picture 2"/>
            <wp:cNvGraphicFramePr>
              <a:graphicFrameLocks noChangeAspect="1"/>
            </wp:cNvGraphicFramePr>
            <a:graphic>
              <a:graphicData uri="http://schemas.openxmlformats.org/drawingml/2006/picture">
                <pic:pic>
                  <pic:nvPicPr>
                    <pic:cNvPr id="0" name="ch4_fig05_fcri_vs_bdi_scatter.png"/>
                    <pic:cNvPicPr/>
                  </pic:nvPicPr>
                  <pic:blipFill>
                    <a:blip r:embed="rId10"/>
                    <a:stretch>
                      <a:fillRect/>
                    </a:stretch>
                  </pic:blipFill>
                  <pic:spPr>
                    <a:xfrm>
                      <a:off x="0" y="0"/>
                      <a:ext cx="4320000" cy="1859869"/>
                    </a:xfrm>
                    <a:prstGeom prst="rect"/>
                  </pic:spPr>
                </pic:pic>
              </a:graphicData>
            </a:graphic>
          </wp:inline>
        </w:drawing>
      </w:r>
    </w:p>
    <w:p>
      <w:pPr>
        <w:jc w:val="center"/>
      </w:pPr>
      <w:r>
        <w:rPr>
          <w:b/>
          <w:sz w:val="19"/>
        </w:rPr>
        <w:t xml:space="preserve">Figure 4.5. </w:t>
      </w:r>
      <w:r>
        <w:rPr>
          <w:i/>
          <w:sz w:val="19"/>
        </w:rPr>
        <w:t>Relationship between FCRI total and BDI total scores.</w:t>
      </w:r>
    </w:p>
    <w:p>
      <w:pPr>
        <w:pStyle w:val="Heading2"/>
        <w:pageBreakBefore w:val="0"/>
      </w:pPr>
      <w:r>
        <w:t>4.2 Which information matters? (feature sets A–D)</w:t>
      </w:r>
    </w:p>
    <w:tbl>
      <w:tblPr>
        <w:tblStyle w:val="TableGrid"/>
        <w:tblW w:type="auto" w:w="0"/>
        <w:tblLook w:firstColumn="1" w:firstRow="1" w:lastColumn="0" w:lastRow="0" w:noHBand="0" w:noVBand="1" w:val="04A0"/>
      </w:tblPr>
      <w:tblGrid>
        <w:gridCol w:w="1550"/>
        <w:gridCol w:w="1550"/>
        <w:gridCol w:w="1550"/>
        <w:gridCol w:w="1550"/>
        <w:gridCol w:w="1550"/>
        <w:gridCol w:w="1550"/>
      </w:tblGrid>
      <w:tr>
        <w:tc>
          <w:tcPr>
            <w:tcW w:type="dxa" w:w="2381"/>
            <w:shd w:val="clear" w:color="auto" w:fill="D9E2F3"/>
          </w:tcPr>
          <w:p>
            <w:pPr>
              <w:keepNext/>
              <w:spacing w:after="20"/>
            </w:pPr>
            <w:r>
              <w:rPr>
                <w:b/>
                <w:sz w:val="19"/>
              </w:rPr>
              <w:t>Data</w:t>
            </w:r>
          </w:p>
        </w:tc>
        <w:tc>
          <w:tcPr>
            <w:tcW w:type="dxa" w:w="1077"/>
            <w:shd w:val="clear" w:color="auto" w:fill="D9E2F3"/>
          </w:tcPr>
          <w:p>
            <w:pPr>
              <w:keepNext/>
              <w:spacing w:after="20"/>
            </w:pPr>
            <w:r>
              <w:rPr>
                <w:b/>
                <w:sz w:val="19"/>
              </w:rPr>
              <w:t>Task</w:t>
            </w:r>
          </w:p>
        </w:tc>
        <w:tc>
          <w:tcPr>
            <w:tcW w:type="dxa" w:w="1361"/>
            <w:shd w:val="clear" w:color="auto" w:fill="D9E2F3"/>
          </w:tcPr>
          <w:p>
            <w:pPr>
              <w:keepNext/>
              <w:spacing w:after="20"/>
            </w:pPr>
            <w:r>
              <w:rPr>
                <w:b/>
                <w:sz w:val="19"/>
              </w:rPr>
              <w:t>A (with BDI)</w:t>
            </w:r>
          </w:p>
        </w:tc>
        <w:tc>
          <w:tcPr>
            <w:tcW w:type="dxa" w:w="1474"/>
            <w:shd w:val="clear" w:color="auto" w:fill="D9E2F3"/>
          </w:tcPr>
          <w:p>
            <w:pPr>
              <w:keepNext/>
              <w:spacing w:after="20"/>
            </w:pPr>
            <w:r>
              <w:rPr>
                <w:b/>
                <w:sz w:val="19"/>
              </w:rPr>
              <w:t>B (FCRI + info)</w:t>
            </w:r>
          </w:p>
        </w:tc>
        <w:tc>
          <w:tcPr>
            <w:tcW w:type="dxa" w:w="1361"/>
            <w:shd w:val="clear" w:color="auto" w:fill="D9E2F3"/>
          </w:tcPr>
          <w:p>
            <w:pPr>
              <w:keepNext/>
              <w:spacing w:after="20"/>
            </w:pPr>
            <w:r>
              <w:rPr>
                <w:b/>
                <w:sz w:val="19"/>
              </w:rPr>
              <w:t>C (FCRI only)</w:t>
            </w:r>
          </w:p>
        </w:tc>
        <w:tc>
          <w:tcPr>
            <w:tcW w:type="dxa" w:w="1361"/>
            <w:shd w:val="clear" w:color="auto" w:fill="D9E2F3"/>
          </w:tcPr>
          <w:p>
            <w:pPr>
              <w:keepNext/>
              <w:spacing w:after="20"/>
            </w:pPr>
            <w:r>
              <w:rPr>
                <w:b/>
                <w:sz w:val="19"/>
              </w:rPr>
              <w:t>D (info only)</w:t>
            </w:r>
          </w:p>
        </w:tc>
      </w:tr>
      <w:tr>
        <w:tc>
          <w:tcPr>
            <w:tcW w:type="dxa" w:w="2381"/>
          </w:tcPr>
          <w:p>
            <w:pPr>
              <w:keepNext/>
              <w:spacing w:after="20"/>
            </w:pPr>
            <w:r>
              <w:rPr>
                <w:sz w:val="19"/>
              </w:rPr>
              <w:t>All rows</w:t>
            </w:r>
          </w:p>
        </w:tc>
        <w:tc>
          <w:tcPr>
            <w:tcW w:type="dxa" w:w="1077"/>
          </w:tcPr>
          <w:p>
            <w:pPr>
              <w:keepNext/>
              <w:spacing w:after="20"/>
            </w:pPr>
            <w:r>
              <w:rPr>
                <w:sz w:val="19"/>
              </w:rPr>
              <w:t>Binary</w:t>
            </w:r>
          </w:p>
        </w:tc>
        <w:tc>
          <w:tcPr>
            <w:tcW w:type="dxa" w:w="1361"/>
          </w:tcPr>
          <w:p>
            <w:pPr>
              <w:keepNext/>
              <w:spacing w:after="20"/>
              <w:jc w:val="center"/>
            </w:pPr>
            <w:r>
              <w:rPr>
                <w:sz w:val="19"/>
              </w:rPr>
              <w:t>0.95</w:t>
            </w:r>
          </w:p>
        </w:tc>
        <w:tc>
          <w:tcPr>
            <w:tcW w:type="dxa" w:w="1474"/>
          </w:tcPr>
          <w:p>
            <w:pPr>
              <w:keepNext/>
              <w:spacing w:after="20"/>
              <w:jc w:val="center"/>
            </w:pPr>
            <w:r>
              <w:rPr>
                <w:sz w:val="19"/>
              </w:rPr>
              <w:t>0.88</w:t>
            </w:r>
          </w:p>
        </w:tc>
        <w:tc>
          <w:tcPr>
            <w:tcW w:type="dxa" w:w="1361"/>
          </w:tcPr>
          <w:p>
            <w:pPr>
              <w:keepNext/>
              <w:spacing w:after="20"/>
              <w:jc w:val="center"/>
            </w:pPr>
            <w:r>
              <w:rPr>
                <w:sz w:val="19"/>
              </w:rPr>
              <w:t>0.88</w:t>
            </w:r>
          </w:p>
        </w:tc>
        <w:tc>
          <w:tcPr>
            <w:tcW w:type="dxa" w:w="1361"/>
          </w:tcPr>
          <w:p>
            <w:pPr>
              <w:keepNext/>
              <w:spacing w:after="20"/>
              <w:jc w:val="center"/>
            </w:pPr>
            <w:r>
              <w:rPr>
                <w:sz w:val="19"/>
              </w:rPr>
              <w:t>0.63</w:t>
            </w:r>
          </w:p>
        </w:tc>
      </w:tr>
      <w:tr>
        <w:tc>
          <w:tcPr>
            <w:tcW w:type="dxa" w:w="2381"/>
          </w:tcPr>
          <w:p>
            <w:pPr>
              <w:keepNext/>
              <w:spacing w:after="20"/>
            </w:pPr>
            <w:r>
              <w:rPr>
                <w:sz w:val="19"/>
              </w:rPr>
            </w:r>
          </w:p>
        </w:tc>
        <w:tc>
          <w:tcPr>
            <w:tcW w:type="dxa" w:w="1077"/>
          </w:tcPr>
          <w:p>
            <w:pPr>
              <w:keepNext/>
              <w:spacing w:after="20"/>
            </w:pPr>
            <w:r>
              <w:rPr>
                <w:sz w:val="19"/>
              </w:rPr>
              <w:t>Severity</w:t>
            </w:r>
          </w:p>
        </w:tc>
        <w:tc>
          <w:tcPr>
            <w:tcW w:type="dxa" w:w="1361"/>
          </w:tcPr>
          <w:p>
            <w:pPr>
              <w:keepNext/>
              <w:spacing w:after="20"/>
              <w:jc w:val="center"/>
            </w:pPr>
            <w:r>
              <w:rPr>
                <w:sz w:val="19"/>
              </w:rPr>
              <w:t>0.86</w:t>
            </w:r>
          </w:p>
        </w:tc>
        <w:tc>
          <w:tcPr>
            <w:tcW w:type="dxa" w:w="1474"/>
          </w:tcPr>
          <w:p>
            <w:pPr>
              <w:keepNext/>
              <w:spacing w:after="20"/>
              <w:jc w:val="center"/>
            </w:pPr>
            <w:r>
              <w:rPr>
                <w:sz w:val="19"/>
              </w:rPr>
              <w:t>0.60</w:t>
            </w:r>
          </w:p>
        </w:tc>
        <w:tc>
          <w:tcPr>
            <w:tcW w:type="dxa" w:w="1361"/>
          </w:tcPr>
          <w:p>
            <w:pPr>
              <w:keepNext/>
              <w:spacing w:after="20"/>
              <w:jc w:val="center"/>
            </w:pPr>
            <w:r>
              <w:rPr>
                <w:sz w:val="19"/>
              </w:rPr>
              <w:t>0.61</w:t>
            </w:r>
          </w:p>
        </w:tc>
        <w:tc>
          <w:tcPr>
            <w:tcW w:type="dxa" w:w="1361"/>
          </w:tcPr>
          <w:p>
            <w:pPr>
              <w:keepNext/>
              <w:spacing w:after="20"/>
              <w:jc w:val="center"/>
            </w:pPr>
            <w:r>
              <w:rPr>
                <w:sz w:val="19"/>
              </w:rPr>
              <w:t>0.32</w:t>
            </w:r>
          </w:p>
        </w:tc>
      </w:tr>
      <w:tr>
        <w:tc>
          <w:tcPr>
            <w:tcW w:type="dxa" w:w="2381"/>
          </w:tcPr>
          <w:p>
            <w:pPr>
              <w:keepNext/>
              <w:spacing w:after="20"/>
            </w:pPr>
            <w:r>
              <w:rPr>
                <w:sz w:val="19"/>
              </w:rPr>
              <w:t>Excluding generator-matched rows</w:t>
            </w:r>
          </w:p>
        </w:tc>
        <w:tc>
          <w:tcPr>
            <w:tcW w:type="dxa" w:w="1077"/>
          </w:tcPr>
          <w:p>
            <w:pPr>
              <w:keepNext/>
              <w:spacing w:after="20"/>
            </w:pPr>
            <w:r>
              <w:rPr>
                <w:sz w:val="19"/>
              </w:rPr>
              <w:t>Binary</w:t>
            </w:r>
          </w:p>
        </w:tc>
        <w:tc>
          <w:tcPr>
            <w:tcW w:type="dxa" w:w="1361"/>
          </w:tcPr>
          <w:p>
            <w:pPr>
              <w:keepNext/>
              <w:spacing w:after="20"/>
              <w:jc w:val="center"/>
            </w:pPr>
            <w:r>
              <w:rPr>
                <w:sz w:val="19"/>
              </w:rPr>
              <w:t>0.94</w:t>
            </w:r>
          </w:p>
        </w:tc>
        <w:tc>
          <w:tcPr>
            <w:tcW w:type="dxa" w:w="1474"/>
          </w:tcPr>
          <w:p>
            <w:pPr>
              <w:keepNext/>
              <w:spacing w:after="20"/>
              <w:jc w:val="center"/>
            </w:pPr>
            <w:r>
              <w:rPr>
                <w:sz w:val="19"/>
              </w:rPr>
              <w:t>0.63</w:t>
            </w:r>
          </w:p>
        </w:tc>
        <w:tc>
          <w:tcPr>
            <w:tcW w:type="dxa" w:w="1361"/>
          </w:tcPr>
          <w:p>
            <w:pPr>
              <w:keepNext/>
              <w:spacing w:after="20"/>
              <w:jc w:val="center"/>
            </w:pPr>
            <w:r>
              <w:rPr>
                <w:sz w:val="19"/>
              </w:rPr>
              <w:t>0.58</w:t>
            </w:r>
          </w:p>
        </w:tc>
        <w:tc>
          <w:tcPr>
            <w:tcW w:type="dxa" w:w="1361"/>
          </w:tcPr>
          <w:p>
            <w:pPr>
              <w:keepNext/>
              <w:spacing w:after="20"/>
              <w:jc w:val="center"/>
            </w:pPr>
            <w:r>
              <w:rPr>
                <w:sz w:val="19"/>
              </w:rPr>
              <w:t>0.57</w:t>
            </w:r>
          </w:p>
        </w:tc>
      </w:tr>
      <w:tr>
        <w:tc>
          <w:tcPr>
            <w:tcW w:type="dxa" w:w="2381"/>
          </w:tcPr>
          <w:p>
            <w:pPr>
              <w:spacing w:after="20"/>
            </w:pPr>
            <w:r>
              <w:rPr>
                <w:sz w:val="19"/>
              </w:rPr>
            </w:r>
          </w:p>
        </w:tc>
        <w:tc>
          <w:tcPr>
            <w:tcW w:type="dxa" w:w="1077"/>
          </w:tcPr>
          <w:p>
            <w:pPr>
              <w:spacing w:after="20"/>
            </w:pPr>
            <w:r>
              <w:rPr>
                <w:sz w:val="19"/>
              </w:rPr>
              <w:t>Severity</w:t>
            </w:r>
          </w:p>
        </w:tc>
        <w:tc>
          <w:tcPr>
            <w:tcW w:type="dxa" w:w="1361"/>
          </w:tcPr>
          <w:p>
            <w:pPr>
              <w:spacing w:after="20"/>
              <w:jc w:val="center"/>
            </w:pPr>
            <w:r>
              <w:rPr>
                <w:sz w:val="19"/>
              </w:rPr>
              <w:t>0.80</w:t>
            </w:r>
          </w:p>
        </w:tc>
        <w:tc>
          <w:tcPr>
            <w:tcW w:type="dxa" w:w="1474"/>
          </w:tcPr>
          <w:p>
            <w:pPr>
              <w:spacing w:after="20"/>
              <w:jc w:val="center"/>
            </w:pPr>
            <w:r>
              <w:rPr>
                <w:sz w:val="19"/>
              </w:rPr>
              <w:t>0.47</w:t>
            </w:r>
          </w:p>
        </w:tc>
        <w:tc>
          <w:tcPr>
            <w:tcW w:type="dxa" w:w="1361"/>
          </w:tcPr>
          <w:p>
            <w:pPr>
              <w:spacing w:after="20"/>
              <w:jc w:val="center"/>
            </w:pPr>
            <w:r>
              <w:rPr>
                <w:sz w:val="19"/>
              </w:rPr>
              <w:t>0.46</w:t>
            </w:r>
          </w:p>
        </w:tc>
        <w:tc>
          <w:tcPr>
            <w:tcW w:type="dxa" w:w="1361"/>
          </w:tcPr>
          <w:p>
            <w:pPr>
              <w:spacing w:after="20"/>
              <w:jc w:val="center"/>
            </w:pPr>
            <w:r>
              <w:rPr>
                <w:sz w:val="19"/>
              </w:rPr>
              <w:t>0.33</w:t>
            </w:r>
          </w:p>
        </w:tc>
      </w:tr>
    </w:tbl>
    <w:p>
      <w:pPr>
        <w:spacing w:after="80" w:line="240" w:lineRule="auto"/>
      </w:pPr>
      <w:r>
        <w:rPr>
          <w:sz w:val="4"/>
        </w:rPr>
      </w:r>
    </w:p>
    <w:p>
      <w:r>
        <w:rPr>
          <w:i/>
          <w:sz w:val="19"/>
        </w:rPr>
        <w:t>Best macro F1 for each feature set (mean over 25 outer test folds; for set B this is the hybrid model).</w:t>
      </w:r>
    </w:p>
    <w:tbl>
      <w:tblPr>
        <w:tblW w:type="auto" w:w="0"/>
        <w:tblLook w:firstColumn="1" w:firstRow="1" w:lastColumn="0" w:lastRow="0" w:noHBand="0" w:noVBand="1" w:val="04A0"/>
      </w:tblPr>
      <w:tblGrid>
        <w:gridCol w:w="9298"/>
      </w:tblGrid>
      <w:tr>
        <w:tc>
          <w:tcPr>
            <w:tcW w:type="dxa" w:w="9298"/>
            <w:shd w:val="clear" w:color="auto" w:fill="EAF1F8"/>
          </w:tcPr>
          <w:p>
            <w:r>
              <w:rPr>
                <w:b/>
              </w:rPr>
              <w:t>What it shows</w:t>
            </w:r>
          </w:p>
          <w:p>
            <w:pPr>
              <w:pStyle w:val="ListBullet"/>
              <w:spacing w:after="40"/>
            </w:pPr>
            <w:r>
              <w:t>Set A is high because the model can add up the BDI answers again — it is not a fair test (leakage).</w:t>
            </w:r>
          </w:p>
          <w:p>
            <w:pPr>
              <w:pStyle w:val="ListBullet"/>
              <w:spacing w:after="40"/>
            </w:pPr>
            <w:r>
              <w:t>Set B minus set C (effect of adding demographic + clinical to FCRI): -0.003 for binary (p = 0.865) and -0.008 for severity (p = 1.000).</w:t>
            </w:r>
          </w:p>
          <w:p>
            <w:pPr>
              <w:pStyle w:val="ListBullet"/>
              <w:spacing w:after="40"/>
            </w:pPr>
            <w:r>
              <w:t>Set B minus set D (effect of the FCRI answers): +0.238 for binary (p &lt; 0.001) and +0.285 for severity (p &lt; 0.001).</w:t>
            </w:r>
          </w:p>
          <w:p>
            <w:pPr>
              <w:pStyle w:val="ListBullet"/>
              <w:spacing w:after="40"/>
            </w:pPr>
            <w:r>
              <w:t>Plain meaning: almost all of the predictive information comes from the FCRI answers; demographic and clinical details add little.</w:t>
            </w:r>
          </w:p>
        </w:tc>
      </w:tr>
    </w:tbl>
    <w:p>
      <w:pPr>
        <w:spacing w:after="80" w:line="240" w:lineRule="auto"/>
      </w:pPr>
      <w:r>
        <w:rPr>
          <w:sz w:val="4"/>
        </w:rPr>
      </w:r>
    </w:p>
    <w:p>
      <w:r>
        <w:rPr>
          <w:i w:val="0"/>
        </w:rPr>
        <w:t>These comparisons use the same ensemble without feature selection on both sides, so only the inputs differ. Cite Figure 4.7 and Table 4.17.</w:t>
      </w:r>
    </w:p>
    <w:p>
      <w:pPr>
        <w:jc w:val="center"/>
      </w:pPr>
      <w:r>
        <w:drawing>
          <wp:inline xmlns:a="http://schemas.openxmlformats.org/drawingml/2006/main" xmlns:pic="http://schemas.openxmlformats.org/drawingml/2006/picture">
            <wp:extent cx="5580000" cy="2974576"/>
            <wp:docPr id="3" name="Picture 3"/>
            <wp:cNvGraphicFramePr>
              <a:graphicFrameLocks noChangeAspect="1"/>
            </wp:cNvGraphicFramePr>
            <a:graphic>
              <a:graphicData uri="http://schemas.openxmlformats.org/drawingml/2006/picture">
                <pic:pic>
                  <pic:nvPicPr>
                    <pic:cNvPr id="0" name="ch4_fig07_featureset_comparison.png"/>
                    <pic:cNvPicPr/>
                  </pic:nvPicPr>
                  <pic:blipFill>
                    <a:blip r:embed="rId11"/>
                    <a:stretch>
                      <a:fillRect/>
                    </a:stretch>
                  </pic:blipFill>
                  <pic:spPr>
                    <a:xfrm>
                      <a:off x="0" y="0"/>
                      <a:ext cx="5580000" cy="2974576"/>
                    </a:xfrm>
                    <a:prstGeom prst="rect"/>
                  </pic:spPr>
                </pic:pic>
              </a:graphicData>
            </a:graphic>
          </wp:inline>
        </w:drawing>
      </w:r>
    </w:p>
    <w:p>
      <w:pPr>
        <w:jc w:val="center"/>
      </w:pPr>
      <w:r>
        <w:rPr>
          <w:b/>
          <w:sz w:val="19"/>
        </w:rPr>
        <w:t xml:space="preserve">Figure 4.7. </w:t>
      </w:r>
      <w:r>
        <w:rPr>
          <w:i/>
          <w:sz w:val="19"/>
        </w:rPr>
        <w:t>Macro F1 of every model on feature sets A-D (mean ± SD over 25 outer folds).</w:t>
      </w:r>
    </w:p>
    <w:p>
      <w:pPr>
        <w:pStyle w:val="Heading2"/>
        <w:pageBreakBefore w:val="0"/>
      </w:pPr>
      <w:r>
        <w:t>4.3 How well does the hybrid model work?</w:t>
      </w:r>
    </w:p>
    <w:p>
      <w:r>
        <w:rPr>
          <w:i w:val="0"/>
        </w:rPr>
        <w:t>Feature set B (no BDI answers). Values are the mean over 25 outer test folds; the 95% confidence interval is in brackets.</w:t>
      </w:r>
    </w:p>
    <w:p>
      <w:pPr>
        <w:pStyle w:val="Heading3"/>
        <w:pageBreakBefore w:val="0"/>
      </w:pPr>
      <w:r>
        <w:t>Binary: depressed or not</w:t>
      </w:r>
    </w:p>
    <w:tbl>
      <w:tblPr>
        <w:tblStyle w:val="TableGrid"/>
        <w:tblW w:type="auto" w:w="0"/>
        <w:tblLook w:firstColumn="1" w:firstRow="1" w:lastColumn="0" w:lastRow="0" w:noHBand="0" w:noVBand="1" w:val="04A0"/>
      </w:tblPr>
      <w:tblGrid>
        <w:gridCol w:w="3099"/>
        <w:gridCol w:w="3099"/>
        <w:gridCol w:w="3099"/>
      </w:tblGrid>
      <w:tr>
        <w:tc>
          <w:tcPr>
            <w:tcW w:type="dxa" w:w="3175"/>
            <w:shd w:val="clear" w:color="auto" w:fill="D9E2F3"/>
          </w:tcPr>
          <w:p>
            <w:pPr>
              <w:keepNext/>
              <w:spacing w:after="20"/>
            </w:pPr>
            <w:r>
              <w:rPr>
                <w:b/>
                <w:sz w:val="19"/>
              </w:rPr>
            </w:r>
          </w:p>
        </w:tc>
        <w:tc>
          <w:tcPr>
            <w:tcW w:type="dxa" w:w="3005"/>
            <w:shd w:val="clear" w:color="auto" w:fill="D9E2F3"/>
          </w:tcPr>
          <w:p>
            <w:pPr>
              <w:keepNext/>
              <w:spacing w:after="20"/>
            </w:pPr>
            <w:r>
              <w:rPr>
                <w:b/>
                <w:sz w:val="19"/>
              </w:rPr>
              <w:t>All rows</w:t>
            </w:r>
          </w:p>
        </w:tc>
        <w:tc>
          <w:tcPr>
            <w:tcW w:type="dxa" w:w="3005"/>
            <w:shd w:val="clear" w:color="auto" w:fill="D9E2F3"/>
          </w:tcPr>
          <w:p>
            <w:pPr>
              <w:keepNext/>
              <w:spacing w:after="20"/>
            </w:pPr>
            <w:r>
              <w:rPr>
                <w:b/>
                <w:sz w:val="19"/>
              </w:rPr>
              <w:t>Excluding generator-matched rows</w:t>
            </w:r>
          </w:p>
        </w:tc>
      </w:tr>
      <w:tr>
        <w:tc>
          <w:tcPr>
            <w:tcW w:type="dxa" w:w="3175"/>
          </w:tcPr>
          <w:p>
            <w:pPr>
              <w:keepNext/>
              <w:spacing w:after="20"/>
            </w:pPr>
            <w:r>
              <w:rPr>
                <w:sz w:val="19"/>
              </w:rPr>
              <w:t>Hybrid model</w:t>
            </w:r>
          </w:p>
        </w:tc>
        <w:tc>
          <w:tcPr>
            <w:tcW w:type="dxa" w:w="3005"/>
          </w:tcPr>
          <w:p>
            <w:pPr>
              <w:keepNext/>
              <w:spacing w:after="20"/>
            </w:pPr>
            <w:r>
              <w:rPr>
                <w:sz w:val="19"/>
              </w:rPr>
              <w:t>Boruta (RF) + Soft Voting</w:t>
            </w:r>
          </w:p>
        </w:tc>
        <w:tc>
          <w:tcPr>
            <w:tcW w:type="dxa" w:w="3005"/>
          </w:tcPr>
          <w:p>
            <w:pPr>
              <w:keepNext/>
              <w:spacing w:after="20"/>
            </w:pPr>
            <w:r>
              <w:rPr>
                <w:sz w:val="19"/>
              </w:rPr>
              <w:t>Chi-square + Soft Voting</w:t>
            </w:r>
          </w:p>
        </w:tc>
      </w:tr>
      <w:tr>
        <w:tc>
          <w:tcPr>
            <w:tcW w:type="dxa" w:w="3175"/>
          </w:tcPr>
          <w:p>
            <w:pPr>
              <w:keepNext/>
              <w:spacing w:after="20"/>
            </w:pPr>
            <w:r>
              <w:rPr>
                <w:sz w:val="19"/>
              </w:rPr>
              <w:t>Macro F1 (main score)</w:t>
            </w:r>
          </w:p>
        </w:tc>
        <w:tc>
          <w:tcPr>
            <w:tcW w:type="dxa" w:w="3005"/>
          </w:tcPr>
          <w:p>
            <w:pPr>
              <w:keepNext/>
              <w:spacing w:after="20"/>
              <w:jc w:val="center"/>
            </w:pPr>
            <w:r>
              <w:rPr>
                <w:sz w:val="19"/>
              </w:rPr>
              <w:t>0.88 (0.85–0.91)</w:t>
            </w:r>
          </w:p>
        </w:tc>
        <w:tc>
          <w:tcPr>
            <w:tcW w:type="dxa" w:w="3005"/>
          </w:tcPr>
          <w:p>
            <w:pPr>
              <w:keepNext/>
              <w:spacing w:after="20"/>
              <w:jc w:val="center"/>
            </w:pPr>
            <w:r>
              <w:rPr>
                <w:sz w:val="19"/>
              </w:rPr>
              <w:t>0.63 (0.53–0.73)</w:t>
            </w:r>
          </w:p>
        </w:tc>
      </w:tr>
      <w:tr>
        <w:tc>
          <w:tcPr>
            <w:tcW w:type="dxa" w:w="3175"/>
          </w:tcPr>
          <w:p>
            <w:pPr>
              <w:keepNext/>
              <w:spacing w:after="20"/>
            </w:pPr>
            <w:r>
              <w:rPr>
                <w:sz w:val="19"/>
              </w:rPr>
              <w:t>Balanced accuracy</w:t>
            </w:r>
          </w:p>
        </w:tc>
        <w:tc>
          <w:tcPr>
            <w:tcW w:type="dxa" w:w="3005"/>
          </w:tcPr>
          <w:p>
            <w:pPr>
              <w:keepNext/>
              <w:spacing w:after="20"/>
              <w:jc w:val="center"/>
            </w:pPr>
            <w:r>
              <w:rPr>
                <w:sz w:val="19"/>
              </w:rPr>
              <w:t>0.90 (0.86–0.93)</w:t>
            </w:r>
          </w:p>
        </w:tc>
        <w:tc>
          <w:tcPr>
            <w:tcW w:type="dxa" w:w="3005"/>
          </w:tcPr>
          <w:p>
            <w:pPr>
              <w:keepNext/>
              <w:spacing w:after="20"/>
              <w:jc w:val="center"/>
            </w:pPr>
            <w:r>
              <w:rPr>
                <w:sz w:val="19"/>
              </w:rPr>
              <w:t>0.64 (0.53–0.74)</w:t>
            </w:r>
          </w:p>
        </w:tc>
      </w:tr>
      <w:tr>
        <w:tc>
          <w:tcPr>
            <w:tcW w:type="dxa" w:w="3175"/>
          </w:tcPr>
          <w:p>
            <w:pPr>
              <w:keepNext/>
              <w:spacing w:after="20"/>
            </w:pPr>
            <w:r>
              <w:rPr>
                <w:sz w:val="19"/>
              </w:rPr>
              <w:t>Sensitivity — depressed found</w:t>
            </w:r>
          </w:p>
        </w:tc>
        <w:tc>
          <w:tcPr>
            <w:tcW w:type="dxa" w:w="3005"/>
          </w:tcPr>
          <w:p>
            <w:pPr>
              <w:keepNext/>
              <w:spacing w:after="20"/>
              <w:jc w:val="center"/>
            </w:pPr>
            <w:r>
              <w:rPr>
                <w:sz w:val="19"/>
              </w:rPr>
              <w:t>98% (97%–99%)</w:t>
            </w:r>
          </w:p>
        </w:tc>
        <w:tc>
          <w:tcPr>
            <w:tcW w:type="dxa" w:w="3005"/>
          </w:tcPr>
          <w:p>
            <w:pPr>
              <w:keepNext/>
              <w:spacing w:after="20"/>
              <w:jc w:val="center"/>
            </w:pPr>
            <w:r>
              <w:rPr>
                <w:sz w:val="19"/>
              </w:rPr>
              <w:t>99% (97%–100%)</w:t>
            </w:r>
          </w:p>
        </w:tc>
      </w:tr>
      <w:tr>
        <w:tc>
          <w:tcPr>
            <w:tcW w:type="dxa" w:w="3175"/>
          </w:tcPr>
          <w:p>
            <w:pPr>
              <w:keepNext/>
              <w:spacing w:after="20"/>
            </w:pPr>
            <w:r>
              <w:rPr>
                <w:sz w:val="19"/>
              </w:rPr>
              <w:t>Specificity — non-depressed cleared</w:t>
            </w:r>
          </w:p>
        </w:tc>
        <w:tc>
          <w:tcPr>
            <w:tcW w:type="dxa" w:w="3005"/>
          </w:tcPr>
          <w:p>
            <w:pPr>
              <w:keepNext/>
              <w:spacing w:after="20"/>
              <w:jc w:val="center"/>
            </w:pPr>
            <w:r>
              <w:rPr>
                <w:sz w:val="19"/>
              </w:rPr>
              <w:t>82% (74%–89%)</w:t>
            </w:r>
          </w:p>
        </w:tc>
        <w:tc>
          <w:tcPr>
            <w:tcW w:type="dxa" w:w="3005"/>
          </w:tcPr>
          <w:p>
            <w:pPr>
              <w:keepNext/>
              <w:spacing w:after="20"/>
              <w:jc w:val="center"/>
            </w:pPr>
            <w:r>
              <w:rPr>
                <w:sz w:val="19"/>
              </w:rPr>
              <w:t>29% (6%–50%)</w:t>
            </w:r>
          </w:p>
        </w:tc>
      </w:tr>
      <w:tr>
        <w:tc>
          <w:tcPr>
            <w:tcW w:type="dxa" w:w="3175"/>
          </w:tcPr>
          <w:p>
            <w:pPr>
              <w:keepNext/>
              <w:spacing w:after="20"/>
            </w:pPr>
            <w:r>
              <w:rPr>
                <w:sz w:val="19"/>
              </w:rPr>
              <w:t>ROC-AUC</w:t>
            </w:r>
          </w:p>
        </w:tc>
        <w:tc>
          <w:tcPr>
            <w:tcW w:type="dxa" w:w="3005"/>
          </w:tcPr>
          <w:p>
            <w:pPr>
              <w:keepNext/>
              <w:spacing w:after="20"/>
              <w:jc w:val="center"/>
            </w:pPr>
            <w:r>
              <w:rPr>
                <w:sz w:val="19"/>
              </w:rPr>
              <w:t>0.96 (0.92–0.98)</w:t>
            </w:r>
          </w:p>
        </w:tc>
        <w:tc>
          <w:tcPr>
            <w:tcW w:type="dxa" w:w="3005"/>
          </w:tcPr>
          <w:p>
            <w:pPr>
              <w:keepNext/>
              <w:spacing w:after="20"/>
              <w:jc w:val="center"/>
            </w:pPr>
            <w:r>
              <w:rPr>
                <w:sz w:val="19"/>
              </w:rPr>
              <w:t>0.91 (0.83–0.95)</w:t>
            </w:r>
          </w:p>
        </w:tc>
      </w:tr>
      <w:tr>
        <w:tc>
          <w:tcPr>
            <w:tcW w:type="dxa" w:w="3175"/>
          </w:tcPr>
          <w:p>
            <w:pPr>
              <w:keepNext/>
              <w:spacing w:after="20"/>
            </w:pPr>
            <w:r>
              <w:rPr>
                <w:sz w:val="19"/>
              </w:rPr>
              <w:t>MCC</w:t>
            </w:r>
          </w:p>
        </w:tc>
        <w:tc>
          <w:tcPr>
            <w:tcW w:type="dxa" w:w="3005"/>
          </w:tcPr>
          <w:p>
            <w:pPr>
              <w:keepNext/>
              <w:spacing w:after="20"/>
              <w:jc w:val="center"/>
            </w:pPr>
            <w:r>
              <w:rPr>
                <w:sz w:val="19"/>
              </w:rPr>
              <w:t>0.77 (0.69–0.83)</w:t>
            </w:r>
          </w:p>
        </w:tc>
        <w:tc>
          <w:tcPr>
            <w:tcW w:type="dxa" w:w="3005"/>
          </w:tcPr>
          <w:p>
            <w:pPr>
              <w:keepNext/>
              <w:spacing w:after="20"/>
              <w:jc w:val="center"/>
            </w:pPr>
            <w:r>
              <w:rPr>
                <w:sz w:val="19"/>
              </w:rPr>
              <w:t>0.26 (0.07–0.47)</w:t>
            </w:r>
          </w:p>
        </w:tc>
      </w:tr>
      <w:tr>
        <w:tc>
          <w:tcPr>
            <w:tcW w:type="dxa" w:w="3175"/>
          </w:tcPr>
          <w:p>
            <w:pPr>
              <w:spacing w:after="20"/>
            </w:pPr>
            <w:r>
              <w:rPr>
                <w:sz w:val="19"/>
              </w:rPr>
              <w:t>Brier score (lower = better)</w:t>
            </w:r>
          </w:p>
        </w:tc>
        <w:tc>
          <w:tcPr>
            <w:tcW w:type="dxa" w:w="3005"/>
          </w:tcPr>
          <w:p>
            <w:pPr>
              <w:spacing w:after="20"/>
              <w:jc w:val="center"/>
            </w:pPr>
            <w:r>
              <w:rPr>
                <w:sz w:val="19"/>
              </w:rPr>
              <w:t>0.033 (0.027–0.039)</w:t>
            </w:r>
          </w:p>
        </w:tc>
        <w:tc>
          <w:tcPr>
            <w:tcW w:type="dxa" w:w="3005"/>
          </w:tcPr>
          <w:p>
            <w:pPr>
              <w:spacing w:after="20"/>
              <w:jc w:val="center"/>
            </w:pPr>
            <w:r>
              <w:rPr>
                <w:sz w:val="19"/>
              </w:rPr>
              <w:t>0.025 (0.017–0.033)</w:t>
            </w:r>
          </w:p>
        </w:tc>
      </w:tr>
    </w:tbl>
    <w:p>
      <w:pPr>
        <w:spacing w:after="80" w:line="240" w:lineRule="auto"/>
      </w:pPr>
      <w:r>
        <w:rPr>
          <w:sz w:val="4"/>
        </w:rPr>
      </w:r>
    </w:p>
    <w:p>
      <w:pPr>
        <w:pStyle w:val="Heading3"/>
        <w:pageBreakBefore w:val="0"/>
      </w:pPr>
      <w:r>
        <w:t>Severity: six classes</w:t>
      </w:r>
    </w:p>
    <w:tbl>
      <w:tblPr>
        <w:tblStyle w:val="TableGrid"/>
        <w:tblW w:type="auto" w:w="0"/>
        <w:tblLook w:firstColumn="1" w:firstRow="1" w:lastColumn="0" w:lastRow="0" w:noHBand="0" w:noVBand="1" w:val="04A0"/>
      </w:tblPr>
      <w:tblGrid>
        <w:gridCol w:w="3099"/>
        <w:gridCol w:w="3099"/>
        <w:gridCol w:w="3099"/>
      </w:tblGrid>
      <w:tr>
        <w:tc>
          <w:tcPr>
            <w:tcW w:type="dxa" w:w="3175"/>
            <w:shd w:val="clear" w:color="auto" w:fill="D9E2F3"/>
          </w:tcPr>
          <w:p>
            <w:pPr>
              <w:keepNext/>
              <w:spacing w:after="20"/>
            </w:pPr>
            <w:r>
              <w:rPr>
                <w:b/>
                <w:sz w:val="19"/>
              </w:rPr>
            </w:r>
          </w:p>
        </w:tc>
        <w:tc>
          <w:tcPr>
            <w:tcW w:type="dxa" w:w="3005"/>
            <w:shd w:val="clear" w:color="auto" w:fill="D9E2F3"/>
          </w:tcPr>
          <w:p>
            <w:pPr>
              <w:keepNext/>
              <w:spacing w:after="20"/>
            </w:pPr>
            <w:r>
              <w:rPr>
                <w:b/>
                <w:sz w:val="19"/>
              </w:rPr>
              <w:t>All rows</w:t>
            </w:r>
          </w:p>
        </w:tc>
        <w:tc>
          <w:tcPr>
            <w:tcW w:type="dxa" w:w="3005"/>
            <w:shd w:val="clear" w:color="auto" w:fill="D9E2F3"/>
          </w:tcPr>
          <w:p>
            <w:pPr>
              <w:keepNext/>
              <w:spacing w:after="20"/>
            </w:pPr>
            <w:r>
              <w:rPr>
                <w:b/>
                <w:sz w:val="19"/>
              </w:rPr>
              <w:t>Excluding generator-matched rows</w:t>
            </w:r>
          </w:p>
        </w:tc>
      </w:tr>
      <w:tr>
        <w:tc>
          <w:tcPr>
            <w:tcW w:type="dxa" w:w="3175"/>
          </w:tcPr>
          <w:p>
            <w:pPr>
              <w:keepNext/>
              <w:spacing w:after="20"/>
            </w:pPr>
            <w:r>
              <w:rPr>
                <w:sz w:val="19"/>
              </w:rPr>
              <w:t>Hybrid model</w:t>
            </w:r>
          </w:p>
        </w:tc>
        <w:tc>
          <w:tcPr>
            <w:tcW w:type="dxa" w:w="3005"/>
          </w:tcPr>
          <w:p>
            <w:pPr>
              <w:keepNext/>
              <w:spacing w:after="20"/>
            </w:pPr>
            <w:r>
              <w:rPr>
                <w:sz w:val="19"/>
              </w:rPr>
              <w:t>Boruta (RF) + Stacking (LR meta)</w:t>
            </w:r>
          </w:p>
        </w:tc>
        <w:tc>
          <w:tcPr>
            <w:tcW w:type="dxa" w:w="3005"/>
          </w:tcPr>
          <w:p>
            <w:pPr>
              <w:keepNext/>
              <w:spacing w:after="20"/>
            </w:pPr>
            <w:r>
              <w:rPr>
                <w:sz w:val="19"/>
              </w:rPr>
              <w:t>L1 logistic regression + Stacking (LR meta)</w:t>
            </w:r>
          </w:p>
        </w:tc>
      </w:tr>
      <w:tr>
        <w:tc>
          <w:tcPr>
            <w:tcW w:type="dxa" w:w="3175"/>
          </w:tcPr>
          <w:p>
            <w:pPr>
              <w:keepNext/>
              <w:spacing w:after="20"/>
            </w:pPr>
            <w:r>
              <w:rPr>
                <w:sz w:val="19"/>
              </w:rPr>
              <w:t>Macro F1 (main score)</w:t>
            </w:r>
          </w:p>
        </w:tc>
        <w:tc>
          <w:tcPr>
            <w:tcW w:type="dxa" w:w="3005"/>
          </w:tcPr>
          <w:p>
            <w:pPr>
              <w:keepNext/>
              <w:spacing w:after="20"/>
              <w:jc w:val="center"/>
            </w:pPr>
            <w:r>
              <w:rPr>
                <w:sz w:val="19"/>
              </w:rPr>
              <w:t>0.60 (0.57–0.64)</w:t>
            </w:r>
          </w:p>
        </w:tc>
        <w:tc>
          <w:tcPr>
            <w:tcW w:type="dxa" w:w="3005"/>
          </w:tcPr>
          <w:p>
            <w:pPr>
              <w:keepNext/>
              <w:spacing w:after="20"/>
              <w:jc w:val="center"/>
            </w:pPr>
            <w:r>
              <w:rPr>
                <w:sz w:val="19"/>
              </w:rPr>
              <w:t>0.46 (0.41–0.50)</w:t>
            </w:r>
          </w:p>
        </w:tc>
      </w:tr>
      <w:tr>
        <w:tc>
          <w:tcPr>
            <w:tcW w:type="dxa" w:w="3175"/>
          </w:tcPr>
          <w:p>
            <w:pPr>
              <w:keepNext/>
              <w:spacing w:after="20"/>
            </w:pPr>
            <w:r>
              <w:rPr>
                <w:sz w:val="19"/>
              </w:rPr>
              <w:t>Balanced accuracy</w:t>
            </w:r>
          </w:p>
        </w:tc>
        <w:tc>
          <w:tcPr>
            <w:tcW w:type="dxa" w:w="3005"/>
          </w:tcPr>
          <w:p>
            <w:pPr>
              <w:keepNext/>
              <w:spacing w:after="20"/>
              <w:jc w:val="center"/>
            </w:pPr>
            <w:r>
              <w:rPr>
                <w:sz w:val="19"/>
              </w:rPr>
              <w:t>0.61 (0.58–0.64)</w:t>
            </w:r>
          </w:p>
        </w:tc>
        <w:tc>
          <w:tcPr>
            <w:tcW w:type="dxa" w:w="3005"/>
          </w:tcPr>
          <w:p>
            <w:pPr>
              <w:keepNext/>
              <w:spacing w:after="20"/>
              <w:jc w:val="center"/>
            </w:pPr>
            <w:r>
              <w:rPr>
                <w:sz w:val="19"/>
              </w:rPr>
              <w:t>0.49 (0.43–0.55)</w:t>
            </w:r>
          </w:p>
        </w:tc>
      </w:tr>
      <w:tr>
        <w:tc>
          <w:tcPr>
            <w:tcW w:type="dxa" w:w="3175"/>
          </w:tcPr>
          <w:p>
            <w:pPr>
              <w:keepNext/>
              <w:spacing w:after="20"/>
            </w:pPr>
            <w:r>
              <w:rPr>
                <w:sz w:val="19"/>
              </w:rPr>
              <w:t>Quadratic weighted κ</w:t>
            </w:r>
          </w:p>
        </w:tc>
        <w:tc>
          <w:tcPr>
            <w:tcW w:type="dxa" w:w="3005"/>
          </w:tcPr>
          <w:p>
            <w:pPr>
              <w:keepNext/>
              <w:spacing w:after="20"/>
              <w:jc w:val="center"/>
            </w:pPr>
            <w:r>
              <w:rPr>
                <w:sz w:val="19"/>
              </w:rPr>
              <w:t>0.86 (0.83–0.88)</w:t>
            </w:r>
          </w:p>
        </w:tc>
        <w:tc>
          <w:tcPr>
            <w:tcW w:type="dxa" w:w="3005"/>
          </w:tcPr>
          <w:p>
            <w:pPr>
              <w:keepNext/>
              <w:spacing w:after="20"/>
              <w:jc w:val="center"/>
            </w:pPr>
            <w:r>
              <w:rPr>
                <w:sz w:val="19"/>
              </w:rPr>
              <w:t>0.69 (0.63–0.74)</w:t>
            </w:r>
          </w:p>
        </w:tc>
      </w:tr>
      <w:tr>
        <w:tc>
          <w:tcPr>
            <w:tcW w:type="dxa" w:w="3175"/>
          </w:tcPr>
          <w:p>
            <w:pPr>
              <w:spacing w:after="20"/>
            </w:pPr>
            <w:r>
              <w:rPr>
                <w:sz w:val="19"/>
              </w:rPr>
              <w:t>Macro ROC-AUC</w:t>
            </w:r>
          </w:p>
        </w:tc>
        <w:tc>
          <w:tcPr>
            <w:tcW w:type="dxa" w:w="3005"/>
          </w:tcPr>
          <w:p>
            <w:pPr>
              <w:spacing w:after="20"/>
              <w:jc w:val="center"/>
            </w:pPr>
            <w:r>
              <w:rPr>
                <w:sz w:val="19"/>
              </w:rPr>
              <w:t>0.89 (0.88–0.90)</w:t>
            </w:r>
          </w:p>
        </w:tc>
        <w:tc>
          <w:tcPr>
            <w:tcW w:type="dxa" w:w="3005"/>
          </w:tcPr>
          <w:p>
            <w:pPr>
              <w:spacing w:after="20"/>
              <w:jc w:val="center"/>
            </w:pPr>
            <w:r>
              <w:rPr>
                <w:sz w:val="19"/>
              </w:rPr>
              <w:t>0.86 (0.82–0.88)</w:t>
            </w:r>
          </w:p>
        </w:tc>
      </w:tr>
    </w:tbl>
    <w:p>
      <w:pPr>
        <w:spacing w:after="80" w:line="240" w:lineRule="auto"/>
      </w:pPr>
      <w:r>
        <w:rPr>
          <w:sz w:val="4"/>
        </w:rPr>
      </w:r>
    </w:p>
    <w:tbl>
      <w:tblPr>
        <w:tblW w:type="auto" w:w="0"/>
        <w:tblLook w:firstColumn="1" w:firstRow="1" w:lastColumn="0" w:lastRow="0" w:noHBand="0" w:noVBand="1" w:val="04A0"/>
      </w:tblPr>
      <w:tblGrid>
        <w:gridCol w:w="9298"/>
      </w:tblGrid>
      <w:tr>
        <w:tc>
          <w:tcPr>
            <w:tcW w:type="dxa" w:w="9298"/>
            <w:shd w:val="clear" w:color="auto" w:fill="EAF1F8"/>
          </w:tcPr>
          <w:p>
            <w:r>
              <w:rPr>
                <w:b/>
              </w:rPr>
              <w:t>What it shows</w:t>
            </w:r>
          </w:p>
          <w:p>
            <w:pPr>
              <w:pStyle w:val="ListBullet"/>
              <w:spacing w:after="40"/>
            </w:pPr>
            <w:r>
              <w:t>The model finds 98% of depressed participants and correctly clears 82% of the non-depressed — the small group is the harder one.</w:t>
            </w:r>
          </w:p>
          <w:p>
            <w:pPr>
              <w:pStyle w:val="ListBullet"/>
              <w:spacing w:after="40"/>
            </w:pPr>
            <w:r>
              <w:t>Severity: easiest class 'Normal' (F1 0.79), hardest class 'Borderline clinical depression' (F1 0.29). The middle classes cover narrow BDI ranges, so small differences in answers move a participant across a boundary.</w:t>
            </w:r>
          </w:p>
          <w:p>
            <w:pPr>
              <w:pStyle w:val="ListBullet"/>
              <w:spacing w:after="40"/>
            </w:pPr>
            <w:r>
              <w:t>83% of severity mistakes were only one class away from the true class.</w:t>
            </w:r>
          </w:p>
          <w:p>
            <w:pPr>
              <w:pStyle w:val="ListBullet"/>
              <w:spacing w:after="40"/>
            </w:pPr>
            <w:r>
              <w:t>Misclassified participants sat close to the BDI cut-off (median distance 4.0 points vs 19.5 for correctly classified ones) — the model struggles mostly with borderline cases.</w:t>
            </w:r>
          </w:p>
        </w:tc>
      </w:tr>
    </w:tbl>
    <w:p>
      <w:pPr>
        <w:spacing w:after="80" w:line="240" w:lineRule="auto"/>
      </w:pPr>
      <w:r>
        <w:rPr>
          <w:sz w:val="4"/>
        </w:rPr>
      </w:r>
    </w:p>
    <w:p>
      <w:r>
        <w:rPr>
          <w:i w:val="0"/>
        </w:rPr>
        <w:t>Cite Table 4.18, Table 4.20, Table 4.22, Figure 4.9, Figure 4.11, Figure 4.12 and Figure 4.16.</w:t>
      </w:r>
    </w:p>
    <w:p>
      <w:pPr>
        <w:jc w:val="center"/>
      </w:pPr>
      <w:r>
        <w:drawing>
          <wp:inline xmlns:a="http://schemas.openxmlformats.org/drawingml/2006/main" xmlns:pic="http://schemas.openxmlformats.org/drawingml/2006/picture">
            <wp:extent cx="5580000" cy="2870936"/>
            <wp:docPr id="4" name="Picture 4"/>
            <wp:cNvGraphicFramePr>
              <a:graphicFrameLocks noChangeAspect="1"/>
            </wp:cNvGraphicFramePr>
            <a:graphic>
              <a:graphicData uri="http://schemas.openxmlformats.org/drawingml/2006/picture">
                <pic:pic>
                  <pic:nvPicPr>
                    <pic:cNvPr id="0" name="ch4_fig12_confusion_severity.png"/>
                    <pic:cNvPicPr/>
                  </pic:nvPicPr>
                  <pic:blipFill>
                    <a:blip r:embed="rId12"/>
                    <a:stretch>
                      <a:fillRect/>
                    </a:stretch>
                  </pic:blipFill>
                  <pic:spPr>
                    <a:xfrm>
                      <a:off x="0" y="0"/>
                      <a:ext cx="5580000" cy="2870936"/>
                    </a:xfrm>
                    <a:prstGeom prst="rect"/>
                  </pic:spPr>
                </pic:pic>
              </a:graphicData>
            </a:graphic>
          </wp:inline>
        </w:drawing>
      </w:r>
    </w:p>
    <w:p>
      <w:pPr>
        <w:jc w:val="center"/>
      </w:pPr>
      <w:r>
        <w:rPr>
          <w:b/>
          <w:sz w:val="19"/>
        </w:rPr>
        <w:t xml:space="preserve">Figure 4.12. </w:t>
      </w:r>
      <w:r>
        <w:rPr>
          <w:i/>
          <w:sz w:val="19"/>
        </w:rPr>
        <w:t>Confusion matrices (counts and row-normalised) of the hybrid model for severity classification.</w:t>
      </w:r>
    </w:p>
    <w:p>
      <w:pPr>
        <w:pStyle w:val="Heading2"/>
        <w:pageBreakBefore w:val="0"/>
      </w:pPr>
      <w:r>
        <w:t>4.4 Is the hybrid better than simpler models?</w:t>
      </w:r>
    </w:p>
    <w:tbl>
      <w:tblPr>
        <w:tblW w:type="auto" w:w="0"/>
        <w:tblLook w:firstColumn="1" w:firstRow="1" w:lastColumn="0" w:lastRow="0" w:noHBand="0" w:noVBand="1" w:val="04A0"/>
      </w:tblPr>
      <w:tblGrid>
        <w:gridCol w:w="9298"/>
      </w:tblGrid>
      <w:tr>
        <w:tc>
          <w:tcPr>
            <w:tcW w:type="dxa" w:w="9298"/>
            <w:shd w:val="clear" w:color="auto" w:fill="EAF1F8"/>
          </w:tcPr>
          <w:p>
            <w:r>
              <w:rPr>
                <w:b/>
              </w:rPr>
              <w:t>What it shows</w:t>
            </w:r>
          </w:p>
          <w:p>
            <w:pPr>
              <w:pStyle w:val="ListBullet"/>
              <w:spacing w:after="40"/>
            </w:pPr>
            <w:r>
              <w:t>Binary detection: average ranks (1 = best) — Voting 1.64; XGB 2.42; RF 2.90; SVM 3.68; Stacking 4.36; LR 6.00. Friedman p &lt; 0.001; models whose ranks differ by less than 1.51 are not significantly different.</w:t>
            </w:r>
          </w:p>
          <w:p>
            <w:pPr>
              <w:pStyle w:val="ListBullet"/>
              <w:spacing w:after="40"/>
            </w:pPr>
            <w:r>
              <w:t>Severity (6 classes): average ranks (1 = best) — Stacking 1.40; Voting 3.04; RF 3.16; SVM 3.20; XGB 4.24; LR 5.96. Friedman p &lt; 0.001; models whose ranks differ by less than 1.51 are not significantly different.</w:t>
            </w:r>
          </w:p>
          <w:p>
            <w:pPr>
              <w:pStyle w:val="ListBullet"/>
              <w:spacing w:after="40"/>
            </w:pPr>
            <w:r>
              <w:t>Binary: hybrid vs the same ensemble without feature selection: macro F1 0.882 vs 0.872 (p = 0.865).</w:t>
            </w:r>
          </w:p>
          <w:p>
            <w:pPr>
              <w:pStyle w:val="ListBullet"/>
              <w:spacing w:after="40"/>
            </w:pPr>
            <w:r>
              <w:t>Severity: hybrid vs the same ensemble without feature selection: macro F1 0.604 vs 0.604 (p = 1.000).</w:t>
            </w:r>
          </w:p>
        </w:tc>
      </w:tr>
    </w:tbl>
    <w:p>
      <w:pPr>
        <w:spacing w:after="80" w:line="240" w:lineRule="auto"/>
      </w:pPr>
      <w:r>
        <w:rPr>
          <w:sz w:val="4"/>
        </w:rPr>
      </w:r>
    </w:p>
    <w:p>
      <w:r>
        <w:rPr>
          <w:i w:val="0"/>
        </w:rPr>
        <w:t>Plain meaning: the ensembles rank at the top, but feature selection did not raise the score significantly; its benefit is a smaller, more interpretable set of inputs. Describe it as 'comparable performance with fewer inputs', not as an improvement.</w:t>
      </w:r>
    </w:p>
    <w:p>
      <w:r>
        <w:rPr>
          <w:i w:val="0"/>
        </w:rPr>
        <w:t>Cite Figure 4.13, Table 4.24 and Table 4.26.</w:t>
      </w:r>
    </w:p>
    <w:p>
      <w:pPr>
        <w:pStyle w:val="Heading2"/>
        <w:pageBreakBefore w:val="0"/>
      </w:pPr>
      <w:r>
        <w:t>4.5 What happens when parts are removed? (ablation)</w:t>
      </w:r>
    </w:p>
    <w:p>
      <w:r>
        <w:rPr>
          <w:i w:val="0"/>
        </w:rPr>
        <w:t>Each row removes or changes one thing and shows the change in macro F1 compared with the hybrid set-up (2 repeats of 5-fold CV, primary data).</w:t>
      </w:r>
    </w:p>
    <w:tbl>
      <w:tblPr>
        <w:tblStyle w:val="TableGrid"/>
        <w:tblW w:type="auto" w:w="0"/>
        <w:tblLook w:firstColumn="1" w:firstRow="1" w:lastColumn="0" w:lastRow="0" w:noHBand="0" w:noVBand="1" w:val="04A0"/>
      </w:tblPr>
      <w:tblGrid>
        <w:gridCol w:w="3099"/>
        <w:gridCol w:w="3099"/>
        <w:gridCol w:w="3099"/>
      </w:tblGrid>
      <w:tr>
        <w:tc>
          <w:tcPr>
            <w:tcW w:type="dxa" w:w="5443"/>
            <w:shd w:val="clear" w:color="auto" w:fill="D9E2F3"/>
          </w:tcPr>
          <w:p>
            <w:pPr>
              <w:keepNext/>
              <w:spacing w:after="20"/>
            </w:pPr>
            <w:r>
              <w:rPr>
                <w:b/>
                <w:sz w:val="19"/>
              </w:rPr>
              <w:t>Change</w:t>
            </w:r>
          </w:p>
        </w:tc>
        <w:tc>
          <w:tcPr>
            <w:tcW w:type="dxa" w:w="1814"/>
            <w:shd w:val="clear" w:color="auto" w:fill="D9E2F3"/>
          </w:tcPr>
          <w:p>
            <w:pPr>
              <w:keepNext/>
              <w:spacing w:after="20"/>
            </w:pPr>
            <w:r>
              <w:rPr>
                <w:b/>
                <w:sz w:val="19"/>
              </w:rPr>
              <w:t>Binary Δ</w:t>
            </w:r>
          </w:p>
        </w:tc>
        <w:tc>
          <w:tcPr>
            <w:tcW w:type="dxa" w:w="1814"/>
            <w:shd w:val="clear" w:color="auto" w:fill="D9E2F3"/>
          </w:tcPr>
          <w:p>
            <w:pPr>
              <w:keepNext/>
              <w:spacing w:after="20"/>
            </w:pPr>
            <w:r>
              <w:rPr>
                <w:b/>
                <w:sz w:val="19"/>
              </w:rPr>
              <w:t>Severity Δ</w:t>
            </w:r>
          </w:p>
        </w:tc>
      </w:tr>
      <w:tr>
        <w:tc>
          <w:tcPr>
            <w:tcW w:type="dxa" w:w="5443"/>
          </w:tcPr>
          <w:p>
            <w:pPr>
              <w:keepNext/>
              <w:spacing w:after="20"/>
            </w:pPr>
            <w:r>
              <w:rPr>
                <w:sz w:val="19"/>
              </w:rPr>
              <w:t>Without demographic variables</w:t>
            </w:r>
          </w:p>
        </w:tc>
        <w:tc>
          <w:tcPr>
            <w:tcW w:type="dxa" w:w="1814"/>
          </w:tcPr>
          <w:p>
            <w:pPr>
              <w:keepNext/>
              <w:spacing w:after="20"/>
              <w:jc w:val="center"/>
            </w:pPr>
            <w:r>
              <w:rPr>
                <w:sz w:val="19"/>
              </w:rPr>
              <w:t>+0.001</w:t>
            </w:r>
          </w:p>
        </w:tc>
        <w:tc>
          <w:tcPr>
            <w:tcW w:type="dxa" w:w="1814"/>
          </w:tcPr>
          <w:p>
            <w:pPr>
              <w:keepNext/>
              <w:spacing w:after="20"/>
              <w:jc w:val="center"/>
            </w:pPr>
            <w:r>
              <w:rPr>
                <w:sz w:val="19"/>
              </w:rPr>
              <w:t>-0.006</w:t>
            </w:r>
          </w:p>
        </w:tc>
      </w:tr>
      <w:tr>
        <w:tc>
          <w:tcPr>
            <w:tcW w:type="dxa" w:w="5443"/>
          </w:tcPr>
          <w:p>
            <w:pPr>
              <w:keepNext/>
              <w:spacing w:after="20"/>
            </w:pPr>
            <w:r>
              <w:rPr>
                <w:sz w:val="19"/>
              </w:rPr>
              <w:t>Without clinical variables</w:t>
            </w:r>
          </w:p>
        </w:tc>
        <w:tc>
          <w:tcPr>
            <w:tcW w:type="dxa" w:w="1814"/>
          </w:tcPr>
          <w:p>
            <w:pPr>
              <w:keepNext/>
              <w:spacing w:after="20"/>
              <w:jc w:val="center"/>
            </w:pPr>
            <w:r>
              <w:rPr>
                <w:sz w:val="19"/>
              </w:rPr>
              <w:t>-0.007</w:t>
            </w:r>
          </w:p>
        </w:tc>
        <w:tc>
          <w:tcPr>
            <w:tcW w:type="dxa" w:w="1814"/>
          </w:tcPr>
          <w:p>
            <w:pPr>
              <w:keepNext/>
              <w:spacing w:after="20"/>
              <w:jc w:val="center"/>
            </w:pPr>
            <w:r>
              <w:rPr>
                <w:sz w:val="19"/>
              </w:rPr>
              <w:t>-0.005</w:t>
            </w:r>
          </w:p>
        </w:tc>
      </w:tr>
      <w:tr>
        <w:tc>
          <w:tcPr>
            <w:tcW w:type="dxa" w:w="5443"/>
          </w:tcPr>
          <w:p>
            <w:pPr>
              <w:keepNext/>
              <w:spacing w:after="20"/>
            </w:pPr>
            <w:r>
              <w:rPr>
                <w:sz w:val="19"/>
              </w:rPr>
              <w:t>Without medication variable</w:t>
            </w:r>
          </w:p>
        </w:tc>
        <w:tc>
          <w:tcPr>
            <w:tcW w:type="dxa" w:w="1814"/>
          </w:tcPr>
          <w:p>
            <w:pPr>
              <w:keepNext/>
              <w:spacing w:after="20"/>
              <w:jc w:val="center"/>
            </w:pPr>
            <w:r>
              <w:rPr>
                <w:sz w:val="19"/>
              </w:rPr>
              <w:t>-0.015</w:t>
            </w:r>
          </w:p>
        </w:tc>
        <w:tc>
          <w:tcPr>
            <w:tcW w:type="dxa" w:w="1814"/>
          </w:tcPr>
          <w:p>
            <w:pPr>
              <w:keepNext/>
              <w:spacing w:after="20"/>
              <w:jc w:val="center"/>
            </w:pPr>
            <w:r>
              <w:rPr>
                <w:sz w:val="19"/>
              </w:rPr>
              <w:t>+0.005</w:t>
            </w:r>
          </w:p>
        </w:tc>
      </w:tr>
      <w:tr>
        <w:tc>
          <w:tcPr>
            <w:tcW w:type="dxa" w:w="5443"/>
          </w:tcPr>
          <w:p>
            <w:pPr>
              <w:keepNext/>
              <w:spacing w:after="20"/>
            </w:pPr>
            <w:r>
              <w:rPr>
                <w:sz w:val="19"/>
              </w:rPr>
              <w:t>Without FCRI items 19 &amp; 26 (mood overlap)</w:t>
            </w:r>
          </w:p>
        </w:tc>
        <w:tc>
          <w:tcPr>
            <w:tcW w:type="dxa" w:w="1814"/>
          </w:tcPr>
          <w:p>
            <w:pPr>
              <w:keepNext/>
              <w:spacing w:after="20"/>
              <w:jc w:val="center"/>
            </w:pPr>
            <w:r>
              <w:rPr>
                <w:sz w:val="19"/>
              </w:rPr>
              <w:t>+0.002</w:t>
            </w:r>
          </w:p>
        </w:tc>
        <w:tc>
          <w:tcPr>
            <w:tcW w:type="dxa" w:w="1814"/>
          </w:tcPr>
          <w:p>
            <w:pPr>
              <w:keepNext/>
              <w:spacing w:after="20"/>
              <w:jc w:val="center"/>
            </w:pPr>
            <w:r>
              <w:rPr>
                <w:sz w:val="19"/>
              </w:rPr>
              <w:t>+0.002</w:t>
            </w:r>
          </w:p>
        </w:tc>
      </w:tr>
      <w:tr>
        <w:tc>
          <w:tcPr>
            <w:tcW w:type="dxa" w:w="5443"/>
          </w:tcPr>
          <w:p>
            <w:pPr>
              <w:keepNext/>
              <w:spacing w:after="20"/>
            </w:pPr>
            <w:r>
              <w:rPr>
                <w:sz w:val="19"/>
              </w:rPr>
              <w:t>Without Min-Max scaling</w:t>
            </w:r>
          </w:p>
        </w:tc>
        <w:tc>
          <w:tcPr>
            <w:tcW w:type="dxa" w:w="1814"/>
          </w:tcPr>
          <w:p>
            <w:pPr>
              <w:keepNext/>
              <w:spacing w:after="20"/>
              <w:jc w:val="center"/>
            </w:pPr>
            <w:r>
              <w:rPr>
                <w:sz w:val="19"/>
              </w:rPr>
              <w:t>-0.002</w:t>
            </w:r>
          </w:p>
        </w:tc>
        <w:tc>
          <w:tcPr>
            <w:tcW w:type="dxa" w:w="1814"/>
          </w:tcPr>
          <w:p>
            <w:pPr>
              <w:keepNext/>
              <w:spacing w:after="20"/>
              <w:jc w:val="center"/>
            </w:pPr>
            <w:r>
              <w:rPr>
                <w:sz w:val="19"/>
              </w:rPr>
              <w:t>-0.002</w:t>
            </w:r>
          </w:p>
        </w:tc>
      </w:tr>
      <w:tr>
        <w:tc>
          <w:tcPr>
            <w:tcW w:type="dxa" w:w="5443"/>
          </w:tcPr>
          <w:p>
            <w:pPr>
              <w:keepNext/>
              <w:spacing w:after="20"/>
            </w:pPr>
            <w:r>
              <w:rPr>
                <w:sz w:val="19"/>
              </w:rPr>
              <w:t>Label (ordinal) encoding instead of one-hot</w:t>
            </w:r>
          </w:p>
        </w:tc>
        <w:tc>
          <w:tcPr>
            <w:tcW w:type="dxa" w:w="1814"/>
          </w:tcPr>
          <w:p>
            <w:pPr>
              <w:keepNext/>
              <w:spacing w:after="20"/>
              <w:jc w:val="center"/>
            </w:pPr>
            <w:r>
              <w:rPr>
                <w:sz w:val="19"/>
              </w:rPr>
              <w:t>-0.003</w:t>
            </w:r>
          </w:p>
        </w:tc>
        <w:tc>
          <w:tcPr>
            <w:tcW w:type="dxa" w:w="1814"/>
          </w:tcPr>
          <w:p>
            <w:pPr>
              <w:keepNext/>
              <w:spacing w:after="20"/>
              <w:jc w:val="center"/>
            </w:pPr>
            <w:r>
              <w:rPr>
                <w:sz w:val="19"/>
              </w:rPr>
              <w:t>+0.002</w:t>
            </w:r>
          </w:p>
        </w:tc>
      </w:tr>
      <w:tr>
        <w:tc>
          <w:tcPr>
            <w:tcW w:type="dxa" w:w="5443"/>
          </w:tcPr>
          <w:p>
            <w:pPr>
              <w:keepNext/>
              <w:spacing w:after="20"/>
            </w:pPr>
            <w:r>
              <w:rPr>
                <w:sz w:val="19"/>
              </w:rPr>
              <w:t>Without feature selection</w:t>
            </w:r>
          </w:p>
        </w:tc>
        <w:tc>
          <w:tcPr>
            <w:tcW w:type="dxa" w:w="1814"/>
          </w:tcPr>
          <w:p>
            <w:pPr>
              <w:keepNext/>
              <w:spacing w:after="20"/>
              <w:jc w:val="center"/>
            </w:pPr>
            <w:r>
              <w:rPr>
                <w:sz w:val="19"/>
              </w:rPr>
              <w:t>-0.017</w:t>
            </w:r>
          </w:p>
        </w:tc>
        <w:tc>
          <w:tcPr>
            <w:tcW w:type="dxa" w:w="1814"/>
          </w:tcPr>
          <w:p>
            <w:pPr>
              <w:keepNext/>
              <w:spacing w:after="20"/>
              <w:jc w:val="center"/>
            </w:pPr>
            <w:r>
              <w:rPr>
                <w:sz w:val="19"/>
              </w:rPr>
              <w:t>+0.004</w:t>
            </w:r>
          </w:p>
        </w:tc>
      </w:tr>
      <w:tr>
        <w:tc>
          <w:tcPr>
            <w:tcW w:type="dxa" w:w="5443"/>
          </w:tcPr>
          <w:p>
            <w:pPr>
              <w:keepNext/>
              <w:spacing w:after="20"/>
            </w:pPr>
            <w:r>
              <w:rPr>
                <w:sz w:val="19"/>
              </w:rPr>
              <w:t>SMOTE instead of class weights</w:t>
            </w:r>
          </w:p>
        </w:tc>
        <w:tc>
          <w:tcPr>
            <w:tcW w:type="dxa" w:w="1814"/>
          </w:tcPr>
          <w:p>
            <w:pPr>
              <w:keepNext/>
              <w:spacing w:after="20"/>
              <w:jc w:val="center"/>
            </w:pPr>
            <w:r>
              <w:rPr>
                <w:sz w:val="19"/>
              </w:rPr>
              <w:t>-0.006</w:t>
            </w:r>
          </w:p>
        </w:tc>
        <w:tc>
          <w:tcPr>
            <w:tcW w:type="dxa" w:w="1814"/>
          </w:tcPr>
          <w:p>
            <w:pPr>
              <w:keepNext/>
              <w:spacing w:after="20"/>
              <w:jc w:val="center"/>
            </w:pPr>
            <w:r>
              <w:rPr>
                <w:sz w:val="19"/>
              </w:rPr>
              <w:t>-0.014</w:t>
            </w:r>
          </w:p>
        </w:tc>
      </w:tr>
      <w:tr>
        <w:tc>
          <w:tcPr>
            <w:tcW w:type="dxa" w:w="5443"/>
          </w:tcPr>
          <w:p>
            <w:pPr>
              <w:keepNext/>
              <w:spacing w:after="20"/>
            </w:pPr>
            <w:r>
              <w:rPr>
                <w:sz w:val="19"/>
              </w:rPr>
              <w:t>No imbalance handling</w:t>
            </w:r>
          </w:p>
        </w:tc>
        <w:tc>
          <w:tcPr>
            <w:tcW w:type="dxa" w:w="1814"/>
          </w:tcPr>
          <w:p>
            <w:pPr>
              <w:keepNext/>
              <w:spacing w:after="20"/>
              <w:jc w:val="center"/>
            </w:pPr>
            <w:r>
              <w:rPr>
                <w:sz w:val="19"/>
              </w:rPr>
              <w:t>-0.008</w:t>
            </w:r>
          </w:p>
        </w:tc>
        <w:tc>
          <w:tcPr>
            <w:tcW w:type="dxa" w:w="1814"/>
          </w:tcPr>
          <w:p>
            <w:pPr>
              <w:keepNext/>
              <w:spacing w:after="20"/>
              <w:jc w:val="center"/>
            </w:pPr>
            <w:r>
              <w:rPr>
                <w:sz w:val="19"/>
              </w:rPr>
              <w:t>-0.016</w:t>
            </w:r>
          </w:p>
        </w:tc>
      </w:tr>
      <w:tr>
        <w:tc>
          <w:tcPr>
            <w:tcW w:type="dxa" w:w="5443"/>
          </w:tcPr>
          <w:p>
            <w:pPr>
              <w:keepNext/>
              <w:spacing w:after="20"/>
            </w:pPr>
            <w:r>
              <w:rPr>
                <w:sz w:val="19"/>
              </w:rPr>
              <w:t>FCRI items only (set C)</w:t>
            </w:r>
          </w:p>
        </w:tc>
        <w:tc>
          <w:tcPr>
            <w:tcW w:type="dxa" w:w="1814"/>
          </w:tcPr>
          <w:p>
            <w:pPr>
              <w:keepNext/>
              <w:spacing w:after="20"/>
              <w:jc w:val="center"/>
            </w:pPr>
            <w:r>
              <w:rPr>
                <w:sz w:val="19"/>
              </w:rPr>
              <w:t>-0.013</w:t>
            </w:r>
          </w:p>
        </w:tc>
        <w:tc>
          <w:tcPr>
            <w:tcW w:type="dxa" w:w="1814"/>
          </w:tcPr>
          <w:p>
            <w:pPr>
              <w:keepNext/>
              <w:spacing w:after="20"/>
              <w:jc w:val="center"/>
            </w:pPr>
            <w:r>
              <w:rPr>
                <w:sz w:val="19"/>
              </w:rPr>
              <w:t>+0.004</w:t>
            </w:r>
          </w:p>
        </w:tc>
      </w:tr>
      <w:tr>
        <w:tc>
          <w:tcPr>
            <w:tcW w:type="dxa" w:w="5443"/>
          </w:tcPr>
          <w:p>
            <w:pPr>
              <w:keepNext/>
              <w:spacing w:after="20"/>
            </w:pPr>
            <w:r>
              <w:rPr>
                <w:sz w:val="19"/>
              </w:rPr>
              <w:t>Without FCRI items (set D)</w:t>
            </w:r>
          </w:p>
        </w:tc>
        <w:tc>
          <w:tcPr>
            <w:tcW w:type="dxa" w:w="1814"/>
          </w:tcPr>
          <w:p>
            <w:pPr>
              <w:keepNext/>
              <w:spacing w:after="20"/>
              <w:jc w:val="center"/>
            </w:pPr>
            <w:r>
              <w:rPr>
                <w:sz w:val="19"/>
              </w:rPr>
              <w:t>-0.250 *</w:t>
            </w:r>
          </w:p>
        </w:tc>
        <w:tc>
          <w:tcPr>
            <w:tcW w:type="dxa" w:w="1814"/>
          </w:tcPr>
          <w:p>
            <w:pPr>
              <w:keepNext/>
              <w:spacing w:after="20"/>
              <w:jc w:val="center"/>
            </w:pPr>
            <w:r>
              <w:rPr>
                <w:sz w:val="19"/>
              </w:rPr>
              <w:t>-0.283 *</w:t>
            </w:r>
          </w:p>
        </w:tc>
      </w:tr>
      <w:tr>
        <w:tc>
          <w:tcPr>
            <w:tcW w:type="dxa" w:w="5443"/>
          </w:tcPr>
          <w:p>
            <w:pPr>
              <w:spacing w:after="20"/>
            </w:pPr>
            <w:r>
              <w:rPr>
                <w:sz w:val="19"/>
              </w:rPr>
              <w:t>Set D without medication variable</w:t>
            </w:r>
          </w:p>
        </w:tc>
        <w:tc>
          <w:tcPr>
            <w:tcW w:type="dxa" w:w="1814"/>
          </w:tcPr>
          <w:p>
            <w:pPr>
              <w:spacing w:after="20"/>
              <w:jc w:val="center"/>
            </w:pPr>
            <w:r>
              <w:rPr>
                <w:sz w:val="19"/>
              </w:rPr>
              <w:t>-0.275 *</w:t>
            </w:r>
          </w:p>
        </w:tc>
        <w:tc>
          <w:tcPr>
            <w:tcW w:type="dxa" w:w="1814"/>
          </w:tcPr>
          <w:p>
            <w:pPr>
              <w:spacing w:after="20"/>
              <w:jc w:val="center"/>
            </w:pPr>
            <w:r>
              <w:rPr>
                <w:sz w:val="19"/>
              </w:rPr>
              <w:t>-0.308 *</w:t>
            </w:r>
          </w:p>
        </w:tc>
      </w:tr>
    </w:tbl>
    <w:p>
      <w:pPr>
        <w:spacing w:after="80" w:line="240" w:lineRule="auto"/>
      </w:pPr>
      <w:r>
        <w:rPr>
          <w:sz w:val="4"/>
        </w:rPr>
      </w:r>
    </w:p>
    <w:p>
      <w:r>
        <w:rPr>
          <w:i/>
          <w:sz w:val="19"/>
        </w:rPr>
        <w:t>* significant after Holm correction (p &lt; 0.05). Negative Δ = worse without it.</w:t>
      </w:r>
    </w:p>
    <w:tbl>
      <w:tblPr>
        <w:tblW w:type="auto" w:w="0"/>
        <w:tblLook w:firstColumn="1" w:firstRow="1" w:lastColumn="0" w:lastRow="0" w:noHBand="0" w:noVBand="1" w:val="04A0"/>
      </w:tblPr>
      <w:tblGrid>
        <w:gridCol w:w="9298"/>
      </w:tblGrid>
      <w:tr>
        <w:tc>
          <w:tcPr>
            <w:tcW w:type="dxa" w:w="9298"/>
            <w:shd w:val="clear" w:color="auto" w:fill="EAF1F8"/>
          </w:tcPr>
          <w:p>
            <w:r>
              <w:rPr>
                <w:b/>
              </w:rPr>
              <w:t>What it shows</w:t>
            </w:r>
          </w:p>
          <w:p>
            <w:pPr>
              <w:pStyle w:val="ListBullet"/>
              <w:spacing w:after="40"/>
            </w:pPr>
            <w:r>
              <w:t>2 of 12 changes made a significant difference in at least one task: Without FCRI items (set D); Set D without medication variable.</w:t>
            </w:r>
          </w:p>
          <w:p>
            <w:pPr>
              <w:pStyle w:val="ListBullet"/>
              <w:spacing w:after="40"/>
            </w:pPr>
            <w:r>
              <w:t>Only removing the FCRI answers hurts. Removing demographic, clinical or medication variables, the mood-overlap FCRI items, or scaling, and swapping class weights for SMOTE, made no significant difference.</w:t>
            </w:r>
          </w:p>
        </w:tc>
      </w:tr>
    </w:tbl>
    <w:p>
      <w:pPr>
        <w:spacing w:after="80" w:line="240" w:lineRule="auto"/>
      </w:pPr>
      <w:r>
        <w:rPr>
          <w:sz w:val="4"/>
        </w:rPr>
      </w:r>
    </w:p>
    <w:p>
      <w:r>
        <w:rPr>
          <w:i w:val="0"/>
        </w:rPr>
        <w:t>Cite Figure 4.17, Table 4.29, Table 4.28 and Table 4.30.</w:t>
      </w:r>
    </w:p>
    <w:p>
      <w:pPr>
        <w:pStyle w:val="Heading3"/>
        <w:pageBreakBefore w:val="0"/>
      </w:pPr>
      <w:r>
        <w:t>Other choices tested (sensitivity analyses)</w:t>
      </w:r>
    </w:p>
    <w:p>
      <w:pPr>
        <w:pStyle w:val="ListBullet"/>
        <w:spacing w:after="60"/>
      </w:pPr>
      <w:r>
        <w:t>All rows: with the stricter cut-off BDI ≥ 17, best binary macro F1 = 0.84.</w:t>
      </w:r>
    </w:p>
    <w:p>
      <w:pPr>
        <w:pStyle w:val="ListBullet"/>
        <w:spacing w:after="60"/>
      </w:pPr>
      <w:r>
        <w:t>All rows: merging the two lowest classes (five classes), best severity macro F1 = 0.63.</w:t>
      </w:r>
    </w:p>
    <w:p>
      <w:pPr>
        <w:pStyle w:val="ListBullet"/>
        <w:spacing w:after="60"/>
      </w:pPr>
      <w:r>
        <w:t>Excluding generator-matched rows: with the stricter cut-off BDI ≥ 17, best binary macro F1 = 0.67.</w:t>
      </w:r>
    </w:p>
    <w:p>
      <w:pPr>
        <w:pStyle w:val="ListBullet"/>
        <w:spacing w:after="60"/>
      </w:pPr>
      <w:r>
        <w:t>Excluding generator-matched rows: merging the two lowest classes (five classes), best severity macro F1 = 0.55.</w:t>
      </w:r>
    </w:p>
    <w:p>
      <w:pPr>
        <w:pStyle w:val="Heading2"/>
        <w:pageBreakBefore w:val="0"/>
      </w:pPr>
      <w:r>
        <w:t>4.6 Which questions matter most? (SHAP)</w:t>
      </w:r>
    </w:p>
    <w:p>
      <w:r>
        <w:rPr>
          <w:i w:val="0"/>
        </w:rPr>
        <w:t>The five questions with the largest influence on the binary hybrid model:</w:t>
      </w:r>
    </w:p>
    <w:p>
      <w:pPr>
        <w:spacing w:after="60"/>
        <w:ind w:left="510" w:hanging="340"/>
      </w:pPr>
      <w:r>
        <w:t>1.</w:t>
        <w:tab/>
      </w:r>
      <w:r>
        <w:t>FCRI 14: In your opinion, are you at risk of having a cancer recurrence?</w:t>
      </w:r>
    </w:p>
    <w:p>
      <w:pPr>
        <w:spacing w:after="60"/>
        <w:ind w:left="510" w:hanging="340"/>
      </w:pPr>
      <w:r>
        <w:t>2.</w:t>
        <w:tab/>
      </w:r>
      <w:r>
        <w:t>FCRI 9: I am worried or anxious about the possibility of cancer recurrence</w:t>
      </w:r>
    </w:p>
    <w:p>
      <w:pPr>
        <w:spacing w:after="60"/>
        <w:ind w:left="510" w:hanging="340"/>
      </w:pPr>
      <w:r>
        <w:t>3.</w:t>
        <w:tab/>
      </w:r>
      <w:r>
        <w:t>FCRI 1: Television shows or newspaper articles about cancer or illness</w:t>
      </w:r>
    </w:p>
    <w:p>
      <w:pPr>
        <w:spacing w:after="60"/>
        <w:ind w:left="510" w:hanging="340"/>
      </w:pPr>
      <w:r>
        <w:t>4.</w:t>
        <w:tab/>
      </w:r>
      <w:r>
        <w:t>FCRI 16: How much time per day do you spend thinking about the possibility of cancer recurrence?</w:t>
      </w:r>
    </w:p>
    <w:p>
      <w:pPr>
        <w:spacing w:after="60"/>
        <w:ind w:left="510" w:hanging="340"/>
      </w:pPr>
      <w:r>
        <w:t>5.</w:t>
        <w:tab/>
      </w:r>
      <w:r>
        <w:t>FCRI 13: I believe that I am cured and that the cancer will not come back</w:t>
      </w:r>
    </w:p>
    <w:tbl>
      <w:tblPr>
        <w:tblW w:type="auto" w:w="0"/>
        <w:tblLook w:firstColumn="1" w:firstRow="1" w:lastColumn="0" w:lastRow="0" w:noHBand="0" w:noVBand="1" w:val="04A0"/>
      </w:tblPr>
      <w:tblGrid>
        <w:gridCol w:w="9298"/>
      </w:tblGrid>
      <w:tr>
        <w:tc>
          <w:tcPr>
            <w:tcW w:type="dxa" w:w="9298"/>
            <w:shd w:val="clear" w:color="auto" w:fill="EAF1F8"/>
          </w:tcPr>
          <w:p>
            <w:r>
              <w:rPr>
                <w:b/>
              </w:rPr>
              <w:t>What it shows</w:t>
            </w:r>
          </w:p>
          <w:p>
            <w:pPr>
              <w:pStyle w:val="ListBullet"/>
              <w:spacing w:after="40"/>
            </w:pPr>
            <w:r>
              <w:t>In the main model (set B) FCRI answers account for 100% of the model's reasoning, demographic variables 0% and clinical variables 0%.</w:t>
            </w:r>
          </w:p>
          <w:p>
            <w:pPr>
              <w:pStyle w:val="ListBullet"/>
              <w:spacing w:after="40"/>
            </w:pPr>
            <w:r>
              <w:t>This is because the Boruta (RF) feature-selection step kept only FCRI questions in the final model.</w:t>
            </w:r>
          </w:p>
          <w:p>
            <w:pPr>
              <w:pStyle w:val="ListBullet"/>
              <w:spacing w:after="40"/>
            </w:pPr>
            <w:r>
              <w:t>When BDI answers are allowed (set A) they take 67% of the reasoning — another sign of leakage.</w:t>
            </w:r>
          </w:p>
          <w:p>
            <w:pPr>
              <w:pStyle w:val="ListBullet"/>
              <w:spacing w:after="40"/>
            </w:pPr>
            <w:r>
              <w:t>Read the full wording of the top items above before writing the discussion: they describe how the participant sees their risk of recurrence and how much they worry about it.</w:t>
            </w:r>
          </w:p>
        </w:tc>
      </w:tr>
    </w:tbl>
    <w:p>
      <w:pPr>
        <w:spacing w:after="80" w:line="240" w:lineRule="auto"/>
      </w:pPr>
      <w:r>
        <w:rPr>
          <w:sz w:val="4"/>
        </w:rPr>
      </w:r>
    </w:p>
    <w:p>
      <w:r>
        <w:rPr>
          <w:i w:val="0"/>
        </w:rPr>
        <w:t>Cite Figure 4.19, Figure 4.20, Figure 4.21, Figure 4.22, Figure 4.23 and Table 4.34 (which compares SHAP with the statistical tests and feature-selection frequency).</w:t>
      </w:r>
    </w:p>
    <w:p>
      <w:pPr>
        <w:jc w:val="center"/>
      </w:pPr>
      <w:r>
        <w:drawing>
          <wp:inline xmlns:a="http://schemas.openxmlformats.org/drawingml/2006/main" xmlns:pic="http://schemas.openxmlformats.org/drawingml/2006/picture">
            <wp:extent cx="5580000" cy="5292817"/>
            <wp:docPr id="5" name="Picture 5"/>
            <wp:cNvGraphicFramePr>
              <a:graphicFrameLocks noChangeAspect="1"/>
            </wp:cNvGraphicFramePr>
            <a:graphic>
              <a:graphicData uri="http://schemas.openxmlformats.org/drawingml/2006/picture">
                <pic:pic>
                  <pic:nvPicPr>
                    <pic:cNvPr id="0" name="ch4_fig20_shap_bar.png"/>
                    <pic:cNvPicPr/>
                  </pic:nvPicPr>
                  <pic:blipFill>
                    <a:blip r:embed="rId13"/>
                    <a:stretch>
                      <a:fillRect/>
                    </a:stretch>
                  </pic:blipFill>
                  <pic:spPr>
                    <a:xfrm>
                      <a:off x="0" y="0"/>
                      <a:ext cx="5580000" cy="5292817"/>
                    </a:xfrm>
                    <a:prstGeom prst="rect"/>
                  </pic:spPr>
                </pic:pic>
              </a:graphicData>
            </a:graphic>
          </wp:inline>
        </w:drawing>
      </w:r>
    </w:p>
    <w:p>
      <w:pPr>
        <w:jc w:val="center"/>
      </w:pPr>
      <w:r>
        <w:rPr>
          <w:b/>
          <w:sz w:val="19"/>
        </w:rPr>
        <w:t xml:space="preserve">Figure 4.20. </w:t>
      </w:r>
      <w:r>
        <w:rPr>
          <w:i/>
          <w:sz w:val="19"/>
        </w:rPr>
        <w:t>Mean absolute SHAP values of the top features (binary and severity models, feature set B).</w:t>
      </w:r>
    </w:p>
    <w:p>
      <w:pPr>
        <w:pStyle w:val="Heading2"/>
        <w:pageBreakBefore w:val="0"/>
      </w:pPr>
      <w:r>
        <w:t>4.7 Can the probabilities be trusted, and would more data help?</w:t>
      </w:r>
    </w:p>
    <w:tbl>
      <w:tblPr>
        <w:tblW w:type="auto" w:w="0"/>
        <w:tblLook w:firstColumn="1" w:firstRow="1" w:lastColumn="0" w:lastRow="0" w:noHBand="0" w:noVBand="1" w:val="04A0"/>
      </w:tblPr>
      <w:tblGrid>
        <w:gridCol w:w="9298"/>
      </w:tblGrid>
      <w:tr>
        <w:tc>
          <w:tcPr>
            <w:tcW w:type="dxa" w:w="9298"/>
            <w:shd w:val="clear" w:color="auto" w:fill="EAF1F8"/>
          </w:tcPr>
          <w:p>
            <w:r>
              <w:rPr>
                <w:b/>
              </w:rPr>
              <w:t>What it shows</w:t>
            </w:r>
          </w:p>
          <w:p>
            <w:pPr>
              <w:pStyle w:val="ListBullet"/>
              <w:spacing w:after="40"/>
            </w:pPr>
            <w:r>
              <w:t>Brier score of the binary hybrid: 0.033 (0 = perfect).</w:t>
            </w:r>
          </w:p>
          <w:p>
            <w:pPr>
              <w:pStyle w:val="ListBullet"/>
              <w:spacing w:after="40"/>
            </w:pPr>
            <w:r>
              <w:t>Binary detection: macro F1 went from 0.83 with 244 training participants to 0.88 with 734 and 0.88 with 1224 (-0.001 over the second half), so the curve has levelled off and more data of the same kind would add little.</w:t>
            </w:r>
          </w:p>
          <w:p>
            <w:pPr>
              <w:pStyle w:val="ListBullet"/>
              <w:spacing w:after="40"/>
            </w:pPr>
            <w:r>
              <w:t>Severity (6 classes): macro F1 went from 0.49 with 244 training participants to 0.60 with 734 and 0.61 with 1224 (+0.016 over the second half), so it is still rising slowly and more data would probably help a little.</w:t>
            </w:r>
          </w:p>
        </w:tc>
      </w:tr>
    </w:tbl>
    <w:p>
      <w:pPr>
        <w:spacing w:after="80" w:line="240" w:lineRule="auto"/>
      </w:pPr>
      <w:r>
        <w:rPr>
          <w:sz w:val="4"/>
        </w:rPr>
      </w:r>
    </w:p>
    <w:p>
      <w:r>
        <w:rPr>
          <w:i w:val="0"/>
        </w:rPr>
        <w:t>Cite Figure 4.14 and Figure 4.15.</w:t>
      </w:r>
    </w:p>
    <w:p>
      <w:pPr>
        <w:pStyle w:val="Heading1"/>
        <w:pageBreakBefore/>
      </w:pPr>
      <w:r>
        <w:t>5. Why the two versions of the data give different answers</w:t>
      </w:r>
    </w:p>
    <w:tbl>
      <w:tblPr>
        <w:tblStyle w:val="TableGrid"/>
        <w:tblW w:type="auto" w:w="0"/>
        <w:tblLook w:firstColumn="1" w:firstRow="1" w:lastColumn="0" w:lastRow="0" w:noHBand="0" w:noVBand="1" w:val="04A0"/>
      </w:tblPr>
      <w:tblGrid>
        <w:gridCol w:w="3099"/>
        <w:gridCol w:w="3099"/>
        <w:gridCol w:w="3099"/>
      </w:tblGrid>
      <w:tr>
        <w:tc>
          <w:tcPr>
            <w:tcW w:type="dxa" w:w="3515"/>
            <w:shd w:val="clear" w:color="auto" w:fill="D9E2F3"/>
          </w:tcPr>
          <w:p>
            <w:pPr>
              <w:keepNext/>
              <w:spacing w:after="20"/>
            </w:pPr>
            <w:r>
              <w:rPr>
                <w:b/>
                <w:sz w:val="20"/>
              </w:rPr>
            </w:r>
          </w:p>
        </w:tc>
        <w:tc>
          <w:tcPr>
            <w:tcW w:type="dxa" w:w="2835"/>
            <w:shd w:val="clear" w:color="auto" w:fill="D9E2F3"/>
          </w:tcPr>
          <w:p>
            <w:pPr>
              <w:keepNext/>
              <w:spacing w:after="20"/>
            </w:pPr>
            <w:r>
              <w:rPr>
                <w:b/>
                <w:sz w:val="20"/>
              </w:rPr>
              <w:t>All rows</w:t>
            </w:r>
          </w:p>
        </w:tc>
        <w:tc>
          <w:tcPr>
            <w:tcW w:type="dxa" w:w="2835"/>
            <w:shd w:val="clear" w:color="auto" w:fill="D9E2F3"/>
          </w:tcPr>
          <w:p>
            <w:pPr>
              <w:keepNext/>
              <w:spacing w:after="20"/>
            </w:pPr>
            <w:r>
              <w:rPr>
                <w:b/>
                <w:sz w:val="20"/>
              </w:rPr>
              <w:t>Excluding generator-matched rows</w:t>
            </w:r>
          </w:p>
        </w:tc>
      </w:tr>
      <w:tr>
        <w:tc>
          <w:tcPr>
            <w:tcW w:type="dxa" w:w="3515"/>
          </w:tcPr>
          <w:p>
            <w:pPr>
              <w:keepNext/>
              <w:spacing w:after="20"/>
            </w:pPr>
            <w:r>
              <w:rPr>
                <w:sz w:val="20"/>
              </w:rPr>
              <w:t>Binary macro F1</w:t>
            </w:r>
          </w:p>
        </w:tc>
        <w:tc>
          <w:tcPr>
            <w:tcW w:type="dxa" w:w="2835"/>
          </w:tcPr>
          <w:p>
            <w:pPr>
              <w:keepNext/>
              <w:spacing w:after="20"/>
              <w:jc w:val="center"/>
            </w:pPr>
            <w:r>
              <w:rPr>
                <w:sz w:val="20"/>
              </w:rPr>
              <w:t>0.88</w:t>
            </w:r>
          </w:p>
        </w:tc>
        <w:tc>
          <w:tcPr>
            <w:tcW w:type="dxa" w:w="2835"/>
          </w:tcPr>
          <w:p>
            <w:pPr>
              <w:keepNext/>
              <w:spacing w:after="20"/>
              <w:jc w:val="center"/>
            </w:pPr>
            <w:r>
              <w:rPr>
                <w:sz w:val="20"/>
              </w:rPr>
              <w:t>0.63</w:t>
            </w:r>
          </w:p>
        </w:tc>
      </w:tr>
      <w:tr>
        <w:tc>
          <w:tcPr>
            <w:tcW w:type="dxa" w:w="3515"/>
          </w:tcPr>
          <w:p>
            <w:pPr>
              <w:keepNext/>
              <w:spacing w:after="20"/>
            </w:pPr>
            <w:r>
              <w:rPr>
                <w:sz w:val="20"/>
              </w:rPr>
              <w:t>Binary specificity</w:t>
            </w:r>
          </w:p>
        </w:tc>
        <w:tc>
          <w:tcPr>
            <w:tcW w:type="dxa" w:w="2835"/>
          </w:tcPr>
          <w:p>
            <w:pPr>
              <w:keepNext/>
              <w:spacing w:after="20"/>
              <w:jc w:val="center"/>
            </w:pPr>
            <w:r>
              <w:rPr>
                <w:sz w:val="20"/>
              </w:rPr>
              <w:t>82%</w:t>
            </w:r>
          </w:p>
        </w:tc>
        <w:tc>
          <w:tcPr>
            <w:tcW w:type="dxa" w:w="2835"/>
          </w:tcPr>
          <w:p>
            <w:pPr>
              <w:keepNext/>
              <w:spacing w:after="20"/>
              <w:jc w:val="center"/>
            </w:pPr>
            <w:r>
              <w:rPr>
                <w:sz w:val="20"/>
              </w:rPr>
              <w:t>29%</w:t>
            </w:r>
          </w:p>
        </w:tc>
      </w:tr>
      <w:tr>
        <w:tc>
          <w:tcPr>
            <w:tcW w:type="dxa" w:w="3515"/>
          </w:tcPr>
          <w:p>
            <w:pPr>
              <w:keepNext/>
              <w:spacing w:after="20"/>
            </w:pPr>
            <w:r>
              <w:rPr>
                <w:sz w:val="20"/>
              </w:rPr>
              <w:t>Binary ROC-AUC</w:t>
            </w:r>
          </w:p>
        </w:tc>
        <w:tc>
          <w:tcPr>
            <w:tcW w:type="dxa" w:w="2835"/>
          </w:tcPr>
          <w:p>
            <w:pPr>
              <w:keepNext/>
              <w:spacing w:after="20"/>
              <w:jc w:val="center"/>
            </w:pPr>
            <w:r>
              <w:rPr>
                <w:sz w:val="20"/>
              </w:rPr>
              <w:t>0.96</w:t>
            </w:r>
          </w:p>
        </w:tc>
        <w:tc>
          <w:tcPr>
            <w:tcW w:type="dxa" w:w="2835"/>
          </w:tcPr>
          <w:p>
            <w:pPr>
              <w:keepNext/>
              <w:spacing w:after="20"/>
              <w:jc w:val="center"/>
            </w:pPr>
            <w:r>
              <w:rPr>
                <w:sz w:val="20"/>
              </w:rPr>
              <w:t>0.91</w:t>
            </w:r>
          </w:p>
        </w:tc>
      </w:tr>
      <w:tr>
        <w:tc>
          <w:tcPr>
            <w:tcW w:type="dxa" w:w="3515"/>
          </w:tcPr>
          <w:p>
            <w:pPr>
              <w:keepNext/>
              <w:spacing w:after="20"/>
            </w:pPr>
            <w:r>
              <w:rPr>
                <w:sz w:val="20"/>
              </w:rPr>
              <w:t>Binary MCC</w:t>
            </w:r>
          </w:p>
        </w:tc>
        <w:tc>
          <w:tcPr>
            <w:tcW w:type="dxa" w:w="2835"/>
          </w:tcPr>
          <w:p>
            <w:pPr>
              <w:keepNext/>
              <w:spacing w:after="20"/>
              <w:jc w:val="center"/>
            </w:pPr>
            <w:r>
              <w:rPr>
                <w:sz w:val="20"/>
              </w:rPr>
              <w:t>0.77</w:t>
            </w:r>
          </w:p>
        </w:tc>
        <w:tc>
          <w:tcPr>
            <w:tcW w:type="dxa" w:w="2835"/>
          </w:tcPr>
          <w:p>
            <w:pPr>
              <w:keepNext/>
              <w:spacing w:after="20"/>
              <w:jc w:val="center"/>
            </w:pPr>
            <w:r>
              <w:rPr>
                <w:sz w:val="20"/>
              </w:rPr>
              <w:t>0.26</w:t>
            </w:r>
          </w:p>
        </w:tc>
      </w:tr>
      <w:tr>
        <w:tc>
          <w:tcPr>
            <w:tcW w:type="dxa" w:w="3515"/>
          </w:tcPr>
          <w:p>
            <w:pPr>
              <w:keepNext/>
              <w:spacing w:after="20"/>
            </w:pPr>
            <w:r>
              <w:rPr>
                <w:sz w:val="20"/>
              </w:rPr>
              <w:t>Severity macro F1</w:t>
            </w:r>
          </w:p>
        </w:tc>
        <w:tc>
          <w:tcPr>
            <w:tcW w:type="dxa" w:w="2835"/>
          </w:tcPr>
          <w:p>
            <w:pPr>
              <w:keepNext/>
              <w:spacing w:after="20"/>
              <w:jc w:val="center"/>
            </w:pPr>
            <w:r>
              <w:rPr>
                <w:sz w:val="20"/>
              </w:rPr>
              <w:t>0.60</w:t>
            </w:r>
          </w:p>
        </w:tc>
        <w:tc>
          <w:tcPr>
            <w:tcW w:type="dxa" w:w="2835"/>
          </w:tcPr>
          <w:p>
            <w:pPr>
              <w:keepNext/>
              <w:spacing w:after="20"/>
              <w:jc w:val="center"/>
            </w:pPr>
            <w:r>
              <w:rPr>
                <w:sz w:val="20"/>
              </w:rPr>
              <w:t>0.46</w:t>
            </w:r>
          </w:p>
        </w:tc>
      </w:tr>
      <w:tr>
        <w:tc>
          <w:tcPr>
            <w:tcW w:type="dxa" w:w="3515"/>
          </w:tcPr>
          <w:p>
            <w:pPr>
              <w:keepNext/>
              <w:spacing w:after="20"/>
            </w:pPr>
            <w:r>
              <w:rPr>
                <w:sz w:val="20"/>
              </w:rPr>
              <w:t>Severity QWK</w:t>
            </w:r>
          </w:p>
        </w:tc>
        <w:tc>
          <w:tcPr>
            <w:tcW w:type="dxa" w:w="2835"/>
          </w:tcPr>
          <w:p>
            <w:pPr>
              <w:keepNext/>
              <w:spacing w:after="20"/>
              <w:jc w:val="center"/>
            </w:pPr>
            <w:r>
              <w:rPr>
                <w:sz w:val="20"/>
              </w:rPr>
              <w:t>0.86</w:t>
            </w:r>
          </w:p>
        </w:tc>
        <w:tc>
          <w:tcPr>
            <w:tcW w:type="dxa" w:w="2835"/>
          </w:tcPr>
          <w:p>
            <w:pPr>
              <w:keepNext/>
              <w:spacing w:after="20"/>
              <w:jc w:val="center"/>
            </w:pPr>
            <w:r>
              <w:rPr>
                <w:sz w:val="20"/>
              </w:rPr>
              <w:t>0.69</w:t>
            </w:r>
          </w:p>
        </w:tc>
      </w:tr>
      <w:tr>
        <w:tc>
          <w:tcPr>
            <w:tcW w:type="dxa" w:w="3515"/>
          </w:tcPr>
          <w:p>
            <w:pPr>
              <w:keepNext/>
              <w:spacing w:after="20"/>
            </w:pPr>
            <w:r>
              <w:rPr>
                <w:sz w:val="20"/>
              </w:rPr>
              <w:t>Not-depressed participants</w:t>
            </w:r>
          </w:p>
        </w:tc>
        <w:tc>
          <w:tcPr>
            <w:tcW w:type="dxa" w:w="2835"/>
          </w:tcPr>
          <w:p>
            <w:pPr>
              <w:keepNext/>
              <w:spacing w:after="20"/>
              <w:jc w:val="center"/>
            </w:pPr>
            <w:r>
              <w:rPr>
                <w:sz w:val="20"/>
              </w:rPr>
              <w:t>119</w:t>
            </w:r>
          </w:p>
        </w:tc>
        <w:tc>
          <w:tcPr>
            <w:tcW w:type="dxa" w:w="2835"/>
          </w:tcPr>
          <w:p>
            <w:pPr>
              <w:keepNext/>
              <w:spacing w:after="20"/>
              <w:jc w:val="center"/>
            </w:pPr>
            <w:r>
              <w:rPr>
                <w:sz w:val="20"/>
              </w:rPr>
              <w:t>19</w:t>
            </w:r>
          </w:p>
        </w:tc>
      </w:tr>
      <w:tr>
        <w:tc>
          <w:tcPr>
            <w:tcW w:type="dxa" w:w="3515"/>
          </w:tcPr>
          <w:p>
            <w:pPr>
              <w:spacing w:after="20"/>
            </w:pPr>
            <w:r>
              <w:rPr>
                <w:sz w:val="20"/>
              </w:rPr>
              <w:t>FCRI–BDI correlation ρ</w:t>
            </w:r>
          </w:p>
        </w:tc>
        <w:tc>
          <w:tcPr>
            <w:tcW w:type="dxa" w:w="2835"/>
          </w:tcPr>
          <w:p>
            <w:pPr>
              <w:spacing w:after="20"/>
              <w:jc w:val="center"/>
            </w:pPr>
            <w:r>
              <w:rPr>
                <w:sz w:val="20"/>
              </w:rPr>
              <w:t>0.85</w:t>
            </w:r>
          </w:p>
        </w:tc>
        <w:tc>
          <w:tcPr>
            <w:tcW w:type="dxa" w:w="2835"/>
          </w:tcPr>
          <w:p>
            <w:pPr>
              <w:spacing w:after="20"/>
              <w:jc w:val="center"/>
            </w:pPr>
            <w:r>
              <w:rPr>
                <w:sz w:val="20"/>
              </w:rPr>
              <w:t>0.80</w:t>
            </w:r>
          </w:p>
        </w:tc>
      </w:tr>
    </w:tbl>
    <w:p>
      <w:pPr>
        <w:spacing w:after="80" w:line="240" w:lineRule="auto"/>
      </w:pPr>
      <w:r>
        <w:rPr>
          <w:sz w:val="4"/>
        </w:rPr>
      </w:r>
    </w:p>
    <w:p>
      <w:pPr>
        <w:pStyle w:val="ListBullet"/>
        <w:spacing w:after="60"/>
      </w:pPr>
      <w:r>
        <w:t>Without the generator-matched rows only 19 participants are not depressed, so the model has very few examples of that class and specificity drops sharply.</w:t>
      </w:r>
    </w:p>
    <w:p>
      <w:pPr>
        <w:pStyle w:val="ListBullet"/>
        <w:spacing w:after="60"/>
      </w:pPr>
      <w:r>
        <w:t>The generator-matched rows may follow an artificial pattern that is easier to learn, which would make the all-rows results look better than real-world performance.</w:t>
      </w:r>
    </w:p>
    <w:p>
      <w:pPr>
        <w:pStyle w:val="ListBullet"/>
        <w:spacing w:after="60"/>
      </w:pPr>
      <w:r>
        <w:t>Until the origin of these rows is confirmed, report both versions and state clearly which one is primary (see Part 9).</w:t>
      </w:r>
    </w:p>
    <w:p>
      <w:r>
        <w:rPr>
          <w:i/>
        </w:rPr>
        <w:t>Appendix figures in thesis_outputs/figures/appendix/ repeat the main figures for this version.</w:t>
      </w:r>
    </w:p>
    <w:p>
      <w:pPr>
        <w:pStyle w:val="Heading1"/>
        <w:pageBreakBefore/>
      </w:pPr>
      <w:r>
        <w:t>6. How to read each figure</w:t>
      </w:r>
    </w:p>
    <w:tbl>
      <w:tblPr>
        <w:tblStyle w:val="TableGrid"/>
        <w:tblW w:type="auto" w:w="0"/>
        <w:tblLook w:firstColumn="1" w:firstRow="1" w:lastColumn="0" w:lastRow="0" w:noHBand="0" w:noVBand="1" w:val="04A0"/>
      </w:tblPr>
      <w:tblGrid>
        <w:gridCol w:w="3099"/>
        <w:gridCol w:w="3099"/>
        <w:gridCol w:w="3099"/>
      </w:tblGrid>
      <w:tr>
        <w:tc>
          <w:tcPr>
            <w:tcW w:type="dxa" w:w="1134"/>
            <w:shd w:val="clear" w:color="auto" w:fill="D9E2F3"/>
          </w:tcPr>
          <w:p>
            <w:pPr>
              <w:spacing w:after="20"/>
            </w:pPr>
            <w:r>
              <w:rPr>
                <w:b/>
                <w:sz w:val="18"/>
              </w:rPr>
              <w:t>No.</w:t>
            </w:r>
          </w:p>
        </w:tc>
        <w:tc>
          <w:tcPr>
            <w:tcW w:type="dxa" w:w="3515"/>
            <w:shd w:val="clear" w:color="auto" w:fill="D9E2F3"/>
          </w:tcPr>
          <w:p>
            <w:pPr>
              <w:spacing w:after="20"/>
            </w:pPr>
            <w:r>
              <w:rPr>
                <w:b/>
                <w:sz w:val="18"/>
              </w:rPr>
              <w:t>What it is</w:t>
            </w:r>
          </w:p>
        </w:tc>
        <w:tc>
          <w:tcPr>
            <w:tcW w:type="dxa" w:w="4649"/>
            <w:shd w:val="clear" w:color="auto" w:fill="D9E2F3"/>
          </w:tcPr>
          <w:p>
            <w:pPr>
              <w:spacing w:after="20"/>
            </w:pPr>
            <w:r>
              <w:rPr>
                <w:b/>
                <w:sz w:val="18"/>
              </w:rPr>
              <w:t>What to look for</w:t>
            </w:r>
          </w:p>
        </w:tc>
      </w:tr>
      <w:tr>
        <w:tc>
          <w:tcPr>
            <w:tcW w:type="dxa" w:w="1134"/>
          </w:tcPr>
          <w:p>
            <w:pPr>
              <w:spacing w:after="20"/>
            </w:pPr>
            <w:r>
              <w:rPr>
                <w:sz w:val="18"/>
              </w:rPr>
              <w:t>Figure 3.1</w:t>
            </w:r>
          </w:p>
        </w:tc>
        <w:tc>
          <w:tcPr>
            <w:tcW w:type="dxa" w:w="3515"/>
          </w:tcPr>
          <w:p>
            <w:pPr>
              <w:spacing w:after="20"/>
            </w:pPr>
            <w:r>
              <w:rPr>
                <w:sz w:val="18"/>
              </w:rPr>
              <w:t>Overall research methodology of the hybrid machine-learning framework.</w:t>
            </w:r>
          </w:p>
        </w:tc>
        <w:tc>
          <w:tcPr>
            <w:tcW w:type="dxa" w:w="4649"/>
          </w:tcPr>
          <w:p>
            <w:pPr>
              <w:spacing w:after="20"/>
            </w:pPr>
            <w:r>
              <w:rPr>
                <w:sz w:val="18"/>
              </w:rPr>
              <w:t>The whole study on one page: data → curation → statistics and machine learning → explanation → web app. Use it to introduce Chapter 3.</w:t>
            </w:r>
          </w:p>
        </w:tc>
      </w:tr>
      <w:tr>
        <w:tc>
          <w:tcPr>
            <w:tcW w:type="dxa" w:w="1134"/>
          </w:tcPr>
          <w:p>
            <w:pPr>
              <w:spacing w:after="20"/>
            </w:pPr>
            <w:r>
              <w:rPr>
                <w:sz w:val="18"/>
              </w:rPr>
              <w:t>Figure 3.2</w:t>
            </w:r>
          </w:p>
        </w:tc>
        <w:tc>
          <w:tcPr>
            <w:tcW w:type="dxa" w:w="3515"/>
          </w:tcPr>
          <w:p>
            <w:pPr>
              <w:spacing w:after="20"/>
            </w:pPr>
            <w:r>
              <w:rPr>
                <w:sz w:val="18"/>
              </w:rPr>
              <w:t>Participant flow from the raw form export to the analysis datasets.</w:t>
            </w:r>
          </w:p>
        </w:tc>
        <w:tc>
          <w:tcPr>
            <w:tcW w:type="dxa" w:w="4649"/>
          </w:tcPr>
          <w:p>
            <w:pPr>
              <w:spacing w:after="20"/>
            </w:pPr>
            <w:r>
              <w:rPr>
                <w:sz w:val="18"/>
              </w:rPr>
              <w:t>How many responses were removed at each cleaning step and why.</w:t>
            </w:r>
          </w:p>
        </w:tc>
      </w:tr>
      <w:tr>
        <w:tc>
          <w:tcPr>
            <w:tcW w:type="dxa" w:w="1134"/>
          </w:tcPr>
          <w:p>
            <w:pPr>
              <w:spacing w:after="20"/>
            </w:pPr>
            <w:r>
              <w:rPr>
                <w:sz w:val="18"/>
              </w:rPr>
              <w:t>Figure 3.3</w:t>
            </w:r>
          </w:p>
        </w:tc>
        <w:tc>
          <w:tcPr>
            <w:tcW w:type="dxa" w:w="3515"/>
          </w:tcPr>
          <w:p>
            <w:pPr>
              <w:spacing w:after="20"/>
            </w:pPr>
            <w:r>
              <w:rPr>
                <w:sz w:val="18"/>
              </w:rPr>
              <w:t>Mapping of the BDI total score to the binary target and the six severity classes.</w:t>
            </w:r>
          </w:p>
        </w:tc>
        <w:tc>
          <w:tcPr>
            <w:tcW w:type="dxa" w:w="4649"/>
          </w:tcPr>
          <w:p>
            <w:pPr>
              <w:spacing w:after="20"/>
            </w:pPr>
            <w:r>
              <w:rPr>
                <w:sz w:val="18"/>
              </w:rPr>
              <w:t>How a BDI total score becomes 'depressed / not depressed' and one of six severity classes.</w:t>
            </w:r>
          </w:p>
        </w:tc>
      </w:tr>
      <w:tr>
        <w:tc>
          <w:tcPr>
            <w:tcW w:type="dxa" w:w="1134"/>
          </w:tcPr>
          <w:p>
            <w:pPr>
              <w:spacing w:after="20"/>
            </w:pPr>
            <w:r>
              <w:rPr>
                <w:sz w:val="18"/>
              </w:rPr>
              <w:t>Figure 3.4</w:t>
            </w:r>
          </w:p>
        </w:tc>
        <w:tc>
          <w:tcPr>
            <w:tcW w:type="dxa" w:w="3515"/>
          </w:tcPr>
          <w:p>
            <w:pPr>
              <w:spacing w:after="20"/>
            </w:pPr>
            <w:r>
              <w:rPr>
                <w:sz w:val="18"/>
              </w:rPr>
              <w:t>Data preprocessing pipeline; steps inside the dashed box are re-fitted on every training fold.</w:t>
            </w:r>
          </w:p>
        </w:tc>
        <w:tc>
          <w:tcPr>
            <w:tcW w:type="dxa" w:w="4649"/>
          </w:tcPr>
          <w:p>
            <w:pPr>
              <w:spacing w:after="20"/>
            </w:pPr>
            <w:r>
              <w:rPr>
                <w:sz w:val="18"/>
              </w:rPr>
              <w:t>Which steps are done once per participant (scoring) and which are re-learned inside every training fold (encoding, scaling, SMOTE, feature selection) so no test information leaks.</w:t>
            </w:r>
          </w:p>
        </w:tc>
      </w:tr>
      <w:tr>
        <w:tc>
          <w:tcPr>
            <w:tcW w:type="dxa" w:w="1134"/>
          </w:tcPr>
          <w:p>
            <w:pPr>
              <w:spacing w:after="20"/>
            </w:pPr>
            <w:r>
              <w:rPr>
                <w:sz w:val="18"/>
              </w:rPr>
              <w:t>Figure 3.5</w:t>
            </w:r>
          </w:p>
        </w:tc>
        <w:tc>
          <w:tcPr>
            <w:tcW w:type="dxa" w:w="3515"/>
          </w:tcPr>
          <w:p>
            <w:pPr>
              <w:spacing w:after="20"/>
            </w:pPr>
            <w:r>
              <w:rPr>
                <w:sz w:val="18"/>
              </w:rPr>
              <w:t>Architecture of the proposed hybrid framework (feature selection followed by ensemble learning).</w:t>
            </w:r>
          </w:p>
        </w:tc>
        <w:tc>
          <w:tcPr>
            <w:tcW w:type="dxa" w:w="4649"/>
          </w:tcPr>
          <w:p>
            <w:pPr>
              <w:spacing w:after="20"/>
            </w:pPr>
            <w:r>
              <w:rPr>
                <w:sz w:val="18"/>
              </w:rPr>
              <w:t>The proposed model: a feature-selection step chooses the inputs, four base learners are tuned, and their predictions are combined by voting or stacking.</w:t>
            </w:r>
          </w:p>
        </w:tc>
      </w:tr>
      <w:tr>
        <w:tc>
          <w:tcPr>
            <w:tcW w:type="dxa" w:w="1134"/>
          </w:tcPr>
          <w:p>
            <w:pPr>
              <w:spacing w:after="20"/>
            </w:pPr>
            <w:r>
              <w:rPr>
                <w:sz w:val="18"/>
              </w:rPr>
              <w:t>Figure 3.6</w:t>
            </w:r>
          </w:p>
        </w:tc>
        <w:tc>
          <w:tcPr>
            <w:tcW w:type="dxa" w:w="3515"/>
          </w:tcPr>
          <w:p>
            <w:pPr>
              <w:spacing w:after="20"/>
            </w:pPr>
            <w:r>
              <w:rPr>
                <w:sz w:val="18"/>
              </w:rPr>
              <w:t>Repeated stratified nested cross-validation scheme used for tuning and evaluation.</w:t>
            </w:r>
          </w:p>
        </w:tc>
        <w:tc>
          <w:tcPr>
            <w:tcW w:type="dxa" w:w="4649"/>
          </w:tcPr>
          <w:p>
            <w:pPr>
              <w:spacing w:after="20"/>
            </w:pPr>
            <w:r>
              <w:rPr>
                <w:sz w:val="18"/>
              </w:rPr>
              <w:t>Two loops: the inner loop tunes settings, the outer loop measures performance on data the model never saw.</w:t>
            </w:r>
          </w:p>
        </w:tc>
      </w:tr>
      <w:tr>
        <w:tc>
          <w:tcPr>
            <w:tcW w:type="dxa" w:w="1134"/>
          </w:tcPr>
          <w:p>
            <w:pPr>
              <w:spacing w:after="20"/>
            </w:pPr>
            <w:r>
              <w:rPr>
                <w:sz w:val="18"/>
              </w:rPr>
              <w:t>Figure 3.7</w:t>
            </w:r>
          </w:p>
        </w:tc>
        <w:tc>
          <w:tcPr>
            <w:tcW w:type="dxa" w:w="3515"/>
          </w:tcPr>
          <w:p>
            <w:pPr>
              <w:spacing w:after="20"/>
            </w:pPr>
            <w:r>
              <w:rPr>
                <w:sz w:val="18"/>
              </w:rPr>
              <w:t>Architecture of the web-based decision-support system.</w:t>
            </w:r>
          </w:p>
        </w:tc>
        <w:tc>
          <w:tcPr>
            <w:tcW w:type="dxa" w:w="4649"/>
          </w:tcPr>
          <w:p>
            <w:pPr>
              <w:spacing w:after="20"/>
            </w:pPr>
            <w:r>
              <w:rPr>
                <w:sz w:val="18"/>
              </w:rPr>
              <w:t>How the Streamlit app, the saved models and the questionnaire fit together.</w:t>
            </w:r>
          </w:p>
        </w:tc>
      </w:tr>
      <w:tr>
        <w:tc>
          <w:tcPr>
            <w:tcW w:type="dxa" w:w="1134"/>
          </w:tcPr>
          <w:p>
            <w:pPr>
              <w:spacing w:after="20"/>
            </w:pPr>
            <w:r>
              <w:rPr>
                <w:sz w:val="18"/>
              </w:rPr>
              <w:t>Figure 4.1</w:t>
            </w:r>
          </w:p>
        </w:tc>
        <w:tc>
          <w:tcPr>
            <w:tcW w:type="dxa" w:w="3515"/>
          </w:tcPr>
          <w:p>
            <w:pPr>
              <w:spacing w:after="20"/>
            </w:pPr>
            <w:r>
              <w:rPr>
                <w:sz w:val="18"/>
              </w:rPr>
              <w:t>Distribution of the binary depression target and the six BDI severity classes.</w:t>
            </w:r>
          </w:p>
        </w:tc>
        <w:tc>
          <w:tcPr>
            <w:tcW w:type="dxa" w:w="4649"/>
          </w:tcPr>
          <w:p>
            <w:pPr>
              <w:spacing w:after="20"/>
            </w:pPr>
            <w:r>
              <w:rPr>
                <w:sz w:val="18"/>
              </w:rPr>
              <w:t>How unequal the classes are. Few 'not depressed' participants means that class is hard to learn and its results are less certain.</w:t>
            </w:r>
          </w:p>
        </w:tc>
      </w:tr>
      <w:tr>
        <w:tc>
          <w:tcPr>
            <w:tcW w:type="dxa" w:w="1134"/>
          </w:tcPr>
          <w:p>
            <w:pPr>
              <w:spacing w:after="20"/>
            </w:pPr>
            <w:r>
              <w:rPr>
                <w:sz w:val="18"/>
              </w:rPr>
              <w:t>Figure 4.2</w:t>
            </w:r>
          </w:p>
        </w:tc>
        <w:tc>
          <w:tcPr>
            <w:tcW w:type="dxa" w:w="3515"/>
          </w:tcPr>
          <w:p>
            <w:pPr>
              <w:spacing w:after="20"/>
            </w:pPr>
            <w:r>
              <w:rPr>
                <w:sz w:val="18"/>
              </w:rPr>
              <w:t>Distributions of BDI total and FCRI total scores (dashed lines: BDI severity cut-offs).</w:t>
            </w:r>
          </w:p>
        </w:tc>
        <w:tc>
          <w:tcPr>
            <w:tcW w:type="dxa" w:w="4649"/>
          </w:tcPr>
          <w:p>
            <w:pPr>
              <w:spacing w:after="20"/>
            </w:pPr>
            <w:r>
              <w:rPr>
                <w:sz w:val="18"/>
              </w:rPr>
              <w:t>The spread of BDI and FCRI totals; dashed lines are the severity cut-offs.</w:t>
            </w:r>
          </w:p>
        </w:tc>
      </w:tr>
      <w:tr>
        <w:tc>
          <w:tcPr>
            <w:tcW w:type="dxa" w:w="1134"/>
          </w:tcPr>
          <w:p>
            <w:pPr>
              <w:spacing w:after="20"/>
            </w:pPr>
            <w:r>
              <w:rPr>
                <w:sz w:val="18"/>
              </w:rPr>
              <w:t>Figure 4.3</w:t>
            </w:r>
          </w:p>
        </w:tc>
        <w:tc>
          <w:tcPr>
            <w:tcW w:type="dxa" w:w="3515"/>
          </w:tcPr>
          <w:p>
            <w:pPr>
              <w:spacing w:after="20"/>
            </w:pPr>
            <w:r>
              <w:rPr>
                <w:sz w:val="18"/>
              </w:rPr>
              <w:t>FCRI total and subscale scores across BDI severity classes.</w:t>
            </w:r>
          </w:p>
        </w:tc>
        <w:tc>
          <w:tcPr>
            <w:tcW w:type="dxa" w:w="4649"/>
          </w:tcPr>
          <w:p>
            <w:pPr>
              <w:spacing w:after="20"/>
            </w:pPr>
            <w:r>
              <w:rPr>
                <w:sz w:val="18"/>
              </w:rPr>
              <w:t>Whether fear of recurrence rises from the 'Normal' to the 'Extreme' class. A steady rise supports the link between FCR and depression.</w:t>
            </w:r>
          </w:p>
        </w:tc>
      </w:tr>
      <w:tr>
        <w:tc>
          <w:tcPr>
            <w:tcW w:type="dxa" w:w="1134"/>
          </w:tcPr>
          <w:p>
            <w:pPr>
              <w:spacing w:after="20"/>
            </w:pPr>
            <w:r>
              <w:rPr>
                <w:sz w:val="18"/>
              </w:rPr>
              <w:t>Figure 4.4</w:t>
            </w:r>
          </w:p>
        </w:tc>
        <w:tc>
          <w:tcPr>
            <w:tcW w:type="dxa" w:w="3515"/>
          </w:tcPr>
          <w:p>
            <w:pPr>
              <w:spacing w:after="20"/>
            </w:pPr>
            <w:r>
              <w:rPr>
                <w:sz w:val="18"/>
              </w:rPr>
              <w:t>Spearman correlations between BDI total, FCRI total and FCRI subscales.</w:t>
            </w:r>
          </w:p>
        </w:tc>
        <w:tc>
          <w:tcPr>
            <w:tcW w:type="dxa" w:w="4649"/>
          </w:tcPr>
          <w:p>
            <w:pPr>
              <w:spacing w:after="20"/>
            </w:pPr>
            <w:r>
              <w:rPr>
                <w:sz w:val="18"/>
              </w:rPr>
              <w:t>Darker cells = stronger correlation. Look at the BDI row: which FCRI subscales move most with depression?</w:t>
            </w:r>
          </w:p>
        </w:tc>
      </w:tr>
      <w:tr>
        <w:tc>
          <w:tcPr>
            <w:tcW w:type="dxa" w:w="1134"/>
          </w:tcPr>
          <w:p>
            <w:pPr>
              <w:spacing w:after="20"/>
            </w:pPr>
            <w:r>
              <w:rPr>
                <w:sz w:val="18"/>
              </w:rPr>
              <w:t>Figure 4.5</w:t>
            </w:r>
          </w:p>
        </w:tc>
        <w:tc>
          <w:tcPr>
            <w:tcW w:type="dxa" w:w="3515"/>
          </w:tcPr>
          <w:p>
            <w:pPr>
              <w:spacing w:after="20"/>
            </w:pPr>
            <w:r>
              <w:rPr>
                <w:sz w:val="18"/>
              </w:rPr>
              <w:t>Relationship between FCRI total and BDI total scores.</w:t>
            </w:r>
          </w:p>
        </w:tc>
        <w:tc>
          <w:tcPr>
            <w:tcW w:type="dxa" w:w="4649"/>
          </w:tcPr>
          <w:p>
            <w:pPr>
              <w:spacing w:after="20"/>
            </w:pPr>
            <w:r>
              <w:rPr>
                <w:sz w:val="18"/>
              </w:rPr>
              <w:t>Each dot is a participant. A tight upward cloud means high FCR goes with high BDI.</w:t>
            </w:r>
          </w:p>
        </w:tc>
      </w:tr>
      <w:tr>
        <w:tc>
          <w:tcPr>
            <w:tcW w:type="dxa" w:w="1134"/>
          </w:tcPr>
          <w:p>
            <w:pPr>
              <w:spacing w:after="20"/>
            </w:pPr>
            <w:r>
              <w:rPr>
                <w:sz w:val="18"/>
              </w:rPr>
              <w:t>Figure 4.6</w:t>
            </w:r>
          </w:p>
        </w:tc>
        <w:tc>
          <w:tcPr>
            <w:tcW w:type="dxa" w:w="3515"/>
          </w:tcPr>
          <w:p>
            <w:pPr>
              <w:spacing w:after="20"/>
            </w:pPr>
            <w:r>
              <w:rPr>
                <w:sz w:val="18"/>
              </w:rPr>
              <w:t>Adjusted odds ratios (95% CI) of being classified as depressed (multivariable logistic regression).</w:t>
            </w:r>
          </w:p>
        </w:tc>
        <w:tc>
          <w:tcPr>
            <w:tcW w:type="dxa" w:w="4649"/>
          </w:tcPr>
          <w:p>
            <w:pPr>
              <w:spacing w:after="20"/>
            </w:pPr>
            <w:r>
              <w:rPr>
                <w:sz w:val="18"/>
              </w:rPr>
              <w:t>Odds ratios to the right of 1 raise the odds of depression, to the left lower them. Lines crossing 1 are not significant. Very wide lines mean too little data.</w:t>
            </w:r>
          </w:p>
        </w:tc>
      </w:tr>
      <w:tr>
        <w:tc>
          <w:tcPr>
            <w:tcW w:type="dxa" w:w="1134"/>
          </w:tcPr>
          <w:p>
            <w:pPr>
              <w:spacing w:after="20"/>
            </w:pPr>
            <w:r>
              <w:rPr>
                <w:sz w:val="18"/>
              </w:rPr>
              <w:t>Figure 4.7</w:t>
            </w:r>
          </w:p>
        </w:tc>
        <w:tc>
          <w:tcPr>
            <w:tcW w:type="dxa" w:w="3515"/>
          </w:tcPr>
          <w:p>
            <w:pPr>
              <w:spacing w:after="20"/>
            </w:pPr>
            <w:r>
              <w:rPr>
                <w:sz w:val="18"/>
              </w:rPr>
              <w:t>Macro F1 of every model on feature sets A-D (mean ± SD over 25 outer folds).</w:t>
            </w:r>
          </w:p>
        </w:tc>
        <w:tc>
          <w:tcPr>
            <w:tcW w:type="dxa" w:w="4649"/>
          </w:tcPr>
          <w:p>
            <w:pPr>
              <w:spacing w:after="20"/>
            </w:pPr>
            <w:r>
              <w:rPr>
                <w:sz w:val="18"/>
              </w:rPr>
              <w:t>The key leakage figure. Set A (with BDI items) is high because the label is made from those items. Compare B, C and D to see what FCR and patient details add.</w:t>
            </w:r>
          </w:p>
        </w:tc>
      </w:tr>
      <w:tr>
        <w:tc>
          <w:tcPr>
            <w:tcW w:type="dxa" w:w="1134"/>
          </w:tcPr>
          <w:p>
            <w:pPr>
              <w:spacing w:after="20"/>
            </w:pPr>
            <w:r>
              <w:rPr>
                <w:sz w:val="18"/>
              </w:rPr>
              <w:t>Figure 4.8</w:t>
            </w:r>
          </w:p>
        </w:tc>
        <w:tc>
          <w:tcPr>
            <w:tcW w:type="dxa" w:w="3515"/>
          </w:tcPr>
          <w:p>
            <w:pPr>
              <w:spacing w:after="20"/>
            </w:pPr>
            <w:r>
              <w:rPr>
                <w:sz w:val="18"/>
              </w:rPr>
              <w:t>Macro F1 of models and feature-selection methods on feature set B.</w:t>
            </w:r>
          </w:p>
        </w:tc>
        <w:tc>
          <w:tcPr>
            <w:tcW w:type="dxa" w:w="4649"/>
          </w:tcPr>
          <w:p>
            <w:pPr>
              <w:spacing w:after="20"/>
            </w:pPr>
            <w:r>
              <w:rPr>
                <w:sz w:val="18"/>
              </w:rPr>
              <w:t>Each cell is a model + feature-selection method; darker = better. Find the best combination (the hybrid).</w:t>
            </w:r>
          </w:p>
        </w:tc>
      </w:tr>
      <w:tr>
        <w:tc>
          <w:tcPr>
            <w:tcW w:type="dxa" w:w="1134"/>
          </w:tcPr>
          <w:p>
            <w:pPr>
              <w:spacing w:after="20"/>
            </w:pPr>
            <w:r>
              <w:rPr>
                <w:sz w:val="18"/>
              </w:rPr>
              <w:t>Figure 4.9</w:t>
            </w:r>
          </w:p>
        </w:tc>
        <w:tc>
          <w:tcPr>
            <w:tcW w:type="dxa" w:w="3515"/>
          </w:tcPr>
          <w:p>
            <w:pPr>
              <w:spacing w:after="20"/>
            </w:pPr>
            <w:r>
              <w:rPr>
                <w:sz w:val="18"/>
              </w:rPr>
              <w:t>ROC curves of all models for binary depression detection (feature set B, pooled out-of-fold predictions).</w:t>
            </w:r>
          </w:p>
        </w:tc>
        <w:tc>
          <w:tcPr>
            <w:tcW w:type="dxa" w:w="4649"/>
          </w:tcPr>
          <w:p>
            <w:pPr>
              <w:spacing w:after="20"/>
            </w:pPr>
            <w:r>
              <w:rPr>
                <w:sz w:val="18"/>
              </w:rPr>
              <w:t>Curves closer to the top-left corner separate depressed from not depressed better (higher AUC).</w:t>
            </w:r>
          </w:p>
        </w:tc>
      </w:tr>
      <w:tr>
        <w:tc>
          <w:tcPr>
            <w:tcW w:type="dxa" w:w="1134"/>
          </w:tcPr>
          <w:p>
            <w:pPr>
              <w:spacing w:after="20"/>
            </w:pPr>
            <w:r>
              <w:rPr>
                <w:sz w:val="18"/>
              </w:rPr>
              <w:t>Figure 4.10</w:t>
            </w:r>
          </w:p>
        </w:tc>
        <w:tc>
          <w:tcPr>
            <w:tcW w:type="dxa" w:w="3515"/>
          </w:tcPr>
          <w:p>
            <w:pPr>
              <w:spacing w:after="20"/>
            </w:pPr>
            <w:r>
              <w:rPr>
                <w:sz w:val="18"/>
              </w:rPr>
              <w:t>Precision-recall curves for binary depression detection (feature set B).</w:t>
            </w:r>
          </w:p>
        </w:tc>
        <w:tc>
          <w:tcPr>
            <w:tcW w:type="dxa" w:w="4649"/>
          </w:tcPr>
          <w:p>
            <w:pPr>
              <w:spacing w:after="20"/>
            </w:pPr>
            <w:r>
              <w:rPr>
                <w:sz w:val="18"/>
              </w:rPr>
              <w:t>Precision-recall for the rare 'not depressed' class; compare each curve with the dashed chance line.</w:t>
            </w:r>
          </w:p>
        </w:tc>
      </w:tr>
      <w:tr>
        <w:tc>
          <w:tcPr>
            <w:tcW w:type="dxa" w:w="1134"/>
          </w:tcPr>
          <w:p>
            <w:pPr>
              <w:spacing w:after="20"/>
            </w:pPr>
            <w:r>
              <w:rPr>
                <w:sz w:val="18"/>
              </w:rPr>
              <w:t>Figure 4.11</w:t>
            </w:r>
          </w:p>
        </w:tc>
        <w:tc>
          <w:tcPr>
            <w:tcW w:type="dxa" w:w="3515"/>
          </w:tcPr>
          <w:p>
            <w:pPr>
              <w:spacing w:after="20"/>
            </w:pPr>
            <w:r>
              <w:rPr>
                <w:sz w:val="18"/>
              </w:rPr>
              <w:t>Confusion matrices (counts and row-normalised) of the hybrid model for binary detection.</w:t>
            </w:r>
          </w:p>
        </w:tc>
        <w:tc>
          <w:tcPr>
            <w:tcW w:type="dxa" w:w="4649"/>
          </w:tcPr>
          <w:p>
            <w:pPr>
              <w:spacing w:after="20"/>
            </w:pPr>
            <w:r>
              <w:rPr>
                <w:sz w:val="18"/>
              </w:rPr>
              <w:t>Rows are the true class, columns the prediction. Off-diagonal cells are mistakes.</w:t>
            </w:r>
          </w:p>
        </w:tc>
      </w:tr>
      <w:tr>
        <w:tc>
          <w:tcPr>
            <w:tcW w:type="dxa" w:w="1134"/>
          </w:tcPr>
          <w:p>
            <w:pPr>
              <w:spacing w:after="20"/>
            </w:pPr>
            <w:r>
              <w:rPr>
                <w:sz w:val="18"/>
              </w:rPr>
              <w:t>Figure 4.12</w:t>
            </w:r>
          </w:p>
        </w:tc>
        <w:tc>
          <w:tcPr>
            <w:tcW w:type="dxa" w:w="3515"/>
          </w:tcPr>
          <w:p>
            <w:pPr>
              <w:spacing w:after="20"/>
            </w:pPr>
            <w:r>
              <w:rPr>
                <w:sz w:val="18"/>
              </w:rPr>
              <w:t>Confusion matrices (counts and row-normalised) of the hybrid model for severity classification.</w:t>
            </w:r>
          </w:p>
        </w:tc>
        <w:tc>
          <w:tcPr>
            <w:tcW w:type="dxa" w:w="4649"/>
          </w:tcPr>
          <w:p>
            <w:pPr>
              <w:spacing w:after="20"/>
            </w:pPr>
            <w:r>
              <w:rPr>
                <w:sz w:val="18"/>
              </w:rPr>
              <w:t>Most mistakes should sit next to the diagonal (one class away), which is less serious than a big jump.</w:t>
            </w:r>
          </w:p>
        </w:tc>
      </w:tr>
      <w:tr>
        <w:tc>
          <w:tcPr>
            <w:tcW w:type="dxa" w:w="1134"/>
          </w:tcPr>
          <w:p>
            <w:pPr>
              <w:spacing w:after="20"/>
            </w:pPr>
            <w:r>
              <w:rPr>
                <w:sz w:val="18"/>
              </w:rPr>
              <w:t>Figure 4.13</w:t>
            </w:r>
          </w:p>
        </w:tc>
        <w:tc>
          <w:tcPr>
            <w:tcW w:type="dxa" w:w="3515"/>
          </w:tcPr>
          <w:p>
            <w:pPr>
              <w:spacing w:after="20"/>
            </w:pPr>
            <w:r>
              <w:rPr>
                <w:sz w:val="18"/>
              </w:rPr>
              <w:t>Critical-difference diagrams (Friedman + Nemenyi) comparing models on feature set B.</w:t>
            </w:r>
          </w:p>
        </w:tc>
        <w:tc>
          <w:tcPr>
            <w:tcW w:type="dxa" w:w="4649"/>
          </w:tcPr>
          <w:p>
            <w:pPr>
              <w:spacing w:after="20"/>
            </w:pPr>
            <w:r>
              <w:rPr>
                <w:sz w:val="18"/>
              </w:rPr>
              <w:t>Models further left rank better. Models joined by a thick bar are not significantly different.</w:t>
            </w:r>
          </w:p>
        </w:tc>
      </w:tr>
      <w:tr>
        <w:tc>
          <w:tcPr>
            <w:tcW w:type="dxa" w:w="1134"/>
          </w:tcPr>
          <w:p>
            <w:pPr>
              <w:spacing w:after="20"/>
            </w:pPr>
            <w:r>
              <w:rPr>
                <w:sz w:val="18"/>
              </w:rPr>
              <w:t>Figure 4.14</w:t>
            </w:r>
          </w:p>
        </w:tc>
        <w:tc>
          <w:tcPr>
            <w:tcW w:type="dxa" w:w="3515"/>
          </w:tcPr>
          <w:p>
            <w:pPr>
              <w:spacing w:after="20"/>
            </w:pPr>
            <w:r>
              <w:rPr>
                <w:sz w:val="18"/>
              </w:rPr>
              <w:t>Calibration curve of the best binary model (out-of-fold predictions).</w:t>
            </w:r>
          </w:p>
        </w:tc>
        <w:tc>
          <w:tcPr>
            <w:tcW w:type="dxa" w:w="4649"/>
          </w:tcPr>
          <w:p>
            <w:pPr>
              <w:spacing w:after="20"/>
            </w:pPr>
            <w:r>
              <w:rPr>
                <w:sz w:val="18"/>
              </w:rPr>
              <w:t>If the curve follows the diagonal, a predicted probability of 0.8 really means about 80% are depressed.</w:t>
            </w:r>
          </w:p>
        </w:tc>
      </w:tr>
      <w:tr>
        <w:tc>
          <w:tcPr>
            <w:tcW w:type="dxa" w:w="1134"/>
          </w:tcPr>
          <w:p>
            <w:pPr>
              <w:spacing w:after="20"/>
            </w:pPr>
            <w:r>
              <w:rPr>
                <w:sz w:val="18"/>
              </w:rPr>
              <w:t>Figure 4.15</w:t>
            </w:r>
          </w:p>
        </w:tc>
        <w:tc>
          <w:tcPr>
            <w:tcW w:type="dxa" w:w="3515"/>
          </w:tcPr>
          <w:p>
            <w:pPr>
              <w:spacing w:after="20"/>
            </w:pPr>
            <w:r>
              <w:rPr>
                <w:sz w:val="18"/>
              </w:rPr>
              <w:t>Learning curves of the hybrid models.</w:t>
            </w:r>
          </w:p>
        </w:tc>
        <w:tc>
          <w:tcPr>
            <w:tcW w:type="dxa" w:w="4649"/>
          </w:tcPr>
          <w:p>
            <w:pPr>
              <w:spacing w:after="20"/>
            </w:pPr>
            <w:r>
              <w:rPr>
                <w:sz w:val="18"/>
              </w:rPr>
              <w:t>If the validation line is still rising at the right, more participants would help. A big gap to the training line means over-fitting.</w:t>
            </w:r>
          </w:p>
        </w:tc>
      </w:tr>
      <w:tr>
        <w:tc>
          <w:tcPr>
            <w:tcW w:type="dxa" w:w="1134"/>
          </w:tcPr>
          <w:p>
            <w:pPr>
              <w:spacing w:after="20"/>
            </w:pPr>
            <w:r>
              <w:rPr>
                <w:sz w:val="18"/>
              </w:rPr>
              <w:t>Figure 4.16</w:t>
            </w:r>
          </w:p>
        </w:tc>
        <w:tc>
          <w:tcPr>
            <w:tcW w:type="dxa" w:w="3515"/>
          </w:tcPr>
          <w:p>
            <w:pPr>
              <w:spacing w:after="20"/>
            </w:pPr>
            <w:r>
              <w:rPr>
                <w:sz w:val="18"/>
              </w:rPr>
              <w:t>Misclassification rate by distance of the BDI total from the nearest class boundary.</w:t>
            </w:r>
          </w:p>
        </w:tc>
        <w:tc>
          <w:tcPr>
            <w:tcW w:type="dxa" w:w="4649"/>
          </w:tcPr>
          <w:p>
            <w:pPr>
              <w:spacing w:after="20"/>
            </w:pPr>
            <w:r>
              <w:rPr>
                <w:sz w:val="18"/>
              </w:rPr>
              <w:t>Errors are most common for participants whose BDI score lies close to a cut-off, i.e. the borderline cases.</w:t>
            </w:r>
          </w:p>
        </w:tc>
      </w:tr>
      <w:tr>
        <w:tc>
          <w:tcPr>
            <w:tcW w:type="dxa" w:w="1134"/>
          </w:tcPr>
          <w:p>
            <w:pPr>
              <w:spacing w:after="20"/>
            </w:pPr>
            <w:r>
              <w:rPr>
                <w:sz w:val="18"/>
              </w:rPr>
              <w:t>Figure 4.17</w:t>
            </w:r>
          </w:p>
        </w:tc>
        <w:tc>
          <w:tcPr>
            <w:tcW w:type="dxa" w:w="3515"/>
          </w:tcPr>
          <w:p>
            <w:pPr>
              <w:spacing w:after="20"/>
            </w:pPr>
            <w:r>
              <w:rPr>
                <w:sz w:val="18"/>
              </w:rPr>
              <w:t>Effect of imbalance handling and of removing feature groups / preprocessing steps.</w:t>
            </w:r>
          </w:p>
        </w:tc>
        <w:tc>
          <w:tcPr>
            <w:tcW w:type="dxa" w:w="4649"/>
          </w:tcPr>
          <w:p>
            <w:pPr>
              <w:spacing w:after="20"/>
            </w:pPr>
            <w:r>
              <w:rPr>
                <w:sz w:val="18"/>
              </w:rPr>
              <w:t>Bars show how much macro F1 changes when something is removed or changed. Only bars marked significant matter.</w:t>
            </w:r>
          </w:p>
        </w:tc>
      </w:tr>
      <w:tr>
        <w:tc>
          <w:tcPr>
            <w:tcW w:type="dxa" w:w="1134"/>
          </w:tcPr>
          <w:p>
            <w:pPr>
              <w:spacing w:after="20"/>
            </w:pPr>
            <w:r>
              <w:rPr>
                <w:sz w:val="18"/>
              </w:rPr>
              <w:t>Figure 4.18</w:t>
            </w:r>
          </w:p>
        </w:tc>
        <w:tc>
          <w:tcPr>
            <w:tcW w:type="dxa" w:w="3515"/>
          </w:tcPr>
          <w:p>
            <w:pPr>
              <w:spacing w:after="20"/>
            </w:pPr>
            <w:r>
              <w:rPr>
                <w:sz w:val="18"/>
              </w:rPr>
              <w:t>Selection frequency of the most frequently selected features across outer folds.</w:t>
            </w:r>
          </w:p>
        </w:tc>
        <w:tc>
          <w:tcPr>
            <w:tcW w:type="dxa" w:w="4649"/>
          </w:tcPr>
          <w:p>
            <w:pPr>
              <w:spacing w:after="20"/>
            </w:pPr>
            <w:r>
              <w:rPr>
                <w:sz w:val="18"/>
              </w:rPr>
              <w:t>How often each feature was chosen across training folds; 1.0 = chosen every time.</w:t>
            </w:r>
          </w:p>
        </w:tc>
      </w:tr>
      <w:tr>
        <w:tc>
          <w:tcPr>
            <w:tcW w:type="dxa" w:w="1134"/>
          </w:tcPr>
          <w:p>
            <w:pPr>
              <w:spacing w:after="20"/>
            </w:pPr>
            <w:r>
              <w:rPr>
                <w:sz w:val="18"/>
              </w:rPr>
              <w:t>Figure 4.19</w:t>
            </w:r>
          </w:p>
        </w:tc>
        <w:tc>
          <w:tcPr>
            <w:tcW w:type="dxa" w:w="3515"/>
          </w:tcPr>
          <w:p>
            <w:pPr>
              <w:spacing w:after="20"/>
            </w:pPr>
            <w:r>
              <w:rPr>
                <w:sz w:val="18"/>
              </w:rPr>
              <w:t>SHAP summary (beeswarm) plot of the hybrid binary model on feature set B.</w:t>
            </w:r>
          </w:p>
        </w:tc>
        <w:tc>
          <w:tcPr>
            <w:tcW w:type="dxa" w:w="4649"/>
          </w:tcPr>
          <w:p>
            <w:pPr>
              <w:spacing w:after="20"/>
            </w:pPr>
            <w:r>
              <w:rPr>
                <w:sz w:val="18"/>
              </w:rPr>
              <w:t>Each dot is a participant. Dots to the right push the prediction towards depression; the colour shows whether the answer on that item was high or low.</w:t>
            </w:r>
          </w:p>
        </w:tc>
      </w:tr>
      <w:tr>
        <w:tc>
          <w:tcPr>
            <w:tcW w:type="dxa" w:w="1134"/>
          </w:tcPr>
          <w:p>
            <w:pPr>
              <w:spacing w:after="20"/>
            </w:pPr>
            <w:r>
              <w:rPr>
                <w:sz w:val="18"/>
              </w:rPr>
              <w:t>Figure 4.20</w:t>
            </w:r>
          </w:p>
        </w:tc>
        <w:tc>
          <w:tcPr>
            <w:tcW w:type="dxa" w:w="3515"/>
          </w:tcPr>
          <w:p>
            <w:pPr>
              <w:spacing w:after="20"/>
            </w:pPr>
            <w:r>
              <w:rPr>
                <w:sz w:val="18"/>
              </w:rPr>
              <w:t>Mean absolute SHAP values of the top features (binary and severity models, feature set B).</w:t>
            </w:r>
          </w:p>
        </w:tc>
        <w:tc>
          <w:tcPr>
            <w:tcW w:type="dxa" w:w="4649"/>
          </w:tcPr>
          <w:p>
            <w:pPr>
              <w:spacing w:after="20"/>
            </w:pPr>
            <w:r>
              <w:rPr>
                <w:sz w:val="18"/>
              </w:rPr>
              <w:t>The average importance of each feature for the final model.</w:t>
            </w:r>
          </w:p>
        </w:tc>
      </w:tr>
      <w:tr>
        <w:tc>
          <w:tcPr>
            <w:tcW w:type="dxa" w:w="1134"/>
          </w:tcPr>
          <w:p>
            <w:pPr>
              <w:spacing w:after="20"/>
            </w:pPr>
            <w:r>
              <w:rPr>
                <w:sz w:val="18"/>
              </w:rPr>
              <w:t>Figure 4.21</w:t>
            </w:r>
          </w:p>
        </w:tc>
        <w:tc>
          <w:tcPr>
            <w:tcW w:type="dxa" w:w="3515"/>
          </w:tcPr>
          <w:p>
            <w:pPr>
              <w:spacing w:after="20"/>
            </w:pPr>
            <w:r>
              <w:rPr>
                <w:sz w:val="18"/>
              </w:rPr>
              <w:t>SHAP dependence plots of the five most important features (binary model, feature set B).</w:t>
            </w:r>
          </w:p>
        </w:tc>
        <w:tc>
          <w:tcPr>
            <w:tcW w:type="dxa" w:w="4649"/>
          </w:tcPr>
          <w:p>
            <w:pPr>
              <w:spacing w:after="20"/>
            </w:pPr>
            <w:r>
              <w:rPr>
                <w:sz w:val="18"/>
              </w:rPr>
              <w:t>How the effect of one item changes as the answer goes from 0 to 4.</w:t>
            </w:r>
          </w:p>
        </w:tc>
      </w:tr>
      <w:tr>
        <w:tc>
          <w:tcPr>
            <w:tcW w:type="dxa" w:w="1134"/>
          </w:tcPr>
          <w:p>
            <w:pPr>
              <w:spacing w:after="20"/>
            </w:pPr>
            <w:r>
              <w:rPr>
                <w:sz w:val="18"/>
              </w:rPr>
              <w:t>Figure 4.22</w:t>
            </w:r>
          </w:p>
        </w:tc>
        <w:tc>
          <w:tcPr>
            <w:tcW w:type="dxa" w:w="3515"/>
          </w:tcPr>
          <w:p>
            <w:pPr>
              <w:spacing w:after="20"/>
            </w:pPr>
            <w:r>
              <w:rPr>
                <w:sz w:val="18"/>
              </w:rPr>
              <w:t>SHAP waterfall plots explaining individual predictions for three participants.</w:t>
            </w:r>
          </w:p>
        </w:tc>
        <w:tc>
          <w:tcPr>
            <w:tcW w:type="dxa" w:w="4649"/>
          </w:tcPr>
          <w:p>
            <w:pPr>
              <w:spacing w:after="20"/>
            </w:pPr>
            <w:r>
              <w:rPr>
                <w:sz w:val="18"/>
              </w:rPr>
              <w:t>Why the model made one specific prediction: each bar pushes the probability up or down.</w:t>
            </w:r>
          </w:p>
        </w:tc>
      </w:tr>
      <w:tr>
        <w:tc>
          <w:tcPr>
            <w:tcW w:type="dxa" w:w="1134"/>
          </w:tcPr>
          <w:p>
            <w:pPr>
              <w:spacing w:after="20"/>
            </w:pPr>
            <w:r>
              <w:rPr>
                <w:sz w:val="18"/>
              </w:rPr>
              <w:t>Figure 4.23</w:t>
            </w:r>
          </w:p>
        </w:tc>
        <w:tc>
          <w:tcPr>
            <w:tcW w:type="dxa" w:w="3515"/>
          </w:tcPr>
          <w:p>
            <w:pPr>
              <w:spacing w:after="20"/>
            </w:pPr>
            <w:r>
              <w:rPr>
                <w:sz w:val="18"/>
              </w:rPr>
              <w:t>Share of total mean |SHAP| contributed by each feature group (feature sets A and B).</w:t>
            </w:r>
          </w:p>
        </w:tc>
        <w:tc>
          <w:tcPr>
            <w:tcW w:type="dxa" w:w="4649"/>
          </w:tcPr>
          <w:p>
            <w:pPr>
              <w:spacing w:after="20"/>
            </w:pPr>
            <w:r>
              <w:rPr>
                <w:sz w:val="18"/>
              </w:rPr>
              <w:t>Share of the model's reasoning that comes from BDI, FCRI, demographic and clinical variables.</w:t>
            </w:r>
          </w:p>
        </w:tc>
      </w:tr>
    </w:tbl>
    <w:p>
      <w:pPr>
        <w:spacing w:after="80" w:line="240" w:lineRule="auto"/>
      </w:pPr>
      <w:r>
        <w:rPr>
          <w:sz w:val="4"/>
        </w:rPr>
      </w:r>
    </w:p>
    <w:p>
      <w:r>
        <w:rPr>
          <w:i/>
          <w:sz w:val="19"/>
        </w:rPr>
        <w:t>Files: thesis_outputs/figures/&lt;name&gt;.png (300 dpi, for Word) and .svg (vector). All are at most 16 cm wide, so they can be inserted at 100% size.</w:t>
      </w:r>
    </w:p>
    <w:p>
      <w:pPr>
        <w:pStyle w:val="Heading1"/>
        <w:pageBreakBefore w:val="0"/>
      </w:pPr>
      <w:r>
        <w:t>7. Glossary</w:t>
      </w:r>
    </w:p>
    <w:tbl>
      <w:tblPr>
        <w:tblStyle w:val="TableGrid"/>
        <w:tblW w:type="auto" w:w="0"/>
        <w:tblLook w:firstColumn="1" w:firstRow="1" w:lastColumn="0" w:lastRow="0" w:noHBand="0" w:noVBand="1" w:val="04A0"/>
      </w:tblPr>
      <w:tblGrid>
        <w:gridCol w:w="4649"/>
        <w:gridCol w:w="4649"/>
      </w:tblGrid>
      <w:tr>
        <w:tc>
          <w:tcPr>
            <w:tcW w:type="dxa" w:w="2268"/>
            <w:shd w:val="clear" w:color="auto" w:fill="D9E2F3"/>
          </w:tcPr>
          <w:p>
            <w:pPr>
              <w:spacing w:after="20"/>
            </w:pPr>
            <w:r>
              <w:rPr>
                <w:b/>
                <w:sz w:val="19"/>
              </w:rPr>
              <w:t>Term</w:t>
            </w:r>
          </w:p>
        </w:tc>
        <w:tc>
          <w:tcPr>
            <w:tcW w:type="dxa" w:w="7030"/>
            <w:shd w:val="clear" w:color="auto" w:fill="D9E2F3"/>
          </w:tcPr>
          <w:p>
            <w:pPr>
              <w:spacing w:after="20"/>
            </w:pPr>
            <w:r>
              <w:rPr>
                <w:b/>
                <w:sz w:val="19"/>
              </w:rPr>
              <w:t>Meaning in simple words</w:t>
            </w:r>
          </w:p>
        </w:tc>
      </w:tr>
      <w:tr>
        <w:tc>
          <w:tcPr>
            <w:tcW w:type="dxa" w:w="2268"/>
          </w:tcPr>
          <w:p>
            <w:pPr>
              <w:spacing w:after="20"/>
            </w:pPr>
            <w:r>
              <w:rPr>
                <w:sz w:val="19"/>
              </w:rPr>
              <w:t>BDI</w:t>
            </w:r>
          </w:p>
        </w:tc>
        <w:tc>
          <w:tcPr>
            <w:tcW w:type="dxa" w:w="7030"/>
          </w:tcPr>
          <w:p>
            <w:pPr>
              <w:spacing w:after="20"/>
            </w:pPr>
            <w:r>
              <w:rPr>
                <w:sz w:val="19"/>
              </w:rPr>
              <w:t>Beck Depression Inventory: 21 questions, each scored 0–3. The total (0–63) defines both targets.</w:t>
            </w:r>
          </w:p>
        </w:tc>
      </w:tr>
      <w:tr>
        <w:tc>
          <w:tcPr>
            <w:tcW w:type="dxa" w:w="2268"/>
          </w:tcPr>
          <w:p>
            <w:pPr>
              <w:spacing w:after="20"/>
            </w:pPr>
            <w:r>
              <w:rPr>
                <w:sz w:val="19"/>
              </w:rPr>
              <w:t>FCRI</w:t>
            </w:r>
          </w:p>
        </w:tc>
        <w:tc>
          <w:tcPr>
            <w:tcW w:type="dxa" w:w="7030"/>
          </w:tcPr>
          <w:p>
            <w:pPr>
              <w:spacing w:after="20"/>
            </w:pPr>
            <w:r>
              <w:rPr>
                <w:sz w:val="19"/>
              </w:rPr>
              <w:t>Fear of Cancer Recurrence Inventory: 42 questions, each scored 0–4, in seven subscales.</w:t>
            </w:r>
          </w:p>
        </w:tc>
      </w:tr>
      <w:tr>
        <w:tc>
          <w:tcPr>
            <w:tcW w:type="dxa" w:w="2268"/>
          </w:tcPr>
          <w:p>
            <w:pPr>
              <w:spacing w:after="20"/>
            </w:pPr>
            <w:r>
              <w:rPr>
                <w:sz w:val="19"/>
              </w:rPr>
              <w:t>FCR</w:t>
            </w:r>
          </w:p>
        </w:tc>
        <w:tc>
          <w:tcPr>
            <w:tcW w:type="dxa" w:w="7030"/>
          </w:tcPr>
          <w:p>
            <w:pPr>
              <w:spacing w:after="20"/>
            </w:pPr>
            <w:r>
              <w:rPr>
                <w:sz w:val="19"/>
              </w:rPr>
              <w:t>Fear of cancer recurrence: worry that the cancer will come back or spread.</w:t>
            </w:r>
          </w:p>
        </w:tc>
      </w:tr>
      <w:tr>
        <w:tc>
          <w:tcPr>
            <w:tcW w:type="dxa" w:w="2268"/>
          </w:tcPr>
          <w:p>
            <w:pPr>
              <w:spacing w:after="20"/>
            </w:pPr>
            <w:r>
              <w:rPr>
                <w:sz w:val="19"/>
              </w:rPr>
              <w:t>Target / label</w:t>
            </w:r>
          </w:p>
        </w:tc>
        <w:tc>
          <w:tcPr>
            <w:tcW w:type="dxa" w:w="7030"/>
          </w:tcPr>
          <w:p>
            <w:pPr>
              <w:spacing w:after="20"/>
            </w:pPr>
            <w:r>
              <w:rPr>
                <w:sz w:val="19"/>
              </w:rPr>
              <w:t>What the model tries to predict: depressed yes/no (binary) or one of six severity classes.</w:t>
            </w:r>
          </w:p>
        </w:tc>
      </w:tr>
      <w:tr>
        <w:tc>
          <w:tcPr>
            <w:tcW w:type="dxa" w:w="2268"/>
          </w:tcPr>
          <w:p>
            <w:pPr>
              <w:spacing w:after="20"/>
            </w:pPr>
            <w:r>
              <w:rPr>
                <w:sz w:val="19"/>
              </w:rPr>
              <w:t>Feature</w:t>
            </w:r>
          </w:p>
        </w:tc>
        <w:tc>
          <w:tcPr>
            <w:tcW w:type="dxa" w:w="7030"/>
          </w:tcPr>
          <w:p>
            <w:pPr>
              <w:spacing w:after="20"/>
            </w:pPr>
            <w:r>
              <w:rPr>
                <w:sz w:val="19"/>
              </w:rPr>
              <w:t>An input given to the model, e.g. one FCRI answer, age group or cancer type.</w:t>
            </w:r>
          </w:p>
        </w:tc>
      </w:tr>
      <w:tr>
        <w:tc>
          <w:tcPr>
            <w:tcW w:type="dxa" w:w="2268"/>
          </w:tcPr>
          <w:p>
            <w:pPr>
              <w:spacing w:after="20"/>
            </w:pPr>
            <w:r>
              <w:rPr>
                <w:sz w:val="19"/>
              </w:rPr>
              <w:t>Leakage</w:t>
            </w:r>
          </w:p>
        </w:tc>
        <w:tc>
          <w:tcPr>
            <w:tcW w:type="dxa" w:w="7030"/>
          </w:tcPr>
          <w:p>
            <w:pPr>
              <w:spacing w:after="20"/>
            </w:pPr>
            <w:r>
              <w:rPr>
                <w:sz w:val="19"/>
              </w:rPr>
              <w:t>When the model is given information that already contains the answer. Here: BDI items, because the label is calculated from them.</w:t>
            </w:r>
          </w:p>
        </w:tc>
      </w:tr>
      <w:tr>
        <w:tc>
          <w:tcPr>
            <w:tcW w:type="dxa" w:w="2268"/>
          </w:tcPr>
          <w:p>
            <w:pPr>
              <w:spacing w:after="20"/>
            </w:pPr>
            <w:r>
              <w:rPr>
                <w:sz w:val="19"/>
              </w:rPr>
              <w:t>Feature selection (FS)</w:t>
            </w:r>
          </w:p>
        </w:tc>
        <w:tc>
          <w:tcPr>
            <w:tcW w:type="dxa" w:w="7030"/>
          </w:tcPr>
          <w:p>
            <w:pPr>
              <w:spacing w:after="20"/>
            </w:pPr>
            <w:r>
              <w:rPr>
                <w:sz w:val="19"/>
              </w:rPr>
              <w:t>A step that keeps only the most useful inputs (methods: mutual information, χ², RFE, L1, Boruta).</w:t>
            </w:r>
          </w:p>
        </w:tc>
      </w:tr>
      <w:tr>
        <w:tc>
          <w:tcPr>
            <w:tcW w:type="dxa" w:w="2268"/>
          </w:tcPr>
          <w:p>
            <w:pPr>
              <w:spacing w:after="20"/>
            </w:pPr>
            <w:r>
              <w:rPr>
                <w:sz w:val="19"/>
              </w:rPr>
              <w:t>Ensemble</w:t>
            </w:r>
          </w:p>
        </w:tc>
        <w:tc>
          <w:tcPr>
            <w:tcW w:type="dxa" w:w="7030"/>
          </w:tcPr>
          <w:p>
            <w:pPr>
              <w:spacing w:after="20"/>
            </w:pPr>
            <w:r>
              <w:rPr>
                <w:sz w:val="19"/>
              </w:rPr>
              <w:t>Several models combined. Soft voting averages their probabilities; stacking trains a small logistic-regression model on top of their predictions.</w:t>
            </w:r>
          </w:p>
        </w:tc>
      </w:tr>
      <w:tr>
        <w:tc>
          <w:tcPr>
            <w:tcW w:type="dxa" w:w="2268"/>
          </w:tcPr>
          <w:p>
            <w:pPr>
              <w:spacing w:after="20"/>
            </w:pPr>
            <w:r>
              <w:rPr>
                <w:sz w:val="19"/>
              </w:rPr>
              <w:t>Hybrid model</w:t>
            </w:r>
          </w:p>
        </w:tc>
        <w:tc>
          <w:tcPr>
            <w:tcW w:type="dxa" w:w="7030"/>
          </w:tcPr>
          <w:p>
            <w:pPr>
              <w:spacing w:after="20"/>
            </w:pPr>
            <w:r>
              <w:rPr>
                <w:sz w:val="19"/>
              </w:rPr>
              <w:t>The best feature-selection method + the best ensemble, chosen by macro F1 on feature set B.</w:t>
            </w:r>
          </w:p>
        </w:tc>
      </w:tr>
      <w:tr>
        <w:tc>
          <w:tcPr>
            <w:tcW w:type="dxa" w:w="2268"/>
          </w:tcPr>
          <w:p>
            <w:pPr>
              <w:spacing w:after="20"/>
            </w:pPr>
            <w:r>
              <w:rPr>
                <w:sz w:val="19"/>
              </w:rPr>
              <w:t>Cross-validation (CV)</w:t>
            </w:r>
          </w:p>
        </w:tc>
        <w:tc>
          <w:tcPr>
            <w:tcW w:type="dxa" w:w="7030"/>
          </w:tcPr>
          <w:p>
            <w:pPr>
              <w:spacing w:after="20"/>
            </w:pPr>
            <w:r>
              <w:rPr>
                <w:sz w:val="19"/>
              </w:rPr>
              <w:t>Split the data into 5 parts, train on 4 and test on 1, rotate, and repeat with different splits.</w:t>
            </w:r>
          </w:p>
        </w:tc>
      </w:tr>
      <w:tr>
        <w:tc>
          <w:tcPr>
            <w:tcW w:type="dxa" w:w="2268"/>
          </w:tcPr>
          <w:p>
            <w:pPr>
              <w:spacing w:after="20"/>
            </w:pPr>
            <w:r>
              <w:rPr>
                <w:sz w:val="19"/>
              </w:rPr>
              <w:t>Nested CV</w:t>
            </w:r>
          </w:p>
        </w:tc>
        <w:tc>
          <w:tcPr>
            <w:tcW w:type="dxa" w:w="7030"/>
          </w:tcPr>
          <w:p>
            <w:pPr>
              <w:spacing w:after="20"/>
            </w:pPr>
            <w:r>
              <w:rPr>
                <w:sz w:val="19"/>
              </w:rPr>
              <w:t>CV inside CV: the inner loop tunes the model's settings, the outer loop gives an honest score.</w:t>
            </w:r>
          </w:p>
        </w:tc>
      </w:tr>
      <w:tr>
        <w:tc>
          <w:tcPr>
            <w:tcW w:type="dxa" w:w="2268"/>
          </w:tcPr>
          <w:p>
            <w:pPr>
              <w:spacing w:after="20"/>
            </w:pPr>
            <w:r>
              <w:rPr>
                <w:sz w:val="19"/>
              </w:rPr>
              <w:t>Class weights / SMOTE</w:t>
            </w:r>
          </w:p>
        </w:tc>
        <w:tc>
          <w:tcPr>
            <w:tcW w:type="dxa" w:w="7030"/>
          </w:tcPr>
          <w:p>
            <w:pPr>
              <w:spacing w:after="20"/>
            </w:pPr>
            <w:r>
              <w:rPr>
                <w:sz w:val="19"/>
              </w:rPr>
              <w:t>Two ways to stop the model ignoring small classes: give their errors more weight, or create synthetic examples of them.</w:t>
            </w:r>
          </w:p>
        </w:tc>
      </w:tr>
      <w:tr>
        <w:tc>
          <w:tcPr>
            <w:tcW w:type="dxa" w:w="2268"/>
          </w:tcPr>
          <w:p>
            <w:pPr>
              <w:spacing w:after="20"/>
            </w:pPr>
            <w:r>
              <w:rPr>
                <w:sz w:val="19"/>
              </w:rPr>
              <w:t>Macro F1</w:t>
            </w:r>
          </w:p>
        </w:tc>
        <w:tc>
          <w:tcPr>
            <w:tcW w:type="dxa" w:w="7030"/>
          </w:tcPr>
          <w:p>
            <w:pPr>
              <w:spacing w:after="20"/>
            </w:pPr>
            <w:r>
              <w:rPr>
                <w:sz w:val="19"/>
              </w:rPr>
              <w:t>Main score (0–1). F1 balances precision and recall; 'macro' averages it over classes so the small classes count equally.</w:t>
            </w:r>
          </w:p>
        </w:tc>
      </w:tr>
      <w:tr>
        <w:tc>
          <w:tcPr>
            <w:tcW w:type="dxa" w:w="2268"/>
          </w:tcPr>
          <w:p>
            <w:pPr>
              <w:spacing w:after="20"/>
            </w:pPr>
            <w:r>
              <w:rPr>
                <w:sz w:val="19"/>
              </w:rPr>
              <w:t>Sensitivity (recall)</w:t>
            </w:r>
          </w:p>
        </w:tc>
        <w:tc>
          <w:tcPr>
            <w:tcW w:type="dxa" w:w="7030"/>
          </w:tcPr>
          <w:p>
            <w:pPr>
              <w:spacing w:after="20"/>
            </w:pPr>
            <w:r>
              <w:rPr>
                <w:sz w:val="19"/>
              </w:rPr>
              <w:t>Share of truly depressed participants the model finds.</w:t>
            </w:r>
          </w:p>
        </w:tc>
      </w:tr>
      <w:tr>
        <w:tc>
          <w:tcPr>
            <w:tcW w:type="dxa" w:w="2268"/>
          </w:tcPr>
          <w:p>
            <w:pPr>
              <w:spacing w:after="20"/>
            </w:pPr>
            <w:r>
              <w:rPr>
                <w:sz w:val="19"/>
              </w:rPr>
              <w:t>Specificity</w:t>
            </w:r>
          </w:p>
        </w:tc>
        <w:tc>
          <w:tcPr>
            <w:tcW w:type="dxa" w:w="7030"/>
          </w:tcPr>
          <w:p>
            <w:pPr>
              <w:spacing w:after="20"/>
            </w:pPr>
            <w:r>
              <w:rPr>
                <w:sz w:val="19"/>
              </w:rPr>
              <w:t>Share of truly not-depressed participants the model correctly clears.</w:t>
            </w:r>
          </w:p>
        </w:tc>
      </w:tr>
      <w:tr>
        <w:tc>
          <w:tcPr>
            <w:tcW w:type="dxa" w:w="2268"/>
          </w:tcPr>
          <w:p>
            <w:pPr>
              <w:spacing w:after="20"/>
            </w:pPr>
            <w:r>
              <w:rPr>
                <w:sz w:val="19"/>
              </w:rPr>
              <w:t>ROC-AUC</w:t>
            </w:r>
          </w:p>
        </w:tc>
        <w:tc>
          <w:tcPr>
            <w:tcW w:type="dxa" w:w="7030"/>
          </w:tcPr>
          <w:p>
            <w:pPr>
              <w:spacing w:after="20"/>
            </w:pPr>
            <w:r>
              <w:rPr>
                <w:sz w:val="19"/>
              </w:rPr>
              <w:t>Chance that the model ranks a random depressed participant above a random non-depressed one (0.5 = guessing, 1 = perfect).</w:t>
            </w:r>
          </w:p>
        </w:tc>
      </w:tr>
      <w:tr>
        <w:tc>
          <w:tcPr>
            <w:tcW w:type="dxa" w:w="2268"/>
          </w:tcPr>
          <w:p>
            <w:pPr>
              <w:spacing w:after="20"/>
            </w:pPr>
            <w:r>
              <w:rPr>
                <w:sz w:val="19"/>
              </w:rPr>
              <w:t>MCC</w:t>
            </w:r>
          </w:p>
        </w:tc>
        <w:tc>
          <w:tcPr>
            <w:tcW w:type="dxa" w:w="7030"/>
          </w:tcPr>
          <w:p>
            <w:pPr>
              <w:spacing w:after="20"/>
            </w:pPr>
            <w:r>
              <w:rPr>
                <w:sz w:val="19"/>
              </w:rPr>
              <w:t>Matthews correlation coefficient, −1 to 1 (0 = guessing); fair under class imbalance.</w:t>
            </w:r>
          </w:p>
        </w:tc>
      </w:tr>
      <w:tr>
        <w:tc>
          <w:tcPr>
            <w:tcW w:type="dxa" w:w="2268"/>
          </w:tcPr>
          <w:p>
            <w:pPr>
              <w:spacing w:after="20"/>
            </w:pPr>
            <w:r>
              <w:rPr>
                <w:sz w:val="19"/>
              </w:rPr>
              <w:t>Quadratic weighted κ (QWK)</w:t>
            </w:r>
          </w:p>
        </w:tc>
        <w:tc>
          <w:tcPr>
            <w:tcW w:type="dxa" w:w="7030"/>
          </w:tcPr>
          <w:p>
            <w:pPr>
              <w:spacing w:after="20"/>
            </w:pPr>
            <w:r>
              <w:rPr>
                <w:sz w:val="19"/>
              </w:rPr>
              <w:t>Agreement for ordered classes; a near miss is penalised less than a big miss.</w:t>
            </w:r>
          </w:p>
        </w:tc>
      </w:tr>
      <w:tr>
        <w:tc>
          <w:tcPr>
            <w:tcW w:type="dxa" w:w="2268"/>
          </w:tcPr>
          <w:p>
            <w:pPr>
              <w:spacing w:after="20"/>
            </w:pPr>
            <w:r>
              <w:rPr>
                <w:sz w:val="19"/>
              </w:rPr>
              <w:t>Brier score</w:t>
            </w:r>
          </w:p>
        </w:tc>
        <w:tc>
          <w:tcPr>
            <w:tcW w:type="dxa" w:w="7030"/>
          </w:tcPr>
          <w:p>
            <w:pPr>
              <w:spacing w:after="20"/>
            </w:pPr>
            <w:r>
              <w:rPr>
                <w:sz w:val="19"/>
              </w:rPr>
              <w:t>Average squared error of the predicted probabilities; lower is better.</w:t>
            </w:r>
          </w:p>
        </w:tc>
      </w:tr>
      <w:tr>
        <w:tc>
          <w:tcPr>
            <w:tcW w:type="dxa" w:w="2268"/>
          </w:tcPr>
          <w:p>
            <w:pPr>
              <w:spacing w:after="20"/>
            </w:pPr>
            <w:r>
              <w:rPr>
                <w:sz w:val="19"/>
              </w:rPr>
              <w:t>Mean ± SD</w:t>
            </w:r>
          </w:p>
        </w:tc>
        <w:tc>
          <w:tcPr>
            <w:tcW w:type="dxa" w:w="7030"/>
          </w:tcPr>
          <w:p>
            <w:pPr>
              <w:spacing w:after="20"/>
            </w:pPr>
            <w:r>
              <w:rPr>
                <w:sz w:val="19"/>
              </w:rPr>
              <w:t>Average over the outer test folds ± how much it varied between folds.</w:t>
            </w:r>
          </w:p>
        </w:tc>
      </w:tr>
      <w:tr>
        <w:tc>
          <w:tcPr>
            <w:tcW w:type="dxa" w:w="2268"/>
          </w:tcPr>
          <w:p>
            <w:pPr>
              <w:spacing w:after="20"/>
            </w:pPr>
            <w:r>
              <w:rPr>
                <w:sz w:val="19"/>
              </w:rPr>
              <w:t>95% CI</w:t>
            </w:r>
          </w:p>
        </w:tc>
        <w:tc>
          <w:tcPr>
            <w:tcW w:type="dxa" w:w="7030"/>
          </w:tcPr>
          <w:p>
            <w:pPr>
              <w:spacing w:after="20"/>
            </w:pPr>
            <w:r>
              <w:rPr>
                <w:sz w:val="19"/>
              </w:rPr>
              <w:t>Range that very likely contains the true value (from bootstrap resampling of participants).</w:t>
            </w:r>
          </w:p>
        </w:tc>
      </w:tr>
      <w:tr>
        <w:tc>
          <w:tcPr>
            <w:tcW w:type="dxa" w:w="2268"/>
          </w:tcPr>
          <w:p>
            <w:pPr>
              <w:spacing w:after="20"/>
            </w:pPr>
            <w:r>
              <w:rPr>
                <w:sz w:val="19"/>
              </w:rPr>
              <w:t>p-value / Holm</w:t>
            </w:r>
          </w:p>
        </w:tc>
        <w:tc>
          <w:tcPr>
            <w:tcW w:type="dxa" w:w="7030"/>
          </w:tcPr>
          <w:p>
            <w:pPr>
              <w:spacing w:after="20"/>
            </w:pPr>
            <w:r>
              <w:rPr>
                <w:sz w:val="19"/>
              </w:rPr>
              <w:t>p &lt; 0.05 = unlikely to be chance. Holm adjusts p-values when many tests are run at once.</w:t>
            </w:r>
          </w:p>
        </w:tc>
      </w:tr>
      <w:tr>
        <w:tc>
          <w:tcPr>
            <w:tcW w:type="dxa" w:w="2268"/>
          </w:tcPr>
          <w:p>
            <w:pPr>
              <w:spacing w:after="20"/>
            </w:pPr>
            <w:r>
              <w:rPr>
                <w:sz w:val="19"/>
              </w:rPr>
              <w:t>Spearman ρ</w:t>
            </w:r>
          </w:p>
        </w:tc>
        <w:tc>
          <w:tcPr>
            <w:tcW w:type="dxa" w:w="7030"/>
          </w:tcPr>
          <w:p>
            <w:pPr>
              <w:spacing w:after="20"/>
            </w:pPr>
            <w:r>
              <w:rPr>
                <w:sz w:val="19"/>
              </w:rPr>
              <w:t>Rank correlation from −1 to 1; above 0.7 is usually called strong.</w:t>
            </w:r>
          </w:p>
        </w:tc>
      </w:tr>
      <w:tr>
        <w:tc>
          <w:tcPr>
            <w:tcW w:type="dxa" w:w="2268"/>
          </w:tcPr>
          <w:p>
            <w:pPr>
              <w:spacing w:after="20"/>
            </w:pPr>
            <w:r>
              <w:rPr>
                <w:sz w:val="19"/>
              </w:rPr>
              <w:t>Cronbach's α</w:t>
            </w:r>
          </w:p>
        </w:tc>
        <w:tc>
          <w:tcPr>
            <w:tcW w:type="dxa" w:w="7030"/>
          </w:tcPr>
          <w:p>
            <w:pPr>
              <w:spacing w:after="20"/>
            </w:pPr>
            <w:r>
              <w:rPr>
                <w:sz w:val="19"/>
              </w:rPr>
              <w:t>Internal consistency of a questionnaire; above 0.7 is acceptable, above 0.9 excellent.</w:t>
            </w:r>
          </w:p>
        </w:tc>
      </w:tr>
      <w:tr>
        <w:tc>
          <w:tcPr>
            <w:tcW w:type="dxa" w:w="2268"/>
          </w:tcPr>
          <w:p>
            <w:pPr>
              <w:spacing w:after="20"/>
            </w:pPr>
            <w:r>
              <w:rPr>
                <w:sz w:val="19"/>
              </w:rPr>
              <w:t>Ablation</w:t>
            </w:r>
          </w:p>
        </w:tc>
        <w:tc>
          <w:tcPr>
            <w:tcW w:type="dxa" w:w="7030"/>
          </w:tcPr>
          <w:p>
            <w:pPr>
              <w:spacing w:after="20"/>
            </w:pPr>
            <w:r>
              <w:rPr>
                <w:sz w:val="19"/>
              </w:rPr>
              <w:t>Remove one thing (e.g. demographic variables) and see whether performance drops.</w:t>
            </w:r>
          </w:p>
        </w:tc>
      </w:tr>
      <w:tr>
        <w:tc>
          <w:tcPr>
            <w:tcW w:type="dxa" w:w="2268"/>
          </w:tcPr>
          <w:p>
            <w:pPr>
              <w:spacing w:after="20"/>
            </w:pPr>
            <w:r>
              <w:rPr>
                <w:sz w:val="19"/>
              </w:rPr>
              <w:t>SHAP</w:t>
            </w:r>
          </w:p>
        </w:tc>
        <w:tc>
          <w:tcPr>
            <w:tcW w:type="dxa" w:w="7030"/>
          </w:tcPr>
          <w:p>
            <w:pPr>
              <w:spacing w:after="20"/>
            </w:pPr>
            <w:r>
              <w:rPr>
                <w:sz w:val="19"/>
              </w:rPr>
              <w:t>A method that shows how much each input pushed a prediction up or down. It explains the model, not cause and effect.</w:t>
            </w:r>
          </w:p>
        </w:tc>
      </w:tr>
      <w:tr>
        <w:tc>
          <w:tcPr>
            <w:tcW w:type="dxa" w:w="2268"/>
          </w:tcPr>
          <w:p>
            <w:pPr>
              <w:spacing w:after="20"/>
            </w:pPr>
            <w:r>
              <w:rPr>
                <w:sz w:val="19"/>
              </w:rPr>
              <w:t>Nogueira stability</w:t>
            </w:r>
          </w:p>
        </w:tc>
        <w:tc>
          <w:tcPr>
            <w:tcW w:type="dxa" w:w="7030"/>
          </w:tcPr>
          <w:p>
            <w:pPr>
              <w:spacing w:after="20"/>
            </w:pPr>
            <w:r>
              <w:rPr>
                <w:sz w:val="19"/>
              </w:rPr>
              <w:t>0–1; how similar the selected features are across training folds.</w:t>
            </w:r>
          </w:p>
        </w:tc>
      </w:tr>
    </w:tbl>
    <w:p>
      <w:pPr>
        <w:spacing w:after="80" w:line="240" w:lineRule="auto"/>
      </w:pPr>
      <w:r>
        <w:rPr>
          <w:sz w:val="4"/>
        </w:rPr>
      </w:r>
    </w:p>
    <w:p>
      <w:pPr>
        <w:pStyle w:val="Heading1"/>
        <w:pageBreakBefore w:val="0"/>
      </w:pPr>
      <w:r>
        <w:t>8. Limitations to mention in the thesis</w:t>
      </w:r>
    </w:p>
    <w:p>
      <w:pPr>
        <w:pStyle w:val="ListBullet"/>
        <w:spacing w:after="60"/>
      </w:pPr>
      <w:r>
        <w:rPr>
          <w:b/>
        </w:rPr>
        <w:t xml:space="preserve">Data origin. </w:t>
      </w:r>
      <w:r>
        <w:t>561 of 1532 rows match mock-generator output; the rest could not be verified from the repository alone.</w:t>
      </w:r>
    </w:p>
    <w:p>
      <w:pPr>
        <w:pStyle w:val="ListBullet"/>
        <w:spacing w:after="60"/>
      </w:pPr>
      <w:r>
        <w:rPr>
          <w:b/>
        </w:rPr>
        <w:t xml:space="preserve">Small 'not depressed' group. </w:t>
      </w:r>
      <w:r>
        <w:t>Specificity and other results for this group have wide confidence intervals.</w:t>
      </w:r>
    </w:p>
    <w:p>
      <w:pPr>
        <w:pStyle w:val="ListBullet"/>
        <w:spacing w:after="60"/>
      </w:pPr>
      <w:r>
        <w:rPr>
          <w:b/>
        </w:rPr>
        <w:t xml:space="preserve">Label comes from the BDI. </w:t>
      </w:r>
      <w:r>
        <w:t>Both targets are calculated from the BDI, so models that see BDI answers only re-compute the label; only sets B–D test real prediction.</w:t>
      </w:r>
    </w:p>
    <w:p>
      <w:pPr>
        <w:pStyle w:val="ListBullet"/>
        <w:spacing w:after="60"/>
      </w:pPr>
      <w:r>
        <w:rPr>
          <w:b/>
        </w:rPr>
        <w:t xml:space="preserve">Overlapping questions. </w:t>
      </w:r>
      <w:r>
        <w:t>Some FCRI items (19 sadness, 26 mood) resemble depression symptoms; the ablation shows how much they matter.</w:t>
      </w:r>
    </w:p>
    <w:p>
      <w:pPr>
        <w:pStyle w:val="ListBullet"/>
        <w:spacing w:after="60"/>
      </w:pPr>
      <w:r>
        <w:rPr>
          <w:b/>
        </w:rPr>
        <w:t xml:space="preserve">Self-report, one time point, one form. </w:t>
      </w:r>
      <w:r>
        <w:t>Both questionnaires were filled in together online, which can inflate their correlation; there is no external validation group.</w:t>
      </w:r>
    </w:p>
    <w:p>
      <w:pPr>
        <w:pStyle w:val="ListBullet"/>
        <w:spacing w:after="60"/>
      </w:pPr>
      <w:r>
        <w:rPr>
          <w:b/>
        </w:rPr>
        <w:t xml:space="preserve">Regression power. </w:t>
      </w:r>
      <w:r>
        <w:t>Only 3.61 events per parameter in the multivariable logistic regression; its odds ratios are unstable.</w:t>
      </w:r>
    </w:p>
    <w:p>
      <w:pPr>
        <w:pStyle w:val="ListBullet"/>
        <w:spacing w:after="60"/>
      </w:pPr>
      <w:r>
        <w:rPr>
          <w:b/>
        </w:rPr>
        <w:t xml:space="preserve">Instrument version. </w:t>
      </w:r>
      <w:r>
        <w:t>The BDI wording and cut-offs used are those of the first-edition BDI (0–10 normal … 41–63 extreme), not the BDI-II.</w:t>
      </w:r>
    </w:p>
    <w:p>
      <w:pPr>
        <w:pStyle w:val="ListBullet"/>
        <w:spacing w:after="60"/>
      </w:pPr>
      <w:r>
        <w:rPr>
          <w:b/>
        </w:rPr>
        <w:t xml:space="preserve">SHAP is not causation. </w:t>
      </w:r>
      <w:r>
        <w:t>It shows what the model relies on, not what causes depression.</w:t>
      </w:r>
    </w:p>
    <w:p>
      <w:pPr>
        <w:pStyle w:val="Heading1"/>
        <w:pageBreakBefore w:val="0"/>
      </w:pPr>
      <w:r>
        <w:t>9. Decisions to agree with your supervisor</w:t>
      </w:r>
    </w:p>
    <w:p>
      <w:pPr>
        <w:spacing w:after="60"/>
        <w:ind w:left="510" w:hanging="340"/>
      </w:pPr>
      <w:r>
        <w:t>1.</w:t>
        <w:tab/>
      </w:r>
      <w:r>
        <w:t>Which rows are genuine participants, and therefore which data version is primary in the thesis.</w:t>
      </w:r>
    </w:p>
    <w:p>
      <w:pPr>
        <w:spacing w:after="60"/>
        <w:ind w:left="510" w:hanging="340"/>
      </w:pPr>
      <w:r>
        <w:t>2.</w:t>
        <w:tab/>
      </w:r>
      <w:r>
        <w:t>Whether the binary cut-off stays at BDI ≥ 11 or moves to ≥ 17.</w:t>
      </w:r>
    </w:p>
    <w:p>
      <w:pPr>
        <w:spacing w:after="60"/>
        <w:ind w:left="510" w:hanging="340"/>
      </w:pPr>
      <w:r>
        <w:t>3.</w:t>
        <w:tab/>
      </w:r>
      <w:r>
        <w:t>Whether six severity classes are reported, or the two lowest classes are merged (five classes).</w:t>
      </w:r>
    </w:p>
    <w:p>
      <w:pPr>
        <w:spacing w:after="60"/>
        <w:ind w:left="510" w:hanging="340"/>
      </w:pPr>
      <w:r>
        <w:t>4.</w:t>
        <w:tab/>
      </w:r>
      <w:r>
        <w:t>Whether participants under 18 and the inconsistent gender/cancer-type answers are excluded.</w:t>
      </w:r>
    </w:p>
    <w:p>
      <w:pPr>
        <w:spacing w:after="60"/>
        <w:ind w:left="510" w:hanging="340"/>
      </w:pPr>
      <w:r>
        <w:t>5.</w:t>
        <w:tab/>
      </w:r>
      <w:r>
        <w:t>Whether the instrument is described as BDI-I/BDI-IA instead of BDI-II in the methodology.</w:t>
      </w:r>
    </w:p>
    <w:p>
      <w:pPr>
        <w:spacing w:after="60"/>
        <w:ind w:left="510" w:hanging="340"/>
      </w:pPr>
      <w:r>
        <w:t>6.</w:t>
        <w:tab/>
      </w:r>
      <w:r>
        <w:t>Whether the BDI items 6/7 scoring fix is applied to the app and the saved models are retrained.</w:t>
      </w:r>
    </w:p>
    <w:p>
      <w:pPr>
        <w:spacing w:after="60"/>
        <w:ind w:left="510" w:hanging="340"/>
      </w:pPr>
      <w:r>
        <w:t>7.</w:t>
        <w:tab/>
      </w:r>
      <w:r>
        <w:t>Whether the Streamlit app should switch to an FCRI-based hybrid model.</w:t>
      </w:r>
    </w:p>
    <w:p>
      <w:pPr>
        <w:pStyle w:val="Heading1"/>
        <w:pageBreakBefore w:val="0"/>
      </w:pPr>
      <w:r>
        <w:t>10. Where everything is</w:t>
      </w:r>
    </w:p>
    <w:tbl>
      <w:tblPr>
        <w:tblStyle w:val="TableGrid"/>
        <w:tblW w:type="auto" w:w="0"/>
        <w:tblLook w:firstColumn="1" w:firstRow="1" w:lastColumn="0" w:lastRow="0" w:noHBand="0" w:noVBand="1" w:val="04A0"/>
      </w:tblPr>
      <w:tblGrid>
        <w:gridCol w:w="4649"/>
        <w:gridCol w:w="4649"/>
      </w:tblGrid>
      <w:tr>
        <w:tc>
          <w:tcPr>
            <w:tcW w:type="dxa" w:w="3628"/>
            <w:shd w:val="clear" w:color="auto" w:fill="D9E2F3"/>
          </w:tcPr>
          <w:p>
            <w:pPr>
              <w:keepNext/>
              <w:spacing w:after="20"/>
            </w:pPr>
            <w:r>
              <w:rPr>
                <w:b/>
                <w:sz w:val="19"/>
              </w:rPr>
              <w:t>What</w:t>
            </w:r>
          </w:p>
        </w:tc>
        <w:tc>
          <w:tcPr>
            <w:tcW w:type="dxa" w:w="5669"/>
            <w:shd w:val="clear" w:color="auto" w:fill="D9E2F3"/>
          </w:tcPr>
          <w:p>
            <w:pPr>
              <w:keepNext/>
              <w:spacing w:after="20"/>
            </w:pPr>
            <w:r>
              <w:rPr>
                <w:b/>
                <w:sz w:val="19"/>
              </w:rPr>
              <w:t>Where</w:t>
            </w:r>
          </w:p>
        </w:tc>
      </w:tr>
      <w:tr>
        <w:tc>
          <w:tcPr>
            <w:tcW w:type="dxa" w:w="3628"/>
          </w:tcPr>
          <w:p>
            <w:pPr>
              <w:keepNext/>
              <w:spacing w:after="20"/>
            </w:pPr>
            <w:r>
              <w:rPr>
                <w:sz w:val="19"/>
              </w:rPr>
              <w:t>Figures for the thesis</w:t>
            </w:r>
          </w:p>
        </w:tc>
        <w:tc>
          <w:tcPr>
            <w:tcW w:type="dxa" w:w="5669"/>
          </w:tcPr>
          <w:p>
            <w:pPr>
              <w:keepNext/>
              <w:spacing w:after="20"/>
            </w:pPr>
            <w:r>
              <w:rPr>
                <w:sz w:val="19"/>
              </w:rPr>
              <w:t>thesis_outputs/figures/ (appendix versions in figures/appendix/)</w:t>
            </w:r>
          </w:p>
        </w:tc>
      </w:tr>
      <w:tr>
        <w:tc>
          <w:tcPr>
            <w:tcW w:type="dxa" w:w="3628"/>
          </w:tcPr>
          <w:p>
            <w:pPr>
              <w:keepNext/>
              <w:spacing w:after="20"/>
            </w:pPr>
            <w:r>
              <w:rPr>
                <w:sz w:val="19"/>
              </w:rPr>
              <w:t>All tables, formatted for Word</w:t>
            </w:r>
          </w:p>
        </w:tc>
        <w:tc>
          <w:tcPr>
            <w:tcW w:type="dxa" w:w="5669"/>
          </w:tcPr>
          <w:p>
            <w:pPr>
              <w:keepNext/>
              <w:spacing w:after="20"/>
            </w:pPr>
            <w:r>
              <w:rPr>
                <w:sz w:val="19"/>
              </w:rPr>
              <w:t>thesis_outputs/tables/thesis_tables.docx</w:t>
            </w:r>
          </w:p>
        </w:tc>
      </w:tr>
      <w:tr>
        <w:tc>
          <w:tcPr>
            <w:tcW w:type="dxa" w:w="3628"/>
          </w:tcPr>
          <w:p>
            <w:pPr>
              <w:keepNext/>
              <w:spacing w:after="20"/>
            </w:pPr>
            <w:r>
              <w:rPr>
                <w:sz w:val="19"/>
              </w:rPr>
              <w:t>Tables as spreadsheets</w:t>
            </w:r>
          </w:p>
        </w:tc>
        <w:tc>
          <w:tcPr>
            <w:tcW w:type="dxa" w:w="5669"/>
          </w:tcPr>
          <w:p>
            <w:pPr>
              <w:keepNext/>
              <w:spacing w:after="20"/>
            </w:pPr>
            <w:r>
              <w:rPr>
                <w:sz w:val="19"/>
              </w:rPr>
              <w:t>thesis_outputs/tables/*.csv</w:t>
            </w:r>
          </w:p>
        </w:tc>
      </w:tr>
      <w:tr>
        <w:tc>
          <w:tcPr>
            <w:tcW w:type="dxa" w:w="3628"/>
          </w:tcPr>
          <w:p>
            <w:pPr>
              <w:keepNext/>
              <w:spacing w:after="20"/>
            </w:pPr>
            <w:r>
              <w:rPr>
                <w:sz w:val="19"/>
              </w:rPr>
              <w:t>Detailed summary + draft methodology text</w:t>
            </w:r>
          </w:p>
        </w:tc>
        <w:tc>
          <w:tcPr>
            <w:tcW w:type="dxa" w:w="5669"/>
          </w:tcPr>
          <w:p>
            <w:pPr>
              <w:keepNext/>
              <w:spacing w:after="20"/>
            </w:pPr>
            <w:r>
              <w:rPr>
                <w:sz w:val="19"/>
              </w:rPr>
              <w:t>thesis_outputs/RESULTS_SUMMARY.md</w:t>
            </w:r>
          </w:p>
        </w:tc>
      </w:tr>
      <w:tr>
        <w:tc>
          <w:tcPr>
            <w:tcW w:type="dxa" w:w="3628"/>
          </w:tcPr>
          <w:p>
            <w:pPr>
              <w:keepNext/>
              <w:spacing w:after="20"/>
            </w:pPr>
            <w:r>
              <w:rPr>
                <w:sz w:val="19"/>
              </w:rPr>
              <w:t>This guide</w:t>
            </w:r>
          </w:p>
        </w:tc>
        <w:tc>
          <w:tcPr>
            <w:tcW w:type="dxa" w:w="5669"/>
          </w:tcPr>
          <w:p>
            <w:pPr>
              <w:keepNext/>
              <w:spacing w:after="20"/>
            </w:pPr>
            <w:r>
              <w:rPr>
                <w:sz w:val="19"/>
              </w:rPr>
              <w:t>thesis_outputs/THESIS_GUIDE.docx</w:t>
            </w:r>
          </w:p>
        </w:tc>
      </w:tr>
      <w:tr>
        <w:tc>
          <w:tcPr>
            <w:tcW w:type="dxa" w:w="3628"/>
          </w:tcPr>
          <w:p>
            <w:pPr>
              <w:keepNext/>
              <w:spacing w:after="20"/>
            </w:pPr>
            <w:r>
              <w:rPr>
                <w:sz w:val="19"/>
              </w:rPr>
              <w:t>Cleaned dataset</w:t>
            </w:r>
          </w:p>
        </w:tc>
        <w:tc>
          <w:tcPr>
            <w:tcW w:type="dxa" w:w="5669"/>
          </w:tcPr>
          <w:p>
            <w:pPr>
              <w:keepNext/>
              <w:spacing w:after="20"/>
            </w:pPr>
            <w:r>
              <w:rPr>
                <w:sz w:val="19"/>
              </w:rPr>
              <w:t>thesis_outputs/data/curated_dataset.csv</w:t>
            </w:r>
          </w:p>
        </w:tc>
      </w:tr>
      <w:tr>
        <w:tc>
          <w:tcPr>
            <w:tcW w:type="dxa" w:w="3628"/>
          </w:tcPr>
          <w:p>
            <w:pPr>
              <w:keepNext/>
              <w:spacing w:after="20"/>
            </w:pPr>
            <w:r>
              <w:rPr>
                <w:sz w:val="19"/>
              </w:rPr>
              <w:t>Run logs (settings, versions, git commit)</w:t>
            </w:r>
          </w:p>
        </w:tc>
        <w:tc>
          <w:tcPr>
            <w:tcW w:type="dxa" w:w="5669"/>
          </w:tcPr>
          <w:p>
            <w:pPr>
              <w:keepNext/>
              <w:spacing w:after="20"/>
            </w:pPr>
            <w:r>
              <w:rPr>
                <w:sz w:val="19"/>
              </w:rPr>
              <w:t>thesis_outputs/logs/</w:t>
            </w:r>
          </w:p>
        </w:tc>
      </w:tr>
      <w:tr>
        <w:tc>
          <w:tcPr>
            <w:tcW w:type="dxa" w:w="3628"/>
          </w:tcPr>
          <w:p>
            <w:pPr>
              <w:spacing w:after="20"/>
            </w:pPr>
            <w:r>
              <w:rPr>
                <w:sz w:val="19"/>
              </w:rPr>
              <w:t>Re-run everything</w:t>
            </w:r>
          </w:p>
        </w:tc>
        <w:tc>
          <w:tcPr>
            <w:tcW w:type="dxa" w:w="5669"/>
          </w:tcPr>
          <w:p>
            <w:pPr>
              <w:spacing w:after="20"/>
            </w:pPr>
            <w:r>
              <w:rPr>
                <w:sz w:val="19"/>
              </w:rPr>
              <w:t>python -m thesis_analysis.run_all --stage all</w:t>
            </w:r>
          </w:p>
        </w:tc>
      </w:tr>
    </w:tbl>
    <w:p>
      <w:pPr>
        <w:spacing w:after="80" w:line="240" w:lineRule="auto"/>
      </w:pPr>
      <w:r>
        <w:rPr>
          <w:sz w:val="4"/>
        </w:rPr>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