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2E5E99"/>
          <w:sz w:val="44"/>
          <w:szCs w:val="44"/>
        </w:rPr>
        <w:t xml:space="preserve">Eva </w:t>
      </w:r>
      <w:r>
        <w:rPr>
          <w:rFonts w:ascii="Arial" w:cs="Arial" w:eastAsia="Arial" w:hAnsi="Arial"/>
          <w:b/>
          <w:bCs/>
          <w:color w:val="0D2440"/>
          <w:sz w:val="44"/>
          <w:szCs w:val="44"/>
        </w:rPr>
        <w:t xml:space="preserve">AI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4A72A3"/>
          <w:sz w:val="22"/>
          <w:szCs w:val="22"/>
        </w:rPr>
        <w:t xml:space="preserve">Comprehensive Technical Blueprint &amp; Non-Technical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E99" w:sz="24"/>
              <w:bottom w:val="none" w:color="FFFFFF" w:sz="0"/>
              <w:right w:val="none" w:color="FFFFFF" w:sz="0"/>
            </w:tcBorders>
            <w:shd w:fill="F0F5F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E99"/>
                <w:sz w:val="22"/>
                <w:szCs w:val="22"/>
              </w:rPr>
              <w:t xml:space="preserve">Executive Summary &amp; Clinical Scope Statement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D2440"/>
                <w:sz w:val="20"/>
                <w:szCs w:val="20"/>
              </w:rPr>
              <w:t xml:space="preserve">This system helps clinicians and clinical trainees answer questions about adrenal insufficiency identification and management using NICE guideline NG243 and registered supporting official sources. Every retrieved chunk carries structural page-level citations, section titles, and recommendation numbers without automated hallucination.</w:t>
            </w:r>
          </w:p>
        </w:tc>
      </w:tr>
    </w:tbl>
    <w:p>
      <w:pPr>
        <w:spacing w:after="180" w:before="180"/>
      </w:pP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1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1. Non-Technical Executive Overview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1.1 The Clinical Challenge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Adrenal insufficiency (including Primary Addison's Disease and Secondary Adrenal Suppression) is a life-threatening endocrine disorder requiring rapid, highly precise diagnosis, emergency adrenal crisis management, and strict sick-day dosing protocols. Clinicians and trainees face complex, multi-page clinical guidelines (such as NICE NG243, published August 2024), where looking up specific dosage adjustments or diagnostic criteria during clinical rounds can be time-consuming and error-prone.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1.2 What is Eva AI?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Eva AI (Clinical Decision Support Lite) is an advanced Retrieval-Augmented Generation (RAG) platform. Unlike generic AI chatbots that guess or synthesize answers with a risk of clinical hallucinations, Eva AI functions as a zero-hallucination evidence search engine. It ingests official clinical guideline PDFs, strips extraction noise while preserving page numbers, and retrieves the most relevant, un-altered clinical recommendation 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1.3 Core Non-Technical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Traceable Citations: Every answer card displays the document name, exact page number, section title, and recommendation ID (e.g. Rec 1.2.1).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Atomic Recommendation Preservation: Clinical recommendations are never cut mid-sentence or split across chunks.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Bilingual Internationalization: Seamless single-click switching between English and Arabic (dir=rtl) with full medical terms.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Monomorphic Soft UI &amp; Dual Themes: A tactile, extruded 3D design available in Light Mode and Dark Mode for high visual comfort.</w:t>
      </w:r>
    </w:p>
    <w:p>
      <w:r>
        <w:br w:type="page"/>
      </w: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2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2. System Constitution &amp; Governance Principles</w:t>
      </w:r>
      <w:bookmarkEnd w:id="1"/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The architecture enforces six strict constitutional principles to guarantee clinical safety and strict regulatory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Rule &amp; Implementation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I. Evidence Grounded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generation path exists that can bypass retrieval. Answers must be strictly grounded in verified guideline text.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II. Structural Citations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metadata (document, page, section, recommendation) is stored natively inside ChromaDB vector entries, returning in a single call.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III. Source Legitimacy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Fail-closed provenance registry (data/sources.yaml). Unregistered PDFs are rejected immediately prior to parsing.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IV. Scope Discipline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limited to adrenal insufficiency (NICE NG243). Persistent clinical decision-support disclaimers are rendered across UI and API.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V. Staged Delivery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baseline verified via golden-set evaluation before introducing LLM generation (/api/generate returns 501 stub).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VI. Human Verification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Low-scoring chunks are flagged, never silently hidden. Every chunk provides explicit page-number trace-back to the source PDF.</w:t>
            </w:r>
          </w:p>
        </w:tc>
      </w:tr>
    </w:tbl>
    <w:p>
      <w:pPr>
        <w:spacing w:after="180" w:before="180"/>
      </w:pP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3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3. System Architecture &amp; Component Topology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3.1 Topology &amp; Runtime Processes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The platform is designed as a monolithic repository with clean internal component boundaries: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Development Mode: Two concurrent processes — FastAPI backend running on port 8000 and Next.js 15 App Router running on port 3000 (with dev proxy rewrites for /api/*).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Mode: Single deployable artifact where FastAPI serves the static frontend build export (frontend/out) via StaticFiles.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Seams: Ingestion, Retrieval, and Embedding layers are behind explicit Python Protocols (retrieval/base.py &amp; embeddings/base.py) allowing seamless Day 2 swap for hybrid search or cross-encoder rerankers.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3.2 Technology Stack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Selected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Rationale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 (Python 3.13)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performance async framework, automatic Pydantic v2 OpenAPI schema generation.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Persistent Client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external server dependency; stores scalar citation metadata natively on vector entries.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Embedding 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(text-embedding-3-small)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1536-dimensional embeddings, cost-efficient, single API key infrastructure.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(React 19, TypeScript)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Tailwind CSS, Monomorphic Soft-UI design, bilingual English/Arabic RTL.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4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4. RAG Ingestion Pipeline &amp; Algorithmic Mechanics</w:t>
      </w:r>
      <w:bookmarkEnd w:id="1"/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The ingestion pipeline converts multi-page clinical guideline PDFs into section-aware, citation-ready vector entries without losing clinical context. Below is the multi-stage transformation sequence: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4.1 Ingestion Pipeline Stages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Fail-Closed Registry Check: Validates every PDF in data/corpus/ against data/sources.yaml. Unregistered PDFs immediately abort ingestion (Exit code 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PyMuPDF Span Extraction: PyMuPDF (fitz) extracts text spans while preserving font size, font weight, and 1-indexed source PDF page numbers.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Frequency-Based Cleaning: Lines appearing on &gt;60% of pages (running footers, copyright notices) are automatically purged as boilerplate. Bullet glyphs and line-break hyphenations are repaired.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Hierarchy Detection: Detects N.N major sections (e.g. 1.2 Initial identification) and N.N.N recommendation numbers (e.g. 1.2.1).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Atomic Recommendation Packing: Treat each numbered recommendation as an ATOMIC unit that is never split across chunks. Consecutive sibling recommendations are packed into token budgets of 400–800 tokens (tiktoken cl100k_base). Oversized atomic recommendations are emitted whole and flagged.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Batched Vector Embeddings: Generates 1536-dim embeddings via OpenRouter in batches of 100 with exponential backoff retries.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Atomic Collection Swap: Updates ChromaDB collection atomically and writes manifest.json recording the embedding model, dimensions, build time, and document stats.</w:t>
      </w:r>
    </w:p>
    <w:p>
      <w:pPr>
        <w:spacing w:after="180" w:before="180"/>
      </w:pP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5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5. Eva AI Visual System &amp; User Experience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5.1 Monomorphic Soft-UI (Neumorphic Dark/Light)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Eva AI introduces a custom Monomorphic Design System. Elements appear sculpted directly out of a single continuous canvas (#0D2440 in Dark Mode, #F0F5FA in Light Mode) using dual offset drop-shadows and debossed inner tracks.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5.2 Internationalization &amp; Bilingual Arabic Support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The platform provides full bilingual English and Arabic support: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Single-Click Language Toggle: Instant switching between English and Arabic (العربية).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RTL Directionality: Full dir=rtl layout adaptations, font switching to Google Tajawal &amp; Cairo for Arabic typography.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Bilingual Translations: Complete medical terminology translation dictionary (translations.ts).</w:t>
      </w:r>
    </w:p>
    <w:p>
      <w:r>
        <w:br w:type="page"/>
      </w: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6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6. CLI Interface &amp; API Specifications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6.1 Command Line Interface (backend.app.cli)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ingest [--dry-run] [--doc-id DOC] [--verbose]: Rebuild vector index from data/corpus/.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"question" [--top-k K] [--json] [--full-text]: Execute retrieval query from shell.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 [--top-k K] [--json]: Execute golden question retrieval test suite.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6.2 Exit Codes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Code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Meaning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Ingestion completed / Golden evaluation hit rate &gt;= 80%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Unregistered PDF present in corpus directory (FR-002)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has no extractable text layer (scanned PDF)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sections detected in a guideline document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provider failure after exponential backoff retries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99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error (missing API key or invalid directory paths)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6.3 REST API Endpoint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/api/health: Returns 200 OK with server status and index_ready boolean.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/api/search: Accepts { query: string, top_k: int }, returns SearchResponse with ranked RetrievalResults, latency_ms, and disclaimer.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/api/index: Returns IndexManifest metadata and document/chunk 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/api/sources: Returns all registered SourceDocuments with credibility justifications.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/api/generate: Returns 501 Not Implemented stub (Constitution Principle V).</w:t>
      </w:r>
    </w:p>
    <w:p>
      <w:pPr>
        <w:spacing w:after="180" w:before="180"/>
      </w:pP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7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7. Quality Evaluation &amp; Validation Framework</w:t>
      </w:r>
      <w:bookmarkEnd w:id="1"/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Retrieval quality is benchmarked against a golden clinical question dataset (backend/tests/eval/golden_questions.yaml) containing 10+ clinical queries over NICE NG243 sections 1.1 through 1.8.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E99" w:sz="24"/>
              <w:bottom w:val="none" w:color="FFFFFF" w:sz="0"/>
              <w:right w:val="none" w:color="FFFFFF" w:sz="0"/>
            </w:tcBorders>
            <w:shd w:fill="F0F5F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E99"/>
                <w:sz w:val="22"/>
                <w:szCs w:val="22"/>
              </w:rPr>
              <w:t xml:space="preserve">Quality Metric &amp; Benchmark Goal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D2440"/>
                <w:sz w:val="20"/>
                <w:szCs w:val="20"/>
              </w:rPr>
              <w:t xml:space="preserve">Target: Hit-rate &gt;= 80% (at least 8 out of 10 clinical questions retrieve their expected guideline section within top-5 results). Evaluated automatically via pytest backend/tests/eval/.</w:t>
            </w:r>
          </w:p>
        </w:tc>
      </w:tr>
    </w:tbl>
    <w:p>
      <w:pPr>
        <w:spacing w:after="180" w:before="180"/>
      </w:pPr>
    </w:p>
    <w:p>
      <w:pPr>
        <w:pStyle w:val="Heading1"/>
        <w:pBdr>
          <w:bottom w:val="single" w:color="2E5E99" w:sz="8" w:space="4"/>
        </w:pBdr>
        <w:spacing w:after="180" w:before="360"/>
      </w:pPr>
      <w:bookmarkStart w:name="sec8" w:id="1"/>
      <w:r>
        <w:rPr>
          <w:rFonts w:ascii="Arial" w:cs="Arial" w:eastAsia="Arial" w:hAnsi="Arial"/>
          <w:b/>
          <w:bCs/>
          <w:color w:val="0D2440"/>
          <w:sz w:val="28"/>
          <w:szCs w:val="28"/>
        </w:rPr>
        <w:t xml:space="preserve">8. Operations &amp; Quickstart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8.1 One-Click Windows Launch (start.bat)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0D2440"/>
          <w:sz w:val="22"/>
          <w:szCs w:val="22"/>
        </w:rPr>
        <w:t xml:space="preserve">Run start.bat from the repository root to automatically set up virtual environments, install dependencies, copy .env defaults, and launch both FastAPI (:8000) and Next.js (:3000) concurrently.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99"/>
          <w:sz w:val="24"/>
          <w:szCs w:val="24"/>
        </w:rPr>
        <w:t xml:space="preserve">8.2 Manual Startup Commands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python -m venv .venv &amp;&amp; .venv\Scripts\activate &amp;&amp; pip install -r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cd frontend &amp;&amp; npm install &amp;&amp; cd ..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python -m backend.app.cli ingest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uvicorn backend.app.main:app --reload --port 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cd frontend &amp;&amp; npm run dev</w:t>
      </w:r>
    </w:p>
    <w:p>
      <w:pPr>
        <w:spacing w:after="180" w:before="360"/>
      </w:pPr>
    </w:p>
    <w:p>
      <w:pPr>
        <w:jc w:val="center"/>
      </w:pPr>
      <w:r>
        <w:rPr>
          <w:rFonts w:ascii="Arial" w:cs="Arial" w:eastAsia="Arial" w:hAnsi="Arial"/>
          <w:color w:val="4A72A3"/>
          <w:sz w:val="20"/>
          <w:szCs w:val="20"/>
        </w:rPr>
        <w:t xml:space="preserve">— End of System Specification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D6EC" w:sz="4" w:space="4"/>
      </w:pBdr>
      <w:tabs>
        <w:tab w:val="right" w:pos="9360"/>
      </w:tabs>
    </w:pPr>
    <w:r>
      <w:rPr>
        <w:rFonts w:ascii="Arial" w:cs="Arial" w:eastAsia="Arial" w:hAnsi="Arial"/>
        <w:color w:val="4A72A3"/>
        <w:sz w:val="18"/>
        <w:szCs w:val="18"/>
      </w:rPr>
      <w:t xml:space="preserve">Confidential · Evidence-Grounded RAG System</w:t>
    </w:r>
    <w:r>
      <w:rPr>
        <w:rFonts w:ascii="Arial" w:cs="Arial" w:eastAsia="Arial" w:hAnsi="Arial"/>
        <w:color w:val="4A72A3"/>
        <w:sz w:val="18"/>
        <w:szCs w:val="18"/>
      </w:rPr>
      <w:t xml:space="preserve">	Page </w:t>
    </w:r>
    <w:r>
      <w:rPr>
        <w:rFonts w:ascii="Arial" w:cs="Arial" w:eastAsia="Arial" w:hAnsi="Arial"/>
        <w:b/>
        <w:bCs/>
        <w:color w:val="2E5E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72A3"/>
        <w:sz w:val="18"/>
        <w:szCs w:val="18"/>
      </w:rPr>
      <w:t xml:space="preserve"> of </w:t>
    </w:r>
    <w:r>
      <w:rPr>
        <w:rFonts w:ascii="Arial" w:cs="Arial" w:eastAsia="Arial" w:hAnsi="Arial"/>
        <w:color w:val="4A72A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A4D0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5E99"/>
        <w:sz w:val="18"/>
        <w:szCs w:val="18"/>
      </w:rPr>
      <w:t xml:space="preserve">Eva AI — Clinical Decision Support</w:t>
    </w:r>
    <w:r>
      <w:rPr>
        <w:rFonts w:ascii="Arial" w:cs="Arial" w:eastAsia="Arial" w:hAnsi="Arial"/>
        <w:color w:val="4A72A3"/>
        <w:sz w:val="18"/>
        <w:szCs w:val="18"/>
      </w:rPr>
      <w:t xml:space="preserve">	System Documentation &amp;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4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4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24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2026-08-17T07:39:37.932Z</dcterms:created>
  <dcterms:modified xsi:type="dcterms:W3CDTF">2026-08-17T07:39:37.934Z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