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115050" cy="1562100"/>
            <wp:effectExtent t="0" r="0" b="0" l="0"/>
            <wp:docPr id="1" name="logos" descr="Modern University for Technology and Information and Faculty of Computers and Artificial Intelligence logos" title="University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1562100"/>
                    </a:xfrm>
                    <a:prstGeom prst="rect">
                      <a:avLst/>
                    </a:prstGeom>
                  </pic:spPr>
                </pic:pic>
              </a:graphicData>
            </a:graphic>
          </wp:inline>
        </w:drawing>
      </w:r>
    </w:p>
    <w:p>
      <w:pPr>
        <w:spacing w:after="280" w:before="1900"/>
        <w:ind w:left="500"/>
      </w:pPr>
      <w:r>
        <w:rPr>
          <w:b/>
          <w:bCs/>
          <w:sz w:val="28"/>
          <w:szCs w:val="28"/>
        </w:rPr>
        <w:t xml:space="preserve">Course Name : Software Engineering</w:t>
      </w:r>
    </w:p>
    <w:p>
      <w:pPr>
        <w:spacing w:after="280" w:before="0"/>
        <w:ind w:left="500"/>
      </w:pPr>
      <w:r>
        <w:rPr>
          <w:b/>
          <w:bCs/>
          <w:sz w:val="28"/>
          <w:szCs w:val="28"/>
        </w:rPr>
        <w:t xml:space="preserve">Project Title : Employee Management System</w:t>
      </w:r>
    </w:p>
    <w:p>
      <w:pPr>
        <w:spacing w:after="200" w:before="120"/>
        <w:jc w:val="center"/>
      </w:pPr>
      <w:r>
        <w:rPr>
          <w:sz w:val="32"/>
          <w:szCs w:val="32"/>
          <w:u w:val="single"/>
        </w:rPr>
        <w:t xml:space="preserve">Team Members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38"/>
        <w:gridCol w:w="1900"/>
        <w:gridCol w:w="1900"/>
      </w:tblGrid>
      <w:tr>
        <w:tc>
          <w:tcPr>
            <w:tcW w:type="dxa" w:w="600"/>
            <w:tcBorders>
              <w:top w:val="single" w:color="000000" w:sz="6"/>
              <w:left w:val="single" w:color="000000" w:sz="6"/>
              <w:bottom w:val="single" w:color="000000" w:sz="6"/>
              <w:right w:val="single" w:color="000000" w:sz="6"/>
            </w:tcBorders>
            <w:shd w:fill="D9D9D9" w:color="auto" w:val="clear"/>
            <w:tcMar>
              <w:top w:type="dxa" w:w="90"/>
              <w:left w:type="dxa" w:w="110"/>
              <w:bottom w:type="dxa" w:w="90"/>
              <w:right w:type="dxa" w:w="110"/>
            </w:tcMar>
            <w:vAlign w:val="center"/>
          </w:tcPr>
          <w:p>
            <w:pPr>
              <w:spacing w:after="0"/>
              <w:jc w:val="left"/>
            </w:pPr>
            <w:r>
              <w:rPr>
                <w:sz w:val="28"/>
                <w:szCs w:val="28"/>
              </w:rPr>
              <w:t xml:space="preserve"/>
            </w:r>
          </w:p>
        </w:tc>
        <w:tc>
          <w:tcPr>
            <w:tcW w:type="dxa" w:w="5238"/>
            <w:tcBorders>
              <w:top w:val="single" w:color="000000" w:sz="6"/>
              <w:left w:val="single" w:color="000000" w:sz="6"/>
              <w:bottom w:val="single" w:color="000000" w:sz="6"/>
              <w:right w:val="single" w:color="000000" w:sz="6"/>
            </w:tcBorders>
            <w:shd w:fill="D9D9D9" w:color="auto" w:val="clear"/>
            <w:tcMar>
              <w:top w:type="dxa" w:w="90"/>
              <w:left w:type="dxa" w:w="110"/>
              <w:bottom w:type="dxa" w:w="90"/>
              <w:right w:type="dxa" w:w="110"/>
            </w:tcMar>
            <w:vAlign w:val="center"/>
          </w:tcPr>
          <w:p>
            <w:pPr>
              <w:spacing w:after="0"/>
              <w:jc w:val="center"/>
            </w:pPr>
            <w:r>
              <w:rPr>
                <w:b/>
                <w:bCs/>
                <w:sz w:val="28"/>
                <w:szCs w:val="28"/>
                <w:u w:val="single"/>
              </w:rPr>
              <w:t xml:space="preserve">Name</w:t>
            </w:r>
          </w:p>
        </w:tc>
        <w:tc>
          <w:tcPr>
            <w:tcW w:type="dxa" w:w="1900"/>
            <w:tcBorders>
              <w:top w:val="single" w:color="000000" w:sz="6"/>
              <w:left w:val="single" w:color="000000" w:sz="6"/>
              <w:bottom w:val="single" w:color="000000" w:sz="6"/>
              <w:right w:val="single" w:color="000000" w:sz="6"/>
            </w:tcBorders>
            <w:shd w:fill="D9D9D9" w:color="auto" w:val="clear"/>
            <w:tcMar>
              <w:top w:type="dxa" w:w="90"/>
              <w:left w:type="dxa" w:w="110"/>
              <w:bottom w:type="dxa" w:w="90"/>
              <w:right w:type="dxa" w:w="110"/>
            </w:tcMar>
            <w:vAlign w:val="center"/>
          </w:tcPr>
          <w:p>
            <w:pPr>
              <w:spacing w:after="0"/>
              <w:jc w:val="center"/>
            </w:pPr>
            <w:r>
              <w:rPr>
                <w:b/>
                <w:bCs/>
                <w:sz w:val="28"/>
                <w:szCs w:val="28"/>
                <w:u w:val="single"/>
              </w:rPr>
              <w:t xml:space="preserve">Group</w:t>
            </w:r>
          </w:p>
        </w:tc>
        <w:tc>
          <w:tcPr>
            <w:tcW w:type="dxa" w:w="1900"/>
            <w:tcBorders>
              <w:top w:val="single" w:color="000000" w:sz="6"/>
              <w:left w:val="single" w:color="000000" w:sz="6"/>
              <w:bottom w:val="single" w:color="000000" w:sz="6"/>
              <w:right w:val="single" w:color="000000" w:sz="6"/>
            </w:tcBorders>
            <w:shd w:fill="D9D9D9" w:color="auto" w:val="clear"/>
            <w:tcMar>
              <w:top w:type="dxa" w:w="90"/>
              <w:left w:type="dxa" w:w="110"/>
              <w:bottom w:type="dxa" w:w="90"/>
              <w:right w:type="dxa" w:w="110"/>
            </w:tcMar>
            <w:vAlign w:val="center"/>
          </w:tcPr>
          <w:p>
            <w:pPr>
              <w:spacing w:after="0"/>
              <w:jc w:val="center"/>
            </w:pPr>
            <w:r>
              <w:rPr>
                <w:b/>
                <w:bCs/>
                <w:sz w:val="28"/>
                <w:szCs w:val="28"/>
                <w:u w:val="single"/>
              </w:rPr>
              <w:t xml:space="preserve">Id</w:t>
            </w:r>
          </w:p>
        </w:tc>
      </w:tr>
      <w:tr>
        <w:tc>
          <w:tcPr>
            <w:tcW w:type="dxa" w:w="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b/>
                <w:bCs/>
                <w:sz w:val="28"/>
                <w:szCs w:val="28"/>
              </w:rPr>
              <w:t xml:space="preserve">1</w:t>
            </w:r>
          </w:p>
        </w:tc>
        <w:tc>
          <w:tcPr>
            <w:tcW w:type="dxa" w:w="5238"/>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sz w:val="28"/>
                <w:szCs w:val="28"/>
              </w:rPr>
              <w:t xml:space="preserve">Ibrahim Abdelsattar Abdelsattar</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G1</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107061</w:t>
            </w:r>
          </w:p>
        </w:tc>
      </w:tr>
      <w:tr>
        <w:tc>
          <w:tcPr>
            <w:tcW w:type="dxa" w:w="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b/>
                <w:bCs/>
                <w:sz w:val="28"/>
                <w:szCs w:val="28"/>
              </w:rPr>
              <w:t xml:space="preserve">2</w:t>
            </w:r>
          </w:p>
        </w:tc>
        <w:tc>
          <w:tcPr>
            <w:tcW w:type="dxa" w:w="5238"/>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sz w:val="28"/>
                <w:szCs w:val="28"/>
              </w:rPr>
              <w:t xml:space="preserve">Ahmed Zayed Kamel Mohammed</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G1</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105893</w:t>
            </w:r>
          </w:p>
        </w:tc>
      </w:tr>
      <w:tr>
        <w:tc>
          <w:tcPr>
            <w:tcW w:type="dxa" w:w="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b/>
                <w:bCs/>
                <w:sz w:val="28"/>
                <w:szCs w:val="28"/>
              </w:rPr>
              <w:t xml:space="preserve">3</w:t>
            </w:r>
          </w:p>
        </w:tc>
        <w:tc>
          <w:tcPr>
            <w:tcW w:type="dxa" w:w="5238"/>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sz w:val="28"/>
                <w:szCs w:val="28"/>
              </w:rPr>
              <w:t xml:space="preserve">Esraa Hussein Abdelrazek</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G1</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106788</w:t>
            </w:r>
          </w:p>
        </w:tc>
      </w:tr>
      <w:tr>
        <w:tc>
          <w:tcPr>
            <w:tcW w:type="dxa" w:w="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b/>
                <w:bCs/>
                <w:sz w:val="28"/>
                <w:szCs w:val="28"/>
              </w:rPr>
              <w:t xml:space="preserve">4</w:t>
            </w:r>
          </w:p>
        </w:tc>
        <w:tc>
          <w:tcPr>
            <w:tcW w:type="dxa" w:w="5238"/>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sz w:val="28"/>
                <w:szCs w:val="28"/>
              </w:rPr>
              <w:t xml:space="preserve">Ahmed Tamer Elhanafy</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G1</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105252</w:t>
            </w:r>
          </w:p>
        </w:tc>
      </w:tr>
      <w:tr>
        <w:tc>
          <w:tcPr>
            <w:tcW w:type="dxa" w:w="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b/>
                <w:bCs/>
                <w:sz w:val="28"/>
                <w:szCs w:val="28"/>
              </w:rPr>
              <w:t xml:space="preserve">5</w:t>
            </w:r>
          </w:p>
        </w:tc>
        <w:tc>
          <w:tcPr>
            <w:tcW w:type="dxa" w:w="5238"/>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left"/>
            </w:pPr>
            <w:r>
              <w:rPr>
                <w:sz w:val="28"/>
                <w:szCs w:val="28"/>
              </w:rPr>
              <w:t xml:space="preserve">Ahmed Mohamed Ahmed</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G1</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spacing w:after="0"/>
              <w:jc w:val="center"/>
            </w:pPr>
            <w:r>
              <w:rPr>
                <w:sz w:val="28"/>
                <w:szCs w:val="28"/>
              </w:rPr>
              <w:t xml:space="preserve">107276</w:t>
            </w:r>
          </w:p>
        </w:tc>
      </w:tr>
    </w:tbl>
    <w:p>
      <w:pPr>
        <w:spacing w:after="240" w:before="500"/>
        <w:ind w:left="500"/>
      </w:pPr>
      <w:r>
        <w:rPr>
          <w:b/>
          <w:bCs/>
          <w:sz w:val="28"/>
          <w:szCs w:val="28"/>
        </w:rPr>
        <w:t xml:space="preserve">Dr. Hesham Eldeeb</w:t>
      </w:r>
    </w:p>
    <w:p>
      <w:pPr>
        <w:spacing w:after="240" w:before="0"/>
        <w:ind w:left="500"/>
      </w:pPr>
      <w:r>
        <w:rPr>
          <w:b/>
          <w:bCs/>
          <w:sz w:val="28"/>
          <w:szCs w:val="28"/>
        </w:rPr>
        <w:t xml:space="preserve">T.A. Abeer Raafat</w:t>
      </w:r>
    </w:p>
    <w:p>
      <w:pPr>
        <w:spacing w:after="240" w:before="0"/>
        <w:ind w:left="500"/>
      </w:pPr>
      <w:r>
        <w:rPr>
          <w:b/>
          <w:bCs/>
          <w:sz w:val="28"/>
          <w:szCs w:val="28"/>
        </w:rPr>
        <w:t xml:space="preserve">T.A. Rahma Mohamed</w:t>
      </w:r>
    </w:p>
    <w:p>
      <w:pPr>
        <w:sectPr>
          <w:pgSz w:w="11906" w:h="16838" w:orient="portrait"/>
          <w:pgMar w:top="1134" w:right="1134" w:bottom="1134" w:left="1134" w:header="567" w:footer="567" w:gutter="0"/>
          <w:pgNumType/>
          <w:docGrid w:linePitch="360"/>
        </w:sectPr>
      </w:pPr>
    </w:p>
    <w:p>
      <w:pPr>
        <w:pStyle w:val="TOCTitle"/>
      </w:pPr>
      <w:r>
        <w:t xml:space="preserve">Table of Contents</w:t>
      </w:r>
    </w:p>
    <w:p>
      <w:pPr>
        <w:pStyle w:val="TOC1"/>
        <w:tabs>
          <w:tab w:val="right" w:leader="dot" w:pos="9638"/>
        </w:tabs>
      </w:pPr>
      <w:r>
        <w:fldChar w:fldCharType="begin"/>
      </w:r>
      <w:r>
        <w:instrText xml:space="preserve"> TOC \o "1-2" \h \z \u </w:instrText>
      </w:r>
      <w:r>
        <w:fldChar w:fldCharType="separate"/>
      </w:r>
      <w:hyperlink w:anchor="_Toc001" w:history="1">
        <w:r>
          <w:t xml:space="preserve">1. Project Overview</w:t>
        </w:r>
        <w:r>
          <w:tab/>
        </w:r>
        <w:r>
          <w:fldChar w:fldCharType="begin"/>
        </w:r>
        <w:r>
          <w:instrText xml:space="preserve"> PAGEREF _Toc001 \h </w:instrText>
        </w:r>
        <w:r>
          <w:fldChar w:fldCharType="separate"/>
        </w:r>
        <w:r>
          <w:t>3</w:t>
        </w:r>
        <w:r>
          <w:fldChar w:fldCharType="end"/>
        </w:r>
      </w:hyperlink>
    </w:p>
    <w:p>
      <w:pPr>
        <w:pStyle w:val="TOC2"/>
        <w:tabs>
          <w:tab w:val="right" w:leader="dot" w:pos="9638"/>
        </w:tabs>
      </w:pPr>
      <w:hyperlink w:anchor="_Toc002" w:history="1">
        <w:r>
          <w:t xml:space="preserve">1.1 Executive Summary</w:t>
        </w:r>
        <w:r>
          <w:tab/>
        </w:r>
        <w:r>
          <w:fldChar w:fldCharType="begin"/>
        </w:r>
        <w:r>
          <w:instrText xml:space="preserve"> PAGEREF _Toc002 \h </w:instrText>
        </w:r>
        <w:r>
          <w:fldChar w:fldCharType="separate"/>
        </w:r>
        <w:r>
          <w:t>3</w:t>
        </w:r>
        <w:r>
          <w:fldChar w:fldCharType="end"/>
        </w:r>
      </w:hyperlink>
    </w:p>
    <w:p>
      <w:pPr>
        <w:pStyle w:val="TOC2"/>
        <w:tabs>
          <w:tab w:val="right" w:leader="dot" w:pos="9638"/>
        </w:tabs>
      </w:pPr>
      <w:hyperlink w:anchor="_Toc003" w:history="1">
        <w:r>
          <w:t xml:space="preserve">1.2 Key Platform Characteristics</w:t>
        </w:r>
        <w:r>
          <w:tab/>
        </w:r>
        <w:r>
          <w:fldChar w:fldCharType="begin"/>
        </w:r>
        <w:r>
          <w:instrText xml:space="preserve"> PAGEREF _Toc003 \h </w:instrText>
        </w:r>
        <w:r>
          <w:fldChar w:fldCharType="separate"/>
        </w:r>
        <w:r>
          <w:t>3</w:t>
        </w:r>
        <w:r>
          <w:fldChar w:fldCharType="end"/>
        </w:r>
      </w:hyperlink>
    </w:p>
    <w:p>
      <w:pPr>
        <w:pStyle w:val="TOC2"/>
        <w:tabs>
          <w:tab w:val="right" w:leader="dot" w:pos="9638"/>
        </w:tabs>
      </w:pPr>
      <w:hyperlink w:anchor="_Toc004" w:history="1">
        <w:r>
          <w:t xml:space="preserve">1.3 Project Identity and Baseline Specifications</w:t>
        </w:r>
        <w:r>
          <w:tab/>
        </w:r>
        <w:r>
          <w:fldChar w:fldCharType="begin"/>
        </w:r>
        <w:r>
          <w:instrText xml:space="preserve"> PAGEREF _Toc004 \h </w:instrText>
        </w:r>
        <w:r>
          <w:fldChar w:fldCharType="separate"/>
        </w:r>
        <w:r>
          <w:t>3</w:t>
        </w:r>
        <w:r>
          <w:fldChar w:fldCharType="end"/>
        </w:r>
      </w:hyperlink>
    </w:p>
    <w:p>
      <w:pPr>
        <w:pStyle w:val="TOC1"/>
        <w:tabs>
          <w:tab w:val="right" w:leader="dot" w:pos="9638"/>
        </w:tabs>
      </w:pPr>
      <w:hyperlink w:anchor="_Toc005" w:history="1">
        <w:r>
          <w:t xml:space="preserve">2. System Architecture</w:t>
        </w:r>
        <w:r>
          <w:tab/>
        </w:r>
        <w:r>
          <w:fldChar w:fldCharType="begin"/>
        </w:r>
        <w:r>
          <w:instrText xml:space="preserve"> PAGEREF _Toc005 \h </w:instrText>
        </w:r>
        <w:r>
          <w:fldChar w:fldCharType="separate"/>
        </w:r>
        <w:r>
          <w:t>4</w:t>
        </w:r>
        <w:r>
          <w:fldChar w:fldCharType="end"/>
        </w:r>
      </w:hyperlink>
    </w:p>
    <w:p>
      <w:pPr>
        <w:pStyle w:val="TOC2"/>
        <w:tabs>
          <w:tab w:val="right" w:leader="dot" w:pos="9638"/>
        </w:tabs>
      </w:pPr>
      <w:hyperlink w:anchor="_Toc006" w:history="1">
        <w:r>
          <w:t xml:space="preserve">2.1 Five-Layer Clean Architecture</w:t>
        </w:r>
        <w:r>
          <w:tab/>
        </w:r>
        <w:r>
          <w:fldChar w:fldCharType="begin"/>
        </w:r>
        <w:r>
          <w:instrText xml:space="preserve"> PAGEREF _Toc006 \h </w:instrText>
        </w:r>
        <w:r>
          <w:fldChar w:fldCharType="separate"/>
        </w:r>
        <w:r>
          <w:t>4</w:t>
        </w:r>
        <w:r>
          <w:fldChar w:fldCharType="end"/>
        </w:r>
      </w:hyperlink>
    </w:p>
    <w:p>
      <w:pPr>
        <w:pStyle w:val="TOC2"/>
        <w:tabs>
          <w:tab w:val="right" w:leader="dot" w:pos="9638"/>
        </w:tabs>
      </w:pPr>
      <w:hyperlink w:anchor="_Toc007" w:history="1">
        <w:r>
          <w:t xml:space="preserve">2.2 Component and Layer Diagram</w:t>
        </w:r>
        <w:r>
          <w:tab/>
        </w:r>
        <w:r>
          <w:fldChar w:fldCharType="begin"/>
        </w:r>
        <w:r>
          <w:instrText xml:space="preserve"> PAGEREF _Toc007 \h </w:instrText>
        </w:r>
        <w:r>
          <w:fldChar w:fldCharType="separate"/>
        </w:r>
        <w:r>
          <w:t>4</w:t>
        </w:r>
        <w:r>
          <w:fldChar w:fldCharType="end"/>
        </w:r>
      </w:hyperlink>
    </w:p>
    <w:p>
      <w:pPr>
        <w:pStyle w:val="TOC1"/>
        <w:tabs>
          <w:tab w:val="right" w:leader="dot" w:pos="9638"/>
        </w:tabs>
      </w:pPr>
      <w:hyperlink w:anchor="_Toc008" w:history="1">
        <w:r>
          <w:t xml:space="preserve">3. Functional Modules</w:t>
        </w:r>
        <w:r>
          <w:tab/>
        </w:r>
        <w:r>
          <w:fldChar w:fldCharType="begin"/>
        </w:r>
        <w:r>
          <w:instrText xml:space="preserve"> PAGEREF _Toc008 \h </w:instrText>
        </w:r>
        <w:r>
          <w:fldChar w:fldCharType="separate"/>
        </w:r>
        <w:r>
          <w:t>5</w:t>
        </w:r>
        <w:r>
          <w:fldChar w:fldCharType="end"/>
        </w:r>
      </w:hyperlink>
    </w:p>
    <w:p>
      <w:pPr>
        <w:pStyle w:val="TOC1"/>
        <w:tabs>
          <w:tab w:val="right" w:leader="dot" w:pos="9638"/>
        </w:tabs>
      </w:pPr>
      <w:hyperlink w:anchor="_Toc009" w:history="1">
        <w:r>
          <w:t xml:space="preserve">4. Security and Access Control</w:t>
        </w:r>
        <w:r>
          <w:tab/>
        </w:r>
        <w:r>
          <w:fldChar w:fldCharType="begin"/>
        </w:r>
        <w:r>
          <w:instrText xml:space="preserve"> PAGEREF _Toc009 \h </w:instrText>
        </w:r>
        <w:r>
          <w:fldChar w:fldCharType="separate"/>
        </w:r>
        <w:r>
          <w:t>6</w:t>
        </w:r>
        <w:r>
          <w:fldChar w:fldCharType="end"/>
        </w:r>
      </w:hyperlink>
    </w:p>
    <w:p>
      <w:pPr>
        <w:pStyle w:val="TOC2"/>
        <w:tabs>
          <w:tab w:val="right" w:leader="dot" w:pos="9638"/>
        </w:tabs>
      </w:pPr>
      <w:hyperlink w:anchor="_Toc010" w:history="1">
        <w:r>
          <w:t xml:space="preserve">4.1 Role-Based Access Control and Role Personas</w:t>
        </w:r>
        <w:r>
          <w:tab/>
        </w:r>
        <w:r>
          <w:fldChar w:fldCharType="begin"/>
        </w:r>
        <w:r>
          <w:instrText xml:space="preserve"> PAGEREF _Toc010 \h </w:instrText>
        </w:r>
        <w:r>
          <w:fldChar w:fldCharType="separate"/>
        </w:r>
        <w:r>
          <w:t>6</w:t>
        </w:r>
        <w:r>
          <w:fldChar w:fldCharType="end"/>
        </w:r>
      </w:hyperlink>
    </w:p>
    <w:p>
      <w:pPr>
        <w:pStyle w:val="TOC2"/>
        <w:tabs>
          <w:tab w:val="right" w:leader="dot" w:pos="9638"/>
        </w:tabs>
      </w:pPr>
      <w:hyperlink w:anchor="_Toc011" w:history="1">
        <w:r>
          <w:t xml:space="preserve">4.2 Server-Side Security and Confidentiality Guarantees</w:t>
        </w:r>
        <w:r>
          <w:tab/>
        </w:r>
        <w:r>
          <w:fldChar w:fldCharType="begin"/>
        </w:r>
        <w:r>
          <w:instrText xml:space="preserve"> PAGEREF _Toc011 \h </w:instrText>
        </w:r>
        <w:r>
          <w:fldChar w:fldCharType="separate"/>
        </w:r>
        <w:r>
          <w:t>6</w:t>
        </w:r>
        <w:r>
          <w:fldChar w:fldCharType="end"/>
        </w:r>
      </w:hyperlink>
    </w:p>
    <w:p>
      <w:pPr>
        <w:pStyle w:val="TOC1"/>
        <w:tabs>
          <w:tab w:val="right" w:leader="dot" w:pos="9638"/>
        </w:tabs>
      </w:pPr>
      <w:hyperlink w:anchor="_Toc012" w:history="1">
        <w:r>
          <w:t xml:space="preserve">5. Static Models</w:t>
        </w:r>
        <w:r>
          <w:tab/>
        </w:r>
        <w:r>
          <w:fldChar w:fldCharType="begin"/>
        </w:r>
        <w:r>
          <w:instrText xml:space="preserve"> PAGEREF _Toc012 \h </w:instrText>
        </w:r>
        <w:r>
          <w:fldChar w:fldCharType="separate"/>
        </w:r>
        <w:r>
          <w:t>7</w:t>
        </w:r>
        <w:r>
          <w:fldChar w:fldCharType="end"/>
        </w:r>
      </w:hyperlink>
    </w:p>
    <w:p>
      <w:pPr>
        <w:pStyle w:val="TOC2"/>
        <w:tabs>
          <w:tab w:val="right" w:leader="dot" w:pos="9638"/>
        </w:tabs>
      </w:pPr>
      <w:hyperlink w:anchor="_Toc013" w:history="1">
        <w:r>
          <w:t xml:space="preserve">5.1 Use Case Diagram</w:t>
        </w:r>
        <w:r>
          <w:tab/>
        </w:r>
        <w:r>
          <w:fldChar w:fldCharType="begin"/>
        </w:r>
        <w:r>
          <w:instrText xml:space="preserve"> PAGEREF _Toc013 \h </w:instrText>
        </w:r>
        <w:r>
          <w:fldChar w:fldCharType="separate"/>
        </w:r>
        <w:r>
          <w:t>7</w:t>
        </w:r>
        <w:r>
          <w:fldChar w:fldCharType="end"/>
        </w:r>
      </w:hyperlink>
    </w:p>
    <w:p>
      <w:pPr>
        <w:pStyle w:val="TOC2"/>
        <w:tabs>
          <w:tab w:val="right" w:leader="dot" w:pos="9638"/>
        </w:tabs>
      </w:pPr>
      <w:hyperlink w:anchor="_Toc014" w:history="1">
        <w:r>
          <w:t xml:space="preserve">5.2 Domain Class Diagram</w:t>
        </w:r>
        <w:r>
          <w:tab/>
        </w:r>
        <w:r>
          <w:fldChar w:fldCharType="begin"/>
        </w:r>
        <w:r>
          <w:instrText xml:space="preserve"> PAGEREF _Toc014 \h </w:instrText>
        </w:r>
        <w:r>
          <w:fldChar w:fldCharType="separate"/>
        </w:r>
        <w:r>
          <w:t>8</w:t>
        </w:r>
        <w:r>
          <w:fldChar w:fldCharType="end"/>
        </w:r>
      </w:hyperlink>
    </w:p>
    <w:p>
      <w:pPr>
        <w:pStyle w:val="TOC2"/>
        <w:tabs>
          <w:tab w:val="right" w:leader="dot" w:pos="9638"/>
        </w:tabs>
      </w:pPr>
      <w:hyperlink w:anchor="_Toc015" w:history="1">
        <w:r>
          <w:t xml:space="preserve">5.3 Database Schema and Entity-Relationship Diagram</w:t>
        </w:r>
        <w:r>
          <w:tab/>
        </w:r>
        <w:r>
          <w:fldChar w:fldCharType="begin"/>
        </w:r>
        <w:r>
          <w:instrText xml:space="preserve"> PAGEREF _Toc015 \h </w:instrText>
        </w:r>
        <w:r>
          <w:fldChar w:fldCharType="separate"/>
        </w:r>
        <w:r>
          <w:t>9</w:t>
        </w:r>
        <w:r>
          <w:fldChar w:fldCharType="end"/>
        </w:r>
      </w:hyperlink>
    </w:p>
    <w:p>
      <w:pPr>
        <w:pStyle w:val="TOC1"/>
        <w:tabs>
          <w:tab w:val="right" w:leader="dot" w:pos="9638"/>
        </w:tabs>
      </w:pPr>
      <w:hyperlink w:anchor="_Toc016" w:history="1">
        <w:r>
          <w:t xml:space="preserve">6. Dynamic Models</w:t>
        </w:r>
        <w:r>
          <w:tab/>
        </w:r>
        <w:r>
          <w:fldChar w:fldCharType="begin"/>
        </w:r>
        <w:r>
          <w:instrText xml:space="preserve"> PAGEREF _Toc016 \h </w:instrText>
        </w:r>
        <w:r>
          <w:fldChar w:fldCharType="separate"/>
        </w:r>
        <w:r>
          <w:t>10</w:t>
        </w:r>
        <w:r>
          <w:fldChar w:fldCharType="end"/>
        </w:r>
      </w:hyperlink>
    </w:p>
    <w:p>
      <w:pPr>
        <w:pStyle w:val="TOC2"/>
        <w:tabs>
          <w:tab w:val="right" w:leader="dot" w:pos="9638"/>
        </w:tabs>
      </w:pPr>
      <w:hyperlink w:anchor="_Toc017" w:history="1">
        <w:r>
          <w:t xml:space="preserve">6.1 Activity Diagrams</w:t>
        </w:r>
        <w:r>
          <w:tab/>
        </w:r>
        <w:r>
          <w:fldChar w:fldCharType="begin"/>
        </w:r>
        <w:r>
          <w:instrText xml:space="preserve"> PAGEREF _Toc017 \h </w:instrText>
        </w:r>
        <w:r>
          <w:fldChar w:fldCharType="separate"/>
        </w:r>
        <w:r>
          <w:t>10</w:t>
        </w:r>
        <w:r>
          <w:fldChar w:fldCharType="end"/>
        </w:r>
      </w:hyperlink>
    </w:p>
    <w:p>
      <w:pPr>
        <w:pStyle w:val="TOC2"/>
        <w:tabs>
          <w:tab w:val="right" w:leader="dot" w:pos="9638"/>
        </w:tabs>
      </w:pPr>
      <w:hyperlink w:anchor="_Toc021" w:history="1">
        <w:r>
          <w:t xml:space="preserve">6.2 Sequence Diagrams</w:t>
        </w:r>
        <w:r>
          <w:tab/>
        </w:r>
        <w:r>
          <w:fldChar w:fldCharType="begin"/>
        </w:r>
        <w:r>
          <w:instrText xml:space="preserve"> PAGEREF _Toc021 \h </w:instrText>
        </w:r>
        <w:r>
          <w:fldChar w:fldCharType="separate"/>
        </w:r>
        <w:r>
          <w:t>13</w:t>
        </w:r>
        <w:r>
          <w:fldChar w:fldCharType="end"/>
        </w:r>
      </w:hyperlink>
    </w:p>
    <w:p>
      <w:pPr>
        <w:pStyle w:val="TOC2"/>
        <w:tabs>
          <w:tab w:val="right" w:leader="dot" w:pos="9638"/>
        </w:tabs>
      </w:pPr>
      <w:hyperlink w:anchor="_Toc026" w:history="1">
        <w:r>
          <w:t xml:space="preserve">6.3 State Machine Diagrams</w:t>
        </w:r>
        <w:r>
          <w:tab/>
        </w:r>
        <w:r>
          <w:fldChar w:fldCharType="begin"/>
        </w:r>
        <w:r>
          <w:instrText xml:space="preserve"> PAGEREF _Toc026 \h </w:instrText>
        </w:r>
        <w:r>
          <w:fldChar w:fldCharType="separate"/>
        </w:r>
        <w:r>
          <w:t>16</w:t>
        </w:r>
        <w:r>
          <w:fldChar w:fldCharType="end"/>
        </w:r>
      </w:hyperlink>
    </w:p>
    <w:p>
      <w:pPr>
        <w:pStyle w:val="TOC1"/>
        <w:tabs>
          <w:tab w:val="right" w:leader="dot" w:pos="9638"/>
        </w:tabs>
      </w:pPr>
      <w:hyperlink w:anchor="_Toc030" w:history="1">
        <w:r>
          <w:t xml:space="preserve">7. Deployment Architecture</w:t>
        </w:r>
        <w:r>
          <w:tab/>
        </w:r>
        <w:r>
          <w:fldChar w:fldCharType="begin"/>
        </w:r>
        <w:r>
          <w:instrText xml:space="preserve"> PAGEREF _Toc030 \h </w:instrText>
        </w:r>
        <w:r>
          <w:fldChar w:fldCharType="separate"/>
        </w:r>
        <w:r>
          <w:t>19</w:t>
        </w:r>
        <w:r>
          <w:fldChar w:fldCharType="end"/>
        </w:r>
      </w:hyperlink>
    </w:p>
    <w:p>
      <w:pPr>
        <w:pStyle w:val="TOC2"/>
        <w:tabs>
          <w:tab w:val="right" w:leader="dot" w:pos="9638"/>
        </w:tabs>
      </w:pPr>
      <w:hyperlink w:anchor="_Toc031" w:history="1">
        <w:r>
          <w:t xml:space="preserve">7.1 Runtime and Database Topology</w:t>
        </w:r>
        <w:r>
          <w:tab/>
        </w:r>
        <w:r>
          <w:fldChar w:fldCharType="begin"/>
        </w:r>
        <w:r>
          <w:instrText xml:space="preserve"> PAGEREF _Toc031 \h </w:instrText>
        </w:r>
        <w:r>
          <w:fldChar w:fldCharType="separate"/>
        </w:r>
        <w:r>
          <w:t>19</w:t>
        </w:r>
        <w:r>
          <w:fldChar w:fldCharType="end"/>
        </w:r>
      </w:hyperlink>
    </w:p>
    <w:p>
      <w:pPr>
        <w:pStyle w:val="TOC2"/>
        <w:tabs>
          <w:tab w:val="right" w:leader="dot" w:pos="9638"/>
        </w:tabs>
      </w:pPr>
      <w:hyperlink w:anchor="_Toc032" w:history="1">
        <w:r>
          <w:t xml:space="preserve">7.2 Idempotent Bootstrapping</w:t>
        </w:r>
        <w:r>
          <w:tab/>
        </w:r>
        <w:r>
          <w:fldChar w:fldCharType="begin"/>
        </w:r>
        <w:r>
          <w:instrText xml:space="preserve"> PAGEREF _Toc032 \h </w:instrText>
        </w:r>
        <w:r>
          <w:fldChar w:fldCharType="separate"/>
        </w:r>
        <w:r>
          <w:t>19</w:t>
        </w:r>
        <w:r>
          <w:fldChar w:fldCharType="end"/>
        </w:r>
      </w:hyperlink>
    </w:p>
    <w:p>
      <w:pPr>
        <w:pStyle w:val="TOC1"/>
        <w:tabs>
          <w:tab w:val="right" w:leader="dot" w:pos="9638"/>
        </w:tabs>
      </w:pPr>
      <w:hyperlink w:anchor="_Toc033" w:history="1">
        <w:r>
          <w:t xml:space="preserve">8. Testing and Verification</w:t>
        </w:r>
        <w:r>
          <w:tab/>
        </w:r>
        <w:r>
          <w:fldChar w:fldCharType="begin"/>
        </w:r>
        <w:r>
          <w:instrText xml:space="preserve"> PAGEREF _Toc033 \h </w:instrText>
        </w:r>
        <w:r>
          <w:fldChar w:fldCharType="separate"/>
        </w:r>
        <w:r>
          <w:t>20</w:t>
        </w:r>
        <w:r>
          <w:fldChar w:fldCharType="end"/>
        </w:r>
      </w:hyperlink>
    </w:p>
    <w:p>
      <w:pPr>
        <w:pStyle w:val="TOC2"/>
        <w:tabs>
          <w:tab w:val="right" w:leader="dot" w:pos="9638"/>
        </w:tabs>
      </w:pPr>
      <w:hyperlink w:anchor="_Toc034" w:history="1">
        <w:r>
          <w:t xml:space="preserve">8.1 Automated Domain Unit Tests</w:t>
        </w:r>
        <w:r>
          <w:tab/>
        </w:r>
        <w:r>
          <w:fldChar w:fldCharType="begin"/>
        </w:r>
        <w:r>
          <w:instrText xml:space="preserve"> PAGEREF _Toc034 \h </w:instrText>
        </w:r>
        <w:r>
          <w:fldChar w:fldCharType="separate"/>
        </w:r>
        <w:r>
          <w:t>20</w:t>
        </w:r>
        <w:r>
          <w:fldChar w:fldCharType="end"/>
        </w:r>
      </w:hyperlink>
    </w:p>
    <w:p>
      <w:pPr>
        <w:pStyle w:val="TOC2"/>
        <w:tabs>
          <w:tab w:val="right" w:leader="dot" w:pos="9638"/>
        </w:tabs>
      </w:pPr>
      <w:hyperlink w:anchor="_Toc035" w:history="1">
        <w:r>
          <w:t xml:space="preserve">8.2 Full-Stack and Mobile Responsiveness Acceptance</w:t>
        </w:r>
        <w:r>
          <w:tab/>
        </w:r>
        <w:r>
          <w:fldChar w:fldCharType="begin"/>
        </w:r>
        <w:r>
          <w:instrText xml:space="preserve"> PAGEREF _Toc035 \h </w:instrText>
        </w:r>
        <w:r>
          <w:fldChar w:fldCharType="separate"/>
        </w:r>
        <w:r>
          <w:t>20</w:t>
        </w:r>
        <w:r>
          <w:fldChar w:fldCharType="end"/>
        </w:r>
      </w:hyperlink>
    </w:p>
    <w:p>
      <w:pPr>
        <w:pStyle w:val="TOC2"/>
        <w:tabs>
          <w:tab w:val="right" w:leader="dot" w:pos="9638"/>
        </w:tabs>
      </w:pPr>
      <w:hyperlink w:anchor="_Toc036" w:history="1">
        <w:r>
          <w:t xml:space="preserve">8.3 Commands for Local Execution and Verification</w:t>
        </w:r>
        <w:r>
          <w:tab/>
        </w:r>
        <w:r>
          <w:fldChar w:fldCharType="begin"/>
        </w:r>
        <w:r>
          <w:instrText xml:space="preserve"> PAGEREF _Toc036 \h </w:instrText>
        </w:r>
        <w:r>
          <w:fldChar w:fldCharType="separate"/>
        </w:r>
        <w:r>
          <w:t>20</w:t>
        </w:r>
        <w:r>
          <w:fldChar w:fldCharType="end"/>
        </w:r>
      </w:hyperlink>
      <w:r>
        <w:fldChar w:fldCharType="end"/>
      </w:r>
    </w:p>
    <w:p>
      <w:pPr>
        <w:pStyle w:val="Heading1"/>
      </w:pPr>
      <w:bookmarkStart w:name="_Toc001" w:id="1"/>
      <w:r>
        <w:t xml:space="preserve">1. Project Overview</w:t>
      </w:r>
      <w:bookmarkEnd w:id="1"/>
    </w:p>
    <w:p>
      <w:r>
        <w:t xml:space="preserve">This document presents the formal software engineering documentation of </w:t>
      </w:r>
      <w:r>
        <w:rPr>
          <w:b/>
          <w:bCs/>
        </w:rPr>
        <w:t xml:space="preserve">NexaHR</w:t>
      </w:r>
      <w:r>
        <w:t xml:space="preserve">, an enterprise employee management system. It describes the system architecture, functional modules, security model, database design, the complete UML specification, the deployment topology, and the verification results.</w:t>
      </w:r>
    </w:p>
    <w:p>
      <w:pPr>
        <w:pStyle w:val="Heading2"/>
      </w:pPr>
      <w:bookmarkStart w:name="_Toc002" w:id="2"/>
      <w:r>
        <w:t xml:space="preserve">1.1 Executive Summary</w:t>
      </w:r>
      <w:bookmarkEnd w:id="2"/>
    </w:p>
    <w:p>
      <w:r>
        <w:t xml:space="preserve">NexaHR is a full-stack, production-grade Human Resource Information System (HRIS) developed for NexaWorks Technologies SAE, headquartered in New Cairo, Egypt. The platform unifies employee lifecycle records, leave management based on the Egyptian labor calendar, shift-based attendance with grace-period evaluation, Kanban task execution, weighted OKR performance reviews, and confidential payroll governance in Egyptian pounds (EGP).</w:t>
      </w:r>
    </w:p>
    <w:p>
      <w:pPr>
        <w:pStyle w:val="Heading2"/>
      </w:pPr>
      <w:bookmarkStart w:name="_Toc003" w:id="3"/>
      <w:r>
        <w:t xml:space="preserve">1.2 Key Platform Characteristics</w:t>
      </w:r>
      <w:bookmarkEnd w:id="3"/>
    </w:p>
    <w:p>
      <w:pPr>
        <w:pStyle w:val="ListParagraph"/>
        <w:keepNext w:val="false"/>
        <w:numPr>
          <w:ilvl w:val="0"/>
          <w:numId w:val="2"/>
        </w:numPr>
        <w:spacing w:after="100"/>
      </w:pPr>
      <w:r>
        <w:rPr>
          <w:b/>
          <w:bCs/>
        </w:rPr>
        <w:t xml:space="preserve">Bilingual RTL/LTR and mobile-first user experience:</w:t>
      </w:r>
      <w:r>
        <w:t xml:space="preserve"> The application opens in Egyptian Arabic (ar-EG, right-to-left) by default and can be switched instantly to English (left-to-right). The “NexaHR” brand identity is preserved in both languages, and responsive layouts support screen widths from 375 px to 1440 px, with a quick-navigation bottom bar on mobile devices.</w:t>
      </w:r>
    </w:p>
    <w:p>
      <w:pPr>
        <w:pStyle w:val="ListParagraph"/>
        <w:keepNext w:val="false"/>
        <w:numPr>
          <w:ilvl w:val="0"/>
          <w:numId w:val="2"/>
        </w:numPr>
        <w:spacing w:after="100"/>
      </w:pPr>
      <w:r>
        <w:rPr>
          <w:b/>
          <w:bCs/>
        </w:rPr>
        <w:t xml:space="preserve">Relational persistence and pure domain engine:</w:t>
      </w:r>
      <w:r>
        <w:t xml:space="preserve"> The system is backed by 26 normalized PostgreSQL tables hosted on Google Cloud SQL (europe-west2) and managed through Drizzle ORM. It is paired with a decoupled domain rule engine (</w:t>
      </w:r>
      <w:r>
        <w:rPr>
          <w:rFonts w:ascii="Consolas" w:cs="Consolas" w:eastAsia="Consolas" w:hAnsi="Consolas"/>
          <w:sz w:val="20"/>
          <w:szCs w:val="20"/>
        </w:rPr>
        <w:t xml:space="preserve">src/domain/rules.ts</w:t>
      </w:r>
      <w:r>
        <w:t xml:space="preserve">) that is fully unit-tested.</w:t>
      </w:r>
    </w:p>
    <w:p>
      <w:pPr>
        <w:pStyle w:val="Heading2"/>
      </w:pPr>
      <w:bookmarkStart w:name="_Toc004" w:id="4"/>
      <w:r>
        <w:t xml:space="preserve">1.3 Project Identity and Baseline Specifications</w:t>
      </w:r>
      <w:bookmarkEnd w:id="4"/>
    </w:p>
    <w:p>
      <w:r>
        <w:t xml:space="preserve">Table 1 summarizes the identity of the platform and the baseline configuration of the implemented production system.</w:t>
      </w:r>
    </w:p>
    <w:p>
      <w:pPr>
        <w:pStyle w:val="TableCaption"/>
        <w:keepNext/>
      </w:pPr>
      <w:r>
        <w:rPr>
          <w:b/>
          <w:bCs/>
        </w:rPr>
        <w:t xml:space="preserve">Table 1 – </w:t>
      </w:r>
      <w:r>
        <w:t xml:space="preserve">Project identity and baseline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Specification</w:t>
            </w:r>
          </w:p>
        </w:tc>
        <w:tc>
          <w:tcPr>
            <w:tcW w:type="dxa" w:w="70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Implemented Configuration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Platform Brand and Tagline</w:t>
            </w:r>
          </w:p>
        </w:tc>
        <w:tc>
          <w:tcPr>
            <w:tcW w:type="dxa" w:w="7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NexaHR – “People, Performance, Possibilities.” (the brand is always rendered as NexaHR)</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Default Organization</w:t>
            </w:r>
          </w:p>
        </w:tc>
        <w:tc>
          <w:tcPr>
            <w:tcW w:type="dxa" w:w="7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NexaWorks Technologies SAE (headquartered in New Cairo, Cairo Governorate, Egypt)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Regional Baseline</w:t>
            </w:r>
          </w:p>
        </w:tc>
        <w:tc>
          <w:tcPr>
            <w:tcW w:type="dxa" w:w="7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Timezone: Africa/Cairo (UTC+2); Currency: EGP; Weekend: Friday and Saturday; Date format: DD/MM/YYYY</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Default Language and Direction</w:t>
            </w:r>
          </w:p>
        </w:tc>
        <w:tc>
          <w:tcPr>
            <w:tcW w:type="dxa" w:w="7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Egyptian Arabic (ar-EG, </w:t>
            </w:r>
            <w:r>
              <w:rPr>
                <w:rFonts w:ascii="Consolas" w:cs="Consolas" w:eastAsia="Consolas" w:hAnsi="Consolas"/>
                <w:b w:val="false"/>
                <w:bCs w:val="false"/>
                <w:sz w:val="18"/>
                <w:szCs w:val="18"/>
              </w:rPr>
              <w:t xml:space="preserve">dir="rtl"</w:t>
            </w:r>
            <w:r>
              <w:rPr>
                <w:b w:val="false"/>
                <w:bCs w:val="false"/>
                <w:sz w:val="20"/>
                <w:szCs w:val="20"/>
              </w:rPr>
              <w:t xml:space="preserve">) by default, with full English (en, </w:t>
            </w:r>
            <w:r>
              <w:rPr>
                <w:rFonts w:ascii="Consolas" w:cs="Consolas" w:eastAsia="Consolas" w:hAnsi="Consolas"/>
                <w:b w:val="false"/>
                <w:bCs w:val="false"/>
                <w:sz w:val="18"/>
                <w:szCs w:val="18"/>
              </w:rPr>
              <w:t xml:space="preserve">dir="ltr"</w:t>
            </w:r>
            <w:r>
              <w:rPr>
                <w:b w:val="false"/>
                <w:bCs w:val="false"/>
                <w:sz w:val="20"/>
                <w:szCs w:val="20"/>
              </w:rPr>
              <w:t xml:space="preserve">) support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Frontend and Motion Stack</w:t>
            </w:r>
          </w:p>
        </w:tc>
        <w:tc>
          <w:tcPr>
            <w:tcW w:type="dxa" w:w="7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React 19, TypeScript, Tailwind CSS v4, Motion (motion/react), Recharts, Lucide Icons</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Backend and Database Stack</w:t>
            </w:r>
          </w:p>
        </w:tc>
        <w:tc>
          <w:tcPr>
            <w:tcW w:type="dxa" w:w="7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Node.js, Express REST API, Drizzle ORM, Google Cloud SQL for PostgreSQL (26 tables)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Seeded Enterprise Dataset</w:t>
            </w:r>
          </w:p>
        </w:tc>
        <w:tc>
          <w:tcPr>
            <w:tcW w:type="dxa" w:w="7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25 employees (active, onboarding, and archived), 5 departments, 14 job titles, 4 role personas</w:t>
            </w:r>
          </w:p>
        </w:tc>
      </w:tr>
    </w:tbl>
    <w:p>
      <w:pPr>
        <w:spacing w:after="160"/>
      </w:pPr>
    </w:p>
    <w:p>
      <w:pPr>
        <w:pStyle w:val="Heading1"/>
      </w:pPr>
      <w:bookmarkStart w:name="_Toc005" w:id="5"/>
      <w:r>
        <w:t xml:space="preserve">2. System Architecture</w:t>
      </w:r>
      <w:bookmarkEnd w:id="5"/>
    </w:p>
    <w:p>
      <w:pPr>
        <w:pStyle w:val="Heading2"/>
      </w:pPr>
      <w:bookmarkStart w:name="_Toc006" w:id="6"/>
      <w:r>
        <w:t xml:space="preserve">2.1 Five-Layer Clean Architecture</w:t>
      </w:r>
      <w:bookmarkEnd w:id="6"/>
    </w:p>
    <w:p>
      <w:r>
        <w:t xml:space="preserve">The system follows a strict separation of concerns across five layers: Presentation, Application State, Pure Domain Rules, API Controllers, and Cloud SQL persistence. Table 2 lists each layer together with its principal source files and core engineering responsibility.</w:t>
      </w:r>
    </w:p>
    <w:p>
      <w:pPr>
        <w:pStyle w:val="TableCaption"/>
        <w:keepNext/>
      </w:pPr>
      <w:r>
        <w:rPr>
          <w:b/>
          <w:bCs/>
        </w:rPr>
        <w:t xml:space="preserve">Table 2 – </w:t>
      </w:r>
      <w:r>
        <w:t xml:space="preserve">Architecture layers, source files,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638"/>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Architecture Layer</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Source Files</w:t>
            </w:r>
          </w:p>
        </w:tc>
        <w:tc>
          <w:tcPr>
            <w:tcW w:type="dxa" w:w="46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Core Engineering Responsibility</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1. Presentation Layer</w:t>
            </w:r>
          </w:p>
        </w:tc>
        <w:tc>
          <w:tcPr>
            <w:tcW w:type="dxa" w:w="2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src/features/*</w:t>
            </w:r>
            <w:r>
              <w:rPr>
                <w:b w:val="false"/>
                <w:bCs w:val="false"/>
                <w:sz w:val="20"/>
                <w:szCs w:val="20"/>
              </w:rPr>
              <w:t xml:space="preserve">, </w:t>
            </w:r>
            <w:r>
              <w:rPr>
                <w:rFonts w:ascii="Consolas" w:cs="Consolas" w:eastAsia="Consolas" w:hAnsi="Consolas"/>
                <w:b w:val="false"/>
                <w:bCs w:val="false"/>
                <w:sz w:val="18"/>
                <w:szCs w:val="18"/>
              </w:rPr>
              <w:t xml:space="preserve">AppShell.tsx</w:t>
            </w:r>
          </w:p>
        </w:tc>
        <w:tc>
          <w:tcPr>
            <w:tcW w:type="dxa" w:w="46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Responsive RTL/LTR user interface, landing page simulator, 12 workspace views, mobile bottom navigation and drawer</w:t>
            </w:r>
          </w:p>
        </w:tc>
      </w:tr>
      <w:tr>
        <w:trPr>
          <w:cantSplit/>
        </w:trPr>
        <w:tc>
          <w:tcPr>
            <w:tcW w:type="dxa" w:w="21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2. Application Layer</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AuthContext.tsx</w:t>
            </w:r>
            <w:r>
              <w:rPr>
                <w:b w:val="false"/>
                <w:bCs w:val="false"/>
                <w:sz w:val="20"/>
                <w:szCs w:val="20"/>
              </w:rPr>
              <w:t xml:space="preserve">, </w:t>
            </w:r>
            <w:r>
              <w:rPr>
                <w:rFonts w:ascii="Consolas" w:cs="Consolas" w:eastAsia="Consolas" w:hAnsi="Consolas"/>
                <w:b w:val="false"/>
                <w:bCs w:val="false"/>
                <w:sz w:val="18"/>
                <w:szCs w:val="18"/>
              </w:rPr>
              <w:t xml:space="preserve">LanguageContext.tsx</w:t>
            </w:r>
          </w:p>
        </w:tc>
        <w:tc>
          <w:tcPr>
            <w:tcW w:type="dxa" w:w="46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Session token lifecycle, </w:t>
            </w:r>
            <w:r>
              <w:rPr>
                <w:rFonts w:ascii="Consolas" w:cs="Consolas" w:eastAsia="Consolas" w:hAnsi="Consolas"/>
                <w:b w:val="false"/>
                <w:bCs w:val="false"/>
                <w:sz w:val="18"/>
                <w:szCs w:val="18"/>
              </w:rPr>
              <w:t xml:space="preserve">/api/bootstrap</w:t>
            </w:r>
            <w:r>
              <w:rPr>
                <w:b w:val="false"/>
                <w:bCs w:val="false"/>
                <w:sz w:val="20"/>
                <w:szCs w:val="20"/>
              </w:rPr>
              <w:t xml:space="preserve"> synchronization, role switching, and ar-EG/en localization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3. Domain Layer</w:t>
            </w:r>
          </w:p>
        </w:tc>
        <w:tc>
          <w:tcPr>
            <w:tcW w:type="dxa" w:w="2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src/domain/rules.ts</w:t>
            </w:r>
            <w:r>
              <w:rPr>
                <w:b w:val="false"/>
                <w:bCs w:val="false"/>
                <w:sz w:val="20"/>
                <w:szCs w:val="20"/>
              </w:rPr>
              <w:t xml:space="preserve">, </w:t>
            </w:r>
            <w:r>
              <w:rPr>
                <w:rFonts w:ascii="Consolas" w:cs="Consolas" w:eastAsia="Consolas" w:hAnsi="Consolas"/>
                <w:b w:val="false"/>
                <w:bCs w:val="false"/>
                <w:sz w:val="18"/>
                <w:szCs w:val="18"/>
              </w:rPr>
              <w:t xml:space="preserve">rules.test.ts</w:t>
            </w:r>
          </w:p>
        </w:tc>
        <w:tc>
          <w:tcPr>
            <w:tcW w:type="dxa" w:w="46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Pure business logic: RBAC matrix, circular manager check, working-day calculation, attendance metrics, and EGP payroll</w:t>
            </w:r>
          </w:p>
        </w:tc>
      </w:tr>
      <w:tr>
        <w:trPr>
          <w:cantSplit/>
        </w:trPr>
        <w:tc>
          <w:tcPr>
            <w:tcW w:type="dxa" w:w="21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4. Data Access and API Layer</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server.ts</w:t>
            </w:r>
            <w:r>
              <w:rPr>
                <w:b w:val="false"/>
                <w:bCs w:val="false"/>
                <w:sz w:val="20"/>
                <w:szCs w:val="20"/>
              </w:rPr>
              <w:t xml:space="preserve">, </w:t>
            </w:r>
            <w:r>
              <w:rPr>
                <w:rFonts w:ascii="Consolas" w:cs="Consolas" w:eastAsia="Consolas" w:hAnsi="Consolas"/>
                <w:b w:val="false"/>
                <w:bCs w:val="false"/>
                <w:sz w:val="18"/>
                <w:szCs w:val="18"/>
              </w:rPr>
              <w:t xml:space="preserve">src/middleware/auth.ts</w:t>
            </w:r>
          </w:p>
        </w:tc>
        <w:tc>
          <w:tcPr>
            <w:tcW w:type="dxa" w:w="46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Express REST routes, HMAC token verification, server-side RBAC guards, audit trail, and notifications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5. Persistence Layer</w:t>
            </w:r>
          </w:p>
        </w:tc>
        <w:tc>
          <w:tcPr>
            <w:tcW w:type="dxa" w:w="2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src/db/schema.ts</w:t>
            </w:r>
            <w:r>
              <w:rPr>
                <w:b w:val="false"/>
                <w:bCs w:val="false"/>
                <w:sz w:val="20"/>
                <w:szCs w:val="20"/>
              </w:rPr>
              <w:t xml:space="preserve">, </w:t>
            </w:r>
            <w:r>
              <w:rPr>
                <w:rFonts w:ascii="Consolas" w:cs="Consolas" w:eastAsia="Consolas" w:hAnsi="Consolas"/>
                <w:b w:val="false"/>
                <w:bCs w:val="false"/>
                <w:sz w:val="18"/>
                <w:szCs w:val="18"/>
              </w:rPr>
              <w:t xml:space="preserve">src/db/seed.ts</w:t>
            </w:r>
          </w:p>
        </w:tc>
        <w:tc>
          <w:tcPr>
            <w:tcW w:type="dxa" w:w="46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26 normalized PostgreSQL tables with foreign-key constraints and an idempotent 25-employee Cairo seed</w:t>
            </w:r>
          </w:p>
        </w:tc>
      </w:tr>
    </w:tbl>
    <w:p>
      <w:pPr>
        <w:spacing w:after="160"/>
      </w:pPr>
    </w:p>
    <w:p>
      <w:pPr>
        <w:pStyle w:val="Heading2"/>
      </w:pPr>
      <w:bookmarkStart w:name="_Toc007" w:id="7"/>
      <w:r>
        <w:t xml:space="preserve">2.2 Component and Layer Diagram</w:t>
      </w:r>
      <w:bookmarkEnd w:id="7"/>
    </w:p>
    <w:p>
      <w:pPr>
        <w:keepNext/>
      </w:pPr>
      <w:r>
        <w:t xml:space="preserve">Figure 1 presents the UML component diagram of the five-layer architecture, from the Presentation layer through the Application, Domain, and API layers to Cloud SQL.</w:t>
      </w:r>
    </w:p>
    <w:p>
      <w:pPr>
        <w:keepNext/>
        <w:spacing w:after="80" w:before="120"/>
        <w:jc w:val="center"/>
      </w:pPr>
      <w:r>
        <w:drawing>
          <wp:inline distT="0" distB="0" distL="0" distR="0">
            <wp:extent cx="5486400" cy="2933700"/>
            <wp:effectExtent t="0" r="0" b="0" l="0"/>
            <wp:docPr id="1" name="figure1" descr="UML component diagram of the five-layer clean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33700"/>
                    </a:xfrm>
                    <a:prstGeom prst="rect">
                      <a:avLst/>
                    </a:prstGeom>
                  </pic:spPr>
                </pic:pic>
              </a:graphicData>
            </a:graphic>
          </wp:inline>
        </w:drawing>
      </w:r>
    </w:p>
    <w:p>
      <w:pPr>
        <w:pStyle w:val="Caption"/>
      </w:pPr>
      <w:r>
        <w:rPr>
          <w:b/>
          <w:bCs/>
          <w:i w:val="false"/>
          <w:iCs w:val="false"/>
        </w:rPr>
        <w:t xml:space="preserve">Figure 1 – </w:t>
      </w:r>
      <w:r>
        <w:t xml:space="preserve">UML component and five-layer clean architecture diagram</w:t>
      </w:r>
    </w:p>
    <w:p>
      <w:pPr>
        <w:pStyle w:val="Heading1"/>
      </w:pPr>
      <w:bookmarkStart w:name="_Toc008" w:id="8"/>
      <w:r>
        <w:t xml:space="preserve">3. Functional Modules</w:t>
      </w:r>
      <w:bookmarkEnd w:id="8"/>
    </w:p>
    <w:p>
      <w:r>
        <w:t xml:space="preserve">The platform comprises a public landing page (M00) and fourteen functional modules (M01–M14), providing end-to-end coverage of the HRIS domain. Table 3 lists each module with its route and principal implemented capabilities.</w:t>
      </w:r>
    </w:p>
    <w:p>
      <w:pPr>
        <w:pStyle w:val="TableCaption"/>
        <w:keepNext/>
      </w:pPr>
      <w:r>
        <w:rPr>
          <w:b/>
          <w:bCs/>
        </w:rPr>
        <w:t xml:space="preserve">Table 3 – </w:t>
      </w:r>
      <w:r>
        <w:t xml:space="preserve">Functional modules catalog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5038"/>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left"/>
            </w:pPr>
            <w:r>
              <w:rPr>
                <w:b/>
                <w:bCs/>
                <w:color w:val="FFFFFF"/>
                <w:sz w:val="20"/>
                <w:szCs w:val="20"/>
              </w:rPr>
              <w:t xml:space="preserve">ID</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left"/>
            </w:pPr>
            <w:r>
              <w:rPr>
                <w:b/>
                <w:bCs/>
                <w:color w:val="FFFFFF"/>
                <w:sz w:val="20"/>
                <w:szCs w:val="20"/>
              </w:rPr>
              <w:t xml:space="preserve">Module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left"/>
            </w:pPr>
            <w:r>
              <w:rPr>
                <w:b/>
                <w:bCs/>
                <w:color w:val="FFFFFF"/>
                <w:sz w:val="20"/>
                <w:szCs w:val="20"/>
              </w:rPr>
              <w:t xml:space="preserve">Route</w:t>
            </w:r>
          </w:p>
        </w:tc>
        <w:tc>
          <w:tcPr>
            <w:tcW w:type="dxa" w:w="50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left"/>
            </w:pPr>
            <w:r>
              <w:rPr>
                <w:b/>
                <w:bCs/>
                <w:color w:val="FFFFFF"/>
                <w:sz w:val="20"/>
                <w:szCs w:val="20"/>
              </w:rPr>
              <w:t xml:space="preserve">Key Implemented Capabilities and Validations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M00</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Interactive Landing Page</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Animated hero section, live attendance/payroll/leave preview, EGP payroll simulator, demo booking modal</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M01</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Authentication and Activation</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/login</w:t>
            </w:r>
          </w:p>
        </w:tc>
        <w:tc>
          <w:tcPr>
            <w:tcW w:type="dxa" w:w="5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Email/password sign-in, password reset, invite-token activation (</w:t>
            </w:r>
            <w:r>
              <w:rPr>
                <w:rFonts w:ascii="Consolas" w:cs="Consolas" w:eastAsia="Consolas" w:hAnsi="Consolas"/>
                <w:b w:val="false"/>
                <w:bCs w:val="false"/>
                <w:sz w:val="18"/>
                <w:szCs w:val="18"/>
              </w:rPr>
              <w:t xml:space="preserve">INV-XXXXXX</w:t>
            </w:r>
            <w:r>
              <w:rPr>
                <w:b w:val="false"/>
                <w:bCs w:val="false"/>
                <w:sz w:val="20"/>
                <w:szCs w:val="20"/>
              </w:rPr>
              <w:t xml:space="preserve">), one-click role cards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M02</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Role-Scoped Dashboard</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/dashboard</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Tailored KPIs for Admin, HR, Department Manager, and Employee roles; live UTC check-in/out; workforce charts</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M03</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Employee Directory</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/employees</w:t>
            </w:r>
          </w:p>
        </w:tc>
        <w:tc>
          <w:tcPr>
            <w:tcW w:type="dxa" w:w="5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360° profiles, search and filtering, CSV export, automatic </w:t>
            </w:r>
            <w:r>
              <w:rPr>
                <w:rFonts w:ascii="Consolas" w:cs="Consolas" w:eastAsia="Consolas" w:hAnsi="Consolas"/>
                <w:b w:val="false"/>
                <w:bCs w:val="false"/>
                <w:sz w:val="18"/>
                <w:szCs w:val="18"/>
              </w:rPr>
              <w:t xml:space="preserve">NW-EMP-XXX</w:t>
            </w:r>
            <w:r>
              <w:rPr>
                <w:b w:val="false"/>
                <w:bCs w:val="false"/>
                <w:sz w:val="20"/>
                <w:szCs w:val="20"/>
              </w:rPr>
              <w:t xml:space="preserve"> code generation, circular-hierarchy guard, archiving</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M04</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Organization and Hierarchy</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/organization</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Department CRUD, active-staff archive guard, EGP salary bands, interactive collapsible organization chart</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M05</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Attendance and Punctuality</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/attendance</w:t>
            </w:r>
          </w:p>
        </w:tc>
        <w:tc>
          <w:tcPr>
            <w:tcW w:type="dxa" w:w="5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Server-side UTC check-in/out, duplicate-session guard, Cairo 09:00 start with 15-minute grace calculation, attendance corrections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M06</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Leave and Entitlements</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/leave</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Excludes Friday/Saturday and Cairo public holidays, date-overlap guard, pending/used quota transitions, approvals</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M07</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Shifts and Holidays</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/scheduling</w:t>
            </w:r>
          </w:p>
        </w:tc>
        <w:tc>
          <w:tcPr>
            <w:tcW w:type="dxa" w:w="5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Morning (09:00), Flex (10:00), and Night (22:00) shifts; employee shift assignments; holiday calendar</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M08</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Tasks and Kanban Board</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/tasks</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Five-column Kanban board (TODO, IN_PROGRESS, IN_REVIEW, COMPLETED, BLOCKED), progress slider, and comments</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M09</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Performance and OKRs</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/performance</w:t>
            </w:r>
          </w:p>
        </w:tc>
        <w:tc>
          <w:tcPr>
            <w:tcW w:type="dxa" w:w="5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Weighted competency matrix (1.0–5.0), automatic rating category, DRAFT → PUBLISHED → ACKNOWLEDGED workflow</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M10</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Onboarding and Offboarding</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/onboarding</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Automated IT/HR/Finance/Manager clearance tasks with live recalculation of the employee onboarding percentage</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M11</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EGP Payroll and Compensation</w:t>
            </w:r>
          </w:p>
        </w:tc>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/payroll</w:t>
            </w:r>
          </w:p>
        </w:tc>
        <w:tc>
          <w:tcPr>
            <w:tcW w:type="dxa" w:w="5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Monthly EGP payroll cycles (for example, </w:t>
            </w:r>
            <w:r>
              <w:rPr>
                <w:rFonts w:ascii="Consolas" w:cs="Consolas" w:eastAsia="Consolas" w:hAnsi="Consolas"/>
                <w:b w:val="false"/>
                <w:bCs w:val="false"/>
                <w:sz w:val="18"/>
                <w:szCs w:val="18"/>
              </w:rPr>
              <w:t xml:space="preserve">PAY-2026-10</w:t>
            </w:r>
            <w:r>
              <w:rPr>
                <w:b w:val="false"/>
                <w:bCs w:val="false"/>
                <w:sz w:val="20"/>
                <w:szCs w:val="20"/>
              </w:rPr>
              <w:t xml:space="preserve">), unpaid-leave deduction engine, strict RBAC confidentiality</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M12–M14</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Reports, Notifications, and Administration</w:t>
            </w:r>
          </w:p>
        </w:tc>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/reports</w:t>
            </w:r>
            <w:r>
              <w:rPr>
                <w:b w:val="false"/>
                <w:bCs w:val="false"/>
                <w:sz w:val="20"/>
                <w:szCs w:val="20"/>
              </w:rPr>
              <w:t xml:space="preserve">,</w:t>
            </w:r>
          </w:p>
          <w:p>
            <w:pPr>
              <w:keepNext w:val="false"/>
              <w:spacing w:after="0" w:line="252" w:lineRule="auto"/>
              <w:jc w:val="left"/>
            </w:pPr>
            <w:r>
              <w:rPr>
                <w:rFonts w:ascii="Consolas" w:cs="Consolas" w:eastAsia="Consolas" w:hAnsi="Consolas"/>
                <w:b w:val="false"/>
                <w:bCs w:val="false"/>
                <w:sz w:val="18"/>
                <w:szCs w:val="18"/>
              </w:rPr>
              <w:t xml:space="preserve">/admin</w:t>
            </w:r>
          </w:p>
        </w:tc>
        <w:tc>
          <w:tcPr>
            <w:tcW w:type="dxa" w:w="5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Header notification bell, CSV exports, RBAC role assignment with self-demotion lock, audit log viewer</w:t>
            </w:r>
          </w:p>
        </w:tc>
      </w:tr>
    </w:tbl>
    <w:p>
      <w:pPr>
        <w:spacing w:after="160"/>
      </w:pPr>
    </w:p>
    <w:p>
      <w:pPr>
        <w:pStyle w:val="Heading1"/>
      </w:pPr>
      <w:bookmarkStart w:name="_Toc009" w:id="9"/>
      <w:r>
        <w:t xml:space="preserve">4. Security and Access Control</w:t>
      </w:r>
      <w:bookmarkEnd w:id="9"/>
    </w:p>
    <w:p>
      <w:r>
        <w:t xml:space="preserve">NexaHR enforces permissions on the server for every Express endpoint and every PostgreSQL query, so that access control never depends on the client.</w:t>
      </w:r>
    </w:p>
    <w:p>
      <w:pPr>
        <w:pStyle w:val="Heading2"/>
      </w:pPr>
      <w:bookmarkStart w:name="_Toc010" w:id="10"/>
      <w:r>
        <w:t xml:space="preserve">4.1 Role-Based Access Control and Role Personas</w:t>
      </w:r>
      <w:bookmarkEnd w:id="10"/>
    </w:p>
    <w:p>
      <w:r>
        <w:t xml:space="preserve">Table 4 describes the four role personas provisioned for NexaWorks and the operational scope authorized for each. All demonstration accounts use the seeded password </w:t>
      </w:r>
      <w:r>
        <w:rPr>
          <w:rFonts w:ascii="Consolas" w:cs="Consolas" w:eastAsia="Consolas" w:hAnsi="Consolas"/>
          <w:sz w:val="20"/>
          <w:szCs w:val="20"/>
        </w:rPr>
        <w:t xml:space="preserve">NexaHR@2026</w:t>
      </w:r>
      <w:r>
        <w:t xml:space="preserve">.</w:t>
      </w:r>
    </w:p>
    <w:p>
      <w:pPr>
        <w:pStyle w:val="TableCaption"/>
        <w:keepNext/>
      </w:pPr>
      <w:r>
        <w:rPr>
          <w:b/>
          <w:bCs/>
        </w:rPr>
        <w:t xml:space="preserve">Table 4 – </w:t>
      </w:r>
      <w:r>
        <w:t xml:space="preserve">Provisioned role personas and authorized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400"/>
        <w:gridCol w:w="30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RBAC Role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Demo Persona</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Email</w:t>
            </w:r>
          </w:p>
        </w:tc>
        <w:tc>
          <w:tcPr>
            <w:tcW w:type="dxa" w:w="30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Authorized Operational Scope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sz w:val="18"/>
                <w:szCs w:val="18"/>
              </w:rPr>
              <w:t xml:space="preserve">SYSTEM_ADMIN</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sz w:val="20"/>
                <w:szCs w:val="20"/>
              </w:rPr>
              <w:t xml:space="preserve">Eng. Tarek El-Masry (CTO)</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sz w:val="20"/>
                <w:szCs w:val="20"/>
              </w:rPr>
              <w:t xml:space="preserve">admin@nexaworks.eg</w:t>
            </w:r>
          </w:p>
        </w:tc>
        <w:tc>
          <w:tcPr>
            <w:tcW w:type="dxa" w:w="3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sz w:val="20"/>
                <w:szCs w:val="20"/>
              </w:rPr>
              <w:t xml:space="preserve">Full organization settings, RBAC role management, immutable audit logs, and all HR and payroll modules</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rFonts w:ascii="Consolas" w:cs="Consolas" w:eastAsia="Consolas" w:hAnsi="Consolas"/>
                <w:sz w:val="18"/>
                <w:szCs w:val="18"/>
              </w:rPr>
              <w:t xml:space="preserve">HR_MANAGER</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sz w:val="20"/>
                <w:szCs w:val="20"/>
              </w:rPr>
              <w:t xml:space="preserve">Laila Hassan (Head of People)</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sz w:val="20"/>
                <w:szCs w:val="20"/>
              </w:rPr>
              <w:t xml:space="preserve">hr@nexaworks.eg</w:t>
            </w:r>
          </w:p>
        </w:tc>
        <w:tc>
          <w:tcPr>
            <w:tcW w:type="dxa" w:w="3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sz w:val="20"/>
                <w:szCs w:val="20"/>
              </w:rPr>
              <w:t xml:space="preserve">Employee create/read/update/archive, departments, onboarding, leave overrides, EGP payroll and compensation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sz w:val="18"/>
                <w:szCs w:val="18"/>
              </w:rPr>
              <w:t xml:space="preserve">DEPARTMENT_MANAGER</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sz w:val="20"/>
                <w:szCs w:val="20"/>
              </w:rPr>
              <w:t xml:space="preserve">Eng. Omar Abdelrahman (VP Engineering)</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sz w:val="20"/>
                <w:szCs w:val="20"/>
              </w:rPr>
              <w:t xml:space="preserve">manager@nexaworks.eg</w:t>
            </w:r>
          </w:p>
        </w:tc>
        <w:tc>
          <w:tcPr>
            <w:tcW w:type="dxa" w:w="30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sz w:val="20"/>
                <w:szCs w:val="20"/>
              </w:rPr>
              <w:t xml:space="preserve">Attendance and leave approvals for direct reports, team Kanban tasks, and OKR reviews (no access to team salaries)</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sz w:val="18"/>
                <w:szCs w:val="18"/>
              </w:rPr>
              <w:t xml:space="preserve">EMPLOYEE</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sz w:val="20"/>
                <w:szCs w:val="20"/>
              </w:rPr>
              <w:t xml:space="preserve">Eng. Nour El-Din (Senior Engineer)</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sz w:val="20"/>
                <w:szCs w:val="20"/>
              </w:rPr>
              <w:t xml:space="preserve">employee@nexaworks.eg</w:t>
            </w:r>
          </w:p>
        </w:tc>
        <w:tc>
          <w:tcPr>
            <w:tcW w:type="dxa" w:w="30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sz w:val="20"/>
                <w:szCs w:val="20"/>
              </w:rPr>
              <w:t xml:space="preserve">Self-service check-in/out, leave requests, assigned tasks, review sign-off, and personal EGP payslip</w:t>
            </w:r>
          </w:p>
        </w:tc>
      </w:tr>
    </w:tbl>
    <w:p>
      <w:pPr>
        <w:spacing w:after="160"/>
      </w:pPr>
    </w:p>
    <w:p>
      <w:pPr>
        <w:pStyle w:val="Heading2"/>
      </w:pPr>
      <w:bookmarkStart w:name="_Toc011" w:id="11"/>
      <w:r>
        <w:t xml:space="preserve">4.2 Server-Side Security and Confidentiality Guarantees</w:t>
      </w:r>
      <w:bookmarkEnd w:id="11"/>
    </w:p>
    <w:p>
      <w:pPr>
        <w:pStyle w:val="ListParagraph"/>
        <w:keepNext w:val="false"/>
        <w:numPr>
          <w:ilvl w:val="0"/>
          <w:numId w:val="2"/>
        </w:numPr>
        <w:spacing w:after="100"/>
      </w:pPr>
      <w:r>
        <w:rPr>
          <w:b/>
          <w:bCs/>
        </w:rPr>
        <w:t xml:space="preserve">Compensation and payroll isolation:</w:t>
      </w:r>
      <w:r>
        <w:t xml:space="preserve"> Enforced through </w:t>
      </w:r>
      <w:r>
        <w:rPr>
          <w:rFonts w:ascii="Consolas" w:cs="Consolas" w:eastAsia="Consolas" w:hAnsi="Consolas"/>
          <w:sz w:val="20"/>
          <w:szCs w:val="20"/>
        </w:rPr>
        <w:t xml:space="preserve">canAccessEmployeeCompensation()</w:t>
      </w:r>
      <w:r>
        <w:t xml:space="preserve"> in </w:t>
      </w:r>
      <w:r>
        <w:rPr>
          <w:rFonts w:ascii="Consolas" w:cs="Consolas" w:eastAsia="Consolas" w:hAnsi="Consolas"/>
          <w:sz w:val="20"/>
          <w:szCs w:val="20"/>
        </w:rPr>
        <w:t xml:space="preserve">src/domain/rules.ts</w:t>
      </w:r>
      <w:r>
        <w:t xml:space="preserve"> and in </w:t>
      </w:r>
      <w:r>
        <w:rPr>
          <w:rFonts w:ascii="Consolas" w:cs="Consolas" w:eastAsia="Consolas" w:hAnsi="Consolas"/>
          <w:sz w:val="20"/>
          <w:szCs w:val="20"/>
        </w:rPr>
        <w:t xml:space="preserve">server.ts</w:t>
      </w:r>
      <w:r>
        <w:t xml:space="preserve"> (</w:t>
      </w:r>
      <w:r>
        <w:rPr>
          <w:rFonts w:ascii="Consolas" w:cs="Consolas" w:eastAsia="Consolas" w:hAnsi="Consolas"/>
          <w:sz w:val="20"/>
          <w:szCs w:val="20"/>
        </w:rPr>
        <w:t xml:space="preserve">/api/bootstrap</w:t>
      </w:r>
      <w:r>
        <w:t xml:space="preserve">). Department Managers are blocked at the API layer from viewing other employees’ base salaries, allowances, or payroll registers.</w:t>
      </w:r>
    </w:p>
    <w:p>
      <w:pPr>
        <w:pStyle w:val="ListParagraph"/>
        <w:keepNext w:val="false"/>
        <w:numPr>
          <w:ilvl w:val="0"/>
          <w:numId w:val="2"/>
        </w:numPr>
        <w:spacing w:after="100"/>
      </w:pPr>
      <w:r>
        <w:rPr>
          <w:b/>
          <w:bCs/>
        </w:rPr>
        <w:t xml:space="preserve">Self-approval and scope guards:</w:t>
      </w:r>
      <w:r>
        <w:t xml:space="preserve"> Enforced through </w:t>
      </w:r>
      <w:r>
        <w:rPr>
          <w:rFonts w:ascii="Consolas" w:cs="Consolas" w:eastAsia="Consolas" w:hAnsi="Consolas"/>
          <w:sz w:val="20"/>
          <w:szCs w:val="20"/>
        </w:rPr>
        <w:t xml:space="preserve">canApproveLeaveForEmployee()</w:t>
      </w:r>
      <w:r>
        <w:t xml:space="preserve">. A Department Manager may approve leave requests or attendance corrections only for direct reports or employees within the managed department, and may never approve their own requests.</w:t>
      </w:r>
    </w:p>
    <w:p>
      <w:pPr>
        <w:pStyle w:val="ListParagraph"/>
        <w:keepNext w:val="false"/>
        <w:numPr>
          <w:ilvl w:val="0"/>
          <w:numId w:val="2"/>
        </w:numPr>
        <w:spacing w:after="100"/>
      </w:pPr>
      <w:r>
        <w:rPr>
          <w:b/>
          <w:bCs/>
        </w:rPr>
        <w:t xml:space="preserve">Administrator self-demotion lock and audit redaction:</w:t>
      </w:r>
      <w:r>
        <w:t xml:space="preserve"> The endpoint </w:t>
      </w:r>
      <w:r>
        <w:rPr>
          <w:rFonts w:ascii="Consolas" w:cs="Consolas" w:eastAsia="Consolas" w:hAnsi="Consolas"/>
          <w:sz w:val="20"/>
          <w:szCs w:val="20"/>
        </w:rPr>
        <w:t xml:space="preserve">PATCH /api/admin/users/:profileId/role</w:t>
      </w:r>
      <w:r>
        <w:t xml:space="preserve"> prevents System Administrators from revoking their own </w:t>
      </w:r>
      <w:r>
        <w:rPr>
          <w:rFonts w:ascii="Consolas" w:cs="Consolas" w:eastAsia="Consolas" w:hAnsi="Consolas"/>
          <w:sz w:val="20"/>
          <w:szCs w:val="20"/>
        </w:rPr>
        <w:t xml:space="preserve">SYSTEM_ADMIN</w:t>
      </w:r>
      <w:r>
        <w:t xml:space="preserve"> role. The </w:t>
      </w:r>
      <w:r>
        <w:rPr>
          <w:rFonts w:ascii="Consolas" w:cs="Consolas" w:eastAsia="Consolas" w:hAnsi="Consolas"/>
          <w:sz w:val="20"/>
          <w:szCs w:val="20"/>
        </w:rPr>
        <w:t xml:space="preserve">logAudit()</w:t>
      </w:r>
      <w:r>
        <w:t xml:space="preserve"> function automatically removes </w:t>
      </w:r>
      <w:r>
        <w:rPr>
          <w:rFonts w:ascii="Consolas" w:cs="Consolas" w:eastAsia="Consolas" w:hAnsi="Consolas"/>
          <w:sz w:val="20"/>
          <w:szCs w:val="20"/>
        </w:rPr>
        <w:t xml:space="preserve">password</w:t>
      </w:r>
      <w:r>
        <w:t xml:space="preserve">, </w:t>
      </w:r>
      <w:r>
        <w:rPr>
          <w:rFonts w:ascii="Consolas" w:cs="Consolas" w:eastAsia="Consolas" w:hAnsi="Consolas"/>
          <w:sz w:val="20"/>
          <w:szCs w:val="20"/>
        </w:rPr>
        <w:t xml:space="preserve">passwordHash</w:t>
      </w:r>
      <w:r>
        <w:t xml:space="preserve">, and </w:t>
      </w:r>
      <w:r>
        <w:rPr>
          <w:rFonts w:ascii="Consolas" w:cs="Consolas" w:eastAsia="Consolas" w:hAnsi="Consolas"/>
          <w:sz w:val="20"/>
          <w:szCs w:val="20"/>
        </w:rPr>
        <w:t xml:space="preserve">token</w:t>
      </w:r>
      <w:r>
        <w:t xml:space="preserve"> fields before records are persisted to </w:t>
      </w:r>
      <w:r>
        <w:rPr>
          <w:rFonts w:ascii="Consolas" w:cs="Consolas" w:eastAsia="Consolas" w:hAnsi="Consolas"/>
          <w:sz w:val="20"/>
          <w:szCs w:val="20"/>
        </w:rPr>
        <w:t xml:space="preserve">audit_logs</w:t>
      </w:r>
      <w:r>
        <w:t xml:space="preserve">.</w:t>
      </w:r>
    </w:p>
    <w:p>
      <w:pPr>
        <w:pStyle w:val="Heading1"/>
      </w:pPr>
      <w:bookmarkStart w:name="_Toc012" w:id="12"/>
      <w:r>
        <w:t xml:space="preserve">5. Static Models</w:t>
      </w:r>
      <w:bookmarkEnd w:id="12"/>
    </w:p>
    <w:p>
      <w:r>
        <w:t xml:space="preserve">This chapter presents the static models of the system: the use case model, the domain class model, and the relational database schema.</w:t>
      </w:r>
    </w:p>
    <w:p>
      <w:pPr>
        <w:pStyle w:val="Heading2"/>
      </w:pPr>
      <w:bookmarkStart w:name="_Toc013" w:id="13"/>
      <w:r>
        <w:t xml:space="preserve">5.1 Use Case Diagram</w:t>
      </w:r>
      <w:bookmarkEnd w:id="13"/>
    </w:p>
    <w:p>
      <w:pPr>
        <w:keepNext/>
      </w:pPr>
      <w:r>
        <w:t xml:space="preserve">The use case model captures four actor tiers, role generalization (inheritance), 14 functional use cases, and «include» security subroutines.</w:t>
      </w:r>
    </w:p>
    <w:p>
      <w:pPr>
        <w:pStyle w:val="ListParagraph"/>
        <w:keepNext/>
        <w:numPr>
          <w:ilvl w:val="0"/>
          <w:numId w:val="2"/>
        </w:numPr>
        <w:spacing w:after="100"/>
      </w:pPr>
      <w:r>
        <w:rPr>
          <w:b/>
          <w:bCs/>
        </w:rPr>
        <w:t xml:space="preserve">Actor generalization hierarchy:</w:t>
      </w:r>
      <w:r>
        <w:t xml:space="preserve"> Department Manager and HR Manager inherit all Employee self-service capabilities (UC-01 through UC-11A). The System Administrator inherits the operational capabilities of the HR Manager and adds UC-13 (RBAC Governance) and UC-14 (Security Audit Inspection).</w:t>
      </w:r>
    </w:p>
    <w:p>
      <w:pPr>
        <w:keepNext/>
        <w:spacing w:after="80" w:before="120"/>
        <w:jc w:val="center"/>
      </w:pPr>
      <w:r>
        <w:drawing>
          <wp:inline distT="0" distB="0" distL="0" distR="0">
            <wp:extent cx="4067175" cy="5762625"/>
            <wp:effectExtent t="0" r="0" b="0" l="0"/>
            <wp:docPr id="1" name="figure2" descr="UML use case diagram of the NexaHR syste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67175" cy="5762625"/>
                    </a:xfrm>
                    <a:prstGeom prst="rect">
                      <a:avLst/>
                    </a:prstGeom>
                  </pic:spPr>
                </pic:pic>
              </a:graphicData>
            </a:graphic>
          </wp:inline>
        </w:drawing>
      </w:r>
    </w:p>
    <w:p>
      <w:pPr>
        <w:pStyle w:val="Caption"/>
      </w:pPr>
      <w:r>
        <w:rPr>
          <w:b/>
          <w:bCs/>
          <w:i w:val="false"/>
          <w:iCs w:val="false"/>
        </w:rPr>
        <w:t xml:space="preserve">Figure 2 – </w:t>
      </w:r>
      <w:r>
        <w:t xml:space="preserve">UML use case diagram across the NexaHR enterprise HRIS system boundary</w:t>
      </w:r>
    </w:p>
    <w:p>
      <w:pPr>
        <w:pStyle w:val="Heading2"/>
      </w:pPr>
      <w:bookmarkStart w:name="_Toc014" w:id="14"/>
      <w:r>
        <w:t xml:space="preserve">5.2 Domain Class Diagram</w:t>
      </w:r>
      <w:bookmarkEnd w:id="14"/>
    </w:p>
    <w:p>
      <w:pPr>
        <w:keepNext/>
      </w:pPr>
      <w:r>
        <w:t xml:space="preserve">The class model captures the core domain classes, their encapsulated business operations, and the multiplicity of associations across the HRIS domain.</w:t>
      </w:r>
    </w:p>
    <w:p>
      <w:pPr>
        <w:pStyle w:val="ListParagraph"/>
        <w:keepNext/>
        <w:numPr>
          <w:ilvl w:val="0"/>
          <w:numId w:val="2"/>
        </w:numPr>
        <w:spacing w:after="100"/>
      </w:pPr>
      <w:r>
        <w:rPr>
          <w:b/>
          <w:bCs/>
        </w:rPr>
        <w:t xml:space="preserve">Pure domain service layer (`NexaHRDomainRules`):</w:t>
      </w:r>
      <w:r>
        <w:t xml:space="preserve"> Encapsulates deterministic, side-effect-free domain operations, including </w:t>
      </w:r>
      <w:r>
        <w:rPr>
          <w:rFonts w:ascii="Consolas" w:cs="Consolas" w:eastAsia="Consolas" w:hAnsi="Consolas"/>
          <w:sz w:val="20"/>
          <w:szCs w:val="20"/>
        </w:rPr>
        <w:t xml:space="preserve">validateEmployeeInput()</w:t>
      </w:r>
      <w:r>
        <w:t xml:space="preserve">, </w:t>
      </w:r>
      <w:r>
        <w:rPr>
          <w:rFonts w:ascii="Consolas" w:cs="Consolas" w:eastAsia="Consolas" w:hAnsi="Consolas"/>
          <w:sz w:val="20"/>
          <w:szCs w:val="20"/>
        </w:rPr>
        <w:t xml:space="preserve">hasCircularManagerRelationship()</w:t>
      </w:r>
      <w:r>
        <w:t xml:space="preserve">, </w:t>
      </w:r>
      <w:r>
        <w:rPr>
          <w:rFonts w:ascii="Consolas" w:cs="Consolas" w:eastAsia="Consolas" w:hAnsi="Consolas"/>
          <w:sz w:val="20"/>
          <w:szCs w:val="20"/>
        </w:rPr>
        <w:t xml:space="preserve">generateNextEmployeeNumber()</w:t>
      </w:r>
      <w:r>
        <w:t xml:space="preserve">, </w:t>
      </w:r>
      <w:r>
        <w:rPr>
          <w:rFonts w:ascii="Consolas" w:cs="Consolas" w:eastAsia="Consolas" w:hAnsi="Consolas"/>
          <w:sz w:val="20"/>
          <w:szCs w:val="20"/>
        </w:rPr>
        <w:t xml:space="preserve">calculateWorkingLeaveDays()</w:t>
      </w:r>
      <w:r>
        <w:t xml:space="preserve">, </w:t>
      </w:r>
      <w:r>
        <w:rPr>
          <w:rFonts w:ascii="Consolas" w:cs="Consolas" w:eastAsia="Consolas" w:hAnsi="Consolas"/>
          <w:sz w:val="20"/>
          <w:szCs w:val="20"/>
        </w:rPr>
        <w:t xml:space="preserve">applyLeaveBalanceTransition()</w:t>
      </w:r>
      <w:r>
        <w:t xml:space="preserve">, </w:t>
      </w:r>
      <w:r>
        <w:rPr>
          <w:rFonts w:ascii="Consolas" w:cs="Consolas" w:eastAsia="Consolas" w:hAnsi="Consolas"/>
          <w:sz w:val="20"/>
          <w:szCs w:val="20"/>
        </w:rPr>
        <w:t xml:space="preserve">calculateAttendanceMetrics()</w:t>
      </w:r>
      <w:r>
        <w:t xml:space="preserve">, and </w:t>
      </w:r>
      <w:r>
        <w:rPr>
          <w:rFonts w:ascii="Consolas" w:cs="Consolas" w:eastAsia="Consolas" w:hAnsi="Consolas"/>
          <w:sz w:val="20"/>
          <w:szCs w:val="20"/>
        </w:rPr>
        <w:t xml:space="preserve">calculatePayrollItem()</w:t>
      </w:r>
      <w:r>
        <w:t xml:space="preserve">.</w:t>
      </w:r>
    </w:p>
    <w:p>
      <w:pPr>
        <w:keepNext/>
        <w:spacing w:after="80" w:before="120"/>
        <w:jc w:val="center"/>
      </w:pPr>
      <w:r>
        <w:drawing>
          <wp:inline distT="0" distB="0" distL="0" distR="0">
            <wp:extent cx="6038850" cy="4248150"/>
            <wp:effectExtent t="0" r="0" b="0" l="0"/>
            <wp:docPr id="1" name="figure3" descr="UML class diagram of the NexaHR domain mod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248150"/>
                    </a:xfrm>
                    <a:prstGeom prst="rect">
                      <a:avLst/>
                    </a:prstGeom>
                  </pic:spPr>
                </pic:pic>
              </a:graphicData>
            </a:graphic>
          </wp:inline>
        </w:drawing>
      </w:r>
    </w:p>
    <w:p>
      <w:pPr>
        <w:pStyle w:val="Caption"/>
      </w:pPr>
      <w:r>
        <w:rPr>
          <w:b/>
          <w:bCs/>
          <w:i w:val="false"/>
          <w:iCs w:val="false"/>
        </w:rPr>
        <w:t xml:space="preserve">Figure 3 – </w:t>
      </w:r>
      <w:r>
        <w:t xml:space="preserve">UML domain class diagram showing core entities, attributes, methods, and multiplicities</w:t>
      </w:r>
    </w:p>
    <w:p>
      <w:pPr>
        <w:pStyle w:val="Heading2"/>
      </w:pPr>
      <w:bookmarkStart w:name="_Toc015" w:id="15"/>
      <w:r>
        <w:t xml:space="preserve">5.3 Database Schema and Entity-Relationship Diagram</w:t>
      </w:r>
      <w:bookmarkEnd w:id="15"/>
    </w:p>
    <w:p>
      <w:pPr>
        <w:keepNext/>
      </w:pPr>
      <w:r>
        <w:t xml:space="preserve">The persistence layer consists of 26 normalized PostgreSQL tables defined in </w:t>
      </w:r>
      <w:r>
        <w:rPr>
          <w:rFonts w:ascii="Consolas" w:cs="Consolas" w:eastAsia="Consolas" w:hAnsi="Consolas"/>
          <w:sz w:val="20"/>
          <w:szCs w:val="20"/>
        </w:rPr>
        <w:t xml:space="preserve">src/db/schema.ts</w:t>
      </w:r>
      <w:r>
        <w:t xml:space="preserve">, with strict foreign-key integrity and audit history. Table 5 groups the tables by schema domain, and Figure 4 presents the entity-relationship diagram in crow’s foot notation.</w:t>
      </w:r>
    </w:p>
    <w:p>
      <w:pPr>
        <w:pStyle w:val="TableCaption"/>
        <w:keepNext/>
      </w:pPr>
      <w:r>
        <w:rPr>
          <w:b/>
          <w:bCs/>
        </w:rPr>
        <w:t xml:space="preserve">Table 5 – </w:t>
      </w:r>
      <w:r>
        <w:t xml:space="preserve">PostgreSQL schema domains and relational integrity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5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Schema Domain Group</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PostgreSQL Tables</w:t>
            </w:r>
          </w:p>
        </w:tc>
        <w:tc>
          <w:tcPr>
            <w:tcW w:type="dxa" w:w="35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Key Relational Integrity Rules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Identity and RBAC (4)</w:t>
            </w:r>
          </w:p>
        </w:tc>
        <w:tc>
          <w:tcPr>
            <w:tcW w:type="dxa" w:w="4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profiles</w:t>
            </w:r>
            <w:r>
              <w:rPr>
                <w:b w:val="false"/>
                <w:bCs w:val="false"/>
                <w:sz w:val="20"/>
                <w:szCs w:val="20"/>
              </w:rPr>
              <w:t xml:space="preserve">, </w:t>
            </w:r>
            <w:r>
              <w:rPr>
                <w:rFonts w:ascii="Consolas" w:cs="Consolas" w:eastAsia="Consolas" w:hAnsi="Consolas"/>
                <w:b w:val="false"/>
                <w:bCs w:val="false"/>
                <w:sz w:val="18"/>
                <w:szCs w:val="18"/>
              </w:rPr>
              <w:t xml:space="preserve">user_roles</w:t>
            </w:r>
            <w:r>
              <w:rPr>
                <w:b w:val="false"/>
                <w:bCs w:val="false"/>
                <w:sz w:val="20"/>
                <w:szCs w:val="20"/>
              </w:rPr>
              <w:t xml:space="preserve">, </w:t>
            </w:r>
            <w:r>
              <w:rPr>
                <w:rFonts w:ascii="Consolas" w:cs="Consolas" w:eastAsia="Consolas" w:hAnsi="Consolas"/>
                <w:b w:val="false"/>
                <w:bCs w:val="false"/>
                <w:sz w:val="18"/>
                <w:szCs w:val="18"/>
              </w:rPr>
              <w:t xml:space="preserve">role_permissions</w:t>
            </w:r>
            <w:r>
              <w:rPr>
                <w:b w:val="false"/>
                <w:bCs w:val="false"/>
                <w:sz w:val="20"/>
                <w:szCs w:val="20"/>
              </w:rPr>
              <w:t xml:space="preserve">, </w:t>
            </w:r>
            <w:r>
              <w:rPr>
                <w:rFonts w:ascii="Consolas" w:cs="Consolas" w:eastAsia="Consolas" w:hAnsi="Consolas"/>
                <w:b w:val="false"/>
                <w:bCs w:val="false"/>
                <w:sz w:val="18"/>
                <w:szCs w:val="18"/>
              </w:rPr>
              <w:t xml:space="preserve">audit_logs</w:t>
            </w:r>
          </w:p>
        </w:tc>
        <w:tc>
          <w:tcPr>
            <w:tcW w:type="dxa" w:w="35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One-to-many relationship between profile and roles; immutable, append-only </w:t>
            </w:r>
            <w:r>
              <w:rPr>
                <w:rFonts w:ascii="Consolas" w:cs="Consolas" w:eastAsia="Consolas" w:hAnsi="Consolas"/>
                <w:b w:val="false"/>
                <w:bCs w:val="false"/>
                <w:sz w:val="18"/>
                <w:szCs w:val="18"/>
              </w:rPr>
              <w:t xml:space="preserve">audit_logs</w:t>
            </w:r>
            <w:r>
              <w:rPr>
                <w:b w:val="false"/>
                <w:bCs w:val="false"/>
                <w:sz w:val="20"/>
                <w:szCs w:val="20"/>
              </w:rPr>
              <w:t xml:space="preserve"> with JSON metadata</w:t>
            </w:r>
          </w:p>
        </w:tc>
      </w:tr>
      <w:tr>
        <w:trPr>
          <w:cantSplit/>
        </w:trPr>
        <w:tc>
          <w:tcPr>
            <w:tcW w:type="dxa" w:w="2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Organization and Directory (6)</w:t>
            </w:r>
          </w:p>
        </w:tc>
        <w:tc>
          <w:tcPr>
            <w:tcW w:type="dxa" w:w="41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organization_settings</w:t>
            </w:r>
            <w:r>
              <w:rPr>
                <w:b w:val="false"/>
                <w:bCs w:val="false"/>
                <w:sz w:val="20"/>
                <w:szCs w:val="20"/>
              </w:rPr>
              <w:t xml:space="preserve">, </w:t>
            </w:r>
            <w:r>
              <w:rPr>
                <w:rFonts w:ascii="Consolas" w:cs="Consolas" w:eastAsia="Consolas" w:hAnsi="Consolas"/>
                <w:b w:val="false"/>
                <w:bCs w:val="false"/>
                <w:sz w:val="18"/>
                <w:szCs w:val="18"/>
              </w:rPr>
              <w:t xml:space="preserve">departments</w:t>
            </w:r>
            <w:r>
              <w:rPr>
                <w:b w:val="false"/>
                <w:bCs w:val="false"/>
                <w:sz w:val="20"/>
                <w:szCs w:val="20"/>
              </w:rPr>
              <w:t xml:space="preserve">, </w:t>
            </w:r>
            <w:r>
              <w:rPr>
                <w:rFonts w:ascii="Consolas" w:cs="Consolas" w:eastAsia="Consolas" w:hAnsi="Consolas"/>
                <w:b w:val="false"/>
                <w:bCs w:val="false"/>
                <w:sz w:val="18"/>
                <w:szCs w:val="18"/>
              </w:rPr>
              <w:t xml:space="preserve">job_titles</w:t>
            </w:r>
            <w:r>
              <w:rPr>
                <w:b w:val="false"/>
                <w:bCs w:val="false"/>
                <w:sz w:val="20"/>
                <w:szCs w:val="20"/>
              </w:rPr>
              <w:t xml:space="preserve">, </w:t>
            </w:r>
            <w:r>
              <w:rPr>
                <w:rFonts w:ascii="Consolas" w:cs="Consolas" w:eastAsia="Consolas" w:hAnsi="Consolas"/>
                <w:b w:val="false"/>
                <w:bCs w:val="false"/>
                <w:sz w:val="18"/>
                <w:szCs w:val="18"/>
              </w:rPr>
              <w:t xml:space="preserve">employees</w:t>
            </w:r>
            <w:r>
              <w:rPr>
                <w:b w:val="false"/>
                <w:bCs w:val="false"/>
                <w:sz w:val="20"/>
                <w:szCs w:val="20"/>
              </w:rPr>
              <w:t xml:space="preserve">, </w:t>
            </w:r>
            <w:r>
              <w:rPr>
                <w:rFonts w:ascii="Consolas" w:cs="Consolas" w:eastAsia="Consolas" w:hAnsi="Consolas"/>
                <w:b w:val="false"/>
                <w:bCs w:val="false"/>
                <w:sz w:val="18"/>
                <w:szCs w:val="18"/>
              </w:rPr>
              <w:t xml:space="preserve">employee_status_history</w:t>
            </w:r>
            <w:r>
              <w:rPr>
                <w:b w:val="false"/>
                <w:bCs w:val="false"/>
                <w:sz w:val="20"/>
                <w:szCs w:val="20"/>
              </w:rPr>
              <w:t xml:space="preserve">, </w:t>
            </w:r>
            <w:r>
              <w:rPr>
                <w:rFonts w:ascii="Consolas" w:cs="Consolas" w:eastAsia="Consolas" w:hAnsi="Consolas"/>
                <w:b w:val="false"/>
                <w:bCs w:val="false"/>
                <w:sz w:val="18"/>
                <w:szCs w:val="18"/>
              </w:rPr>
              <w:t xml:space="preserve">employee_documents</w:t>
            </w:r>
          </w:p>
        </w:tc>
        <w:tc>
          <w:tcPr>
            <w:tcW w:type="dxa" w:w="35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Self-referencing </w:t>
            </w:r>
            <w:r>
              <w:rPr>
                <w:rFonts w:ascii="Consolas" w:cs="Consolas" w:eastAsia="Consolas" w:hAnsi="Consolas"/>
                <w:b w:val="false"/>
                <w:bCs w:val="false"/>
                <w:sz w:val="18"/>
                <w:szCs w:val="18"/>
              </w:rPr>
              <w:t xml:space="preserve">employees.manager_id</w:t>
            </w:r>
            <w:r>
              <w:rPr>
                <w:b w:val="false"/>
                <w:bCs w:val="false"/>
                <w:sz w:val="20"/>
                <w:szCs w:val="20"/>
              </w:rPr>
              <w:t xml:space="preserve"> (acyclic); non-destructive ARCHIVED status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Attendance and Leave (7)</w:t>
            </w:r>
          </w:p>
        </w:tc>
        <w:tc>
          <w:tcPr>
            <w:tcW w:type="dxa" w:w="4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work_shifts</w:t>
            </w:r>
            <w:r>
              <w:rPr>
                <w:b w:val="false"/>
                <w:bCs w:val="false"/>
                <w:sz w:val="20"/>
                <w:szCs w:val="20"/>
              </w:rPr>
              <w:t xml:space="preserve">, </w:t>
            </w:r>
            <w:r>
              <w:rPr>
                <w:rFonts w:ascii="Consolas" w:cs="Consolas" w:eastAsia="Consolas" w:hAnsi="Consolas"/>
                <w:b w:val="false"/>
                <w:bCs w:val="false"/>
                <w:sz w:val="18"/>
                <w:szCs w:val="18"/>
              </w:rPr>
              <w:t xml:space="preserve">shift_assignments</w:t>
            </w:r>
            <w:r>
              <w:rPr>
                <w:b w:val="false"/>
                <w:bCs w:val="false"/>
                <w:sz w:val="20"/>
                <w:szCs w:val="20"/>
              </w:rPr>
              <w:t xml:space="preserve">, </w:t>
            </w:r>
            <w:r>
              <w:rPr>
                <w:rFonts w:ascii="Consolas" w:cs="Consolas" w:eastAsia="Consolas" w:hAnsi="Consolas"/>
                <w:b w:val="false"/>
                <w:bCs w:val="false"/>
                <w:sz w:val="18"/>
                <w:szCs w:val="18"/>
              </w:rPr>
              <w:t xml:space="preserve">attendance_records</w:t>
            </w:r>
            <w:r>
              <w:rPr>
                <w:b w:val="false"/>
                <w:bCs w:val="false"/>
                <w:sz w:val="20"/>
                <w:szCs w:val="20"/>
              </w:rPr>
              <w:t xml:space="preserve">, </w:t>
            </w:r>
            <w:r>
              <w:rPr>
                <w:rFonts w:ascii="Consolas" w:cs="Consolas" w:eastAsia="Consolas" w:hAnsi="Consolas"/>
                <w:b w:val="false"/>
                <w:bCs w:val="false"/>
                <w:sz w:val="18"/>
                <w:szCs w:val="18"/>
              </w:rPr>
              <w:t xml:space="preserve">attendance_correction_requests</w:t>
            </w:r>
            <w:r>
              <w:rPr>
                <w:b w:val="false"/>
                <w:bCs w:val="false"/>
                <w:sz w:val="20"/>
                <w:szCs w:val="20"/>
              </w:rPr>
              <w:t xml:space="preserve">, </w:t>
            </w:r>
            <w:r>
              <w:rPr>
                <w:rFonts w:ascii="Consolas" w:cs="Consolas" w:eastAsia="Consolas" w:hAnsi="Consolas"/>
                <w:b w:val="false"/>
                <w:bCs w:val="false"/>
                <w:sz w:val="18"/>
                <w:szCs w:val="18"/>
              </w:rPr>
              <w:t xml:space="preserve">leave_types</w:t>
            </w:r>
            <w:r>
              <w:rPr>
                <w:b w:val="false"/>
                <w:bCs w:val="false"/>
                <w:sz w:val="20"/>
                <w:szCs w:val="20"/>
              </w:rPr>
              <w:t xml:space="preserve">, </w:t>
            </w:r>
            <w:r>
              <w:rPr>
                <w:rFonts w:ascii="Consolas" w:cs="Consolas" w:eastAsia="Consolas" w:hAnsi="Consolas"/>
                <w:b w:val="false"/>
                <w:bCs w:val="false"/>
                <w:sz w:val="18"/>
                <w:szCs w:val="18"/>
              </w:rPr>
              <w:t xml:space="preserve">leave_entitlements</w:t>
            </w:r>
            <w:r>
              <w:rPr>
                <w:b w:val="false"/>
                <w:bCs w:val="false"/>
                <w:sz w:val="20"/>
                <w:szCs w:val="20"/>
              </w:rPr>
              <w:t xml:space="preserve">, </w:t>
            </w:r>
            <w:r>
              <w:rPr>
                <w:rFonts w:ascii="Consolas" w:cs="Consolas" w:eastAsia="Consolas" w:hAnsi="Consolas"/>
                <w:b w:val="false"/>
                <w:bCs w:val="false"/>
                <w:sz w:val="18"/>
                <w:szCs w:val="18"/>
              </w:rPr>
              <w:t xml:space="preserve">leave_requests</w:t>
            </w:r>
            <w:r>
              <w:rPr>
                <w:b w:val="false"/>
                <w:bCs w:val="false"/>
                <w:sz w:val="20"/>
                <w:szCs w:val="20"/>
              </w:rPr>
              <w:t xml:space="preserve">, </w:t>
            </w:r>
            <w:r>
              <w:rPr>
                <w:rFonts w:ascii="Consolas" w:cs="Consolas" w:eastAsia="Consolas" w:hAnsi="Consolas"/>
                <w:b w:val="false"/>
                <w:bCs w:val="false"/>
                <w:sz w:val="18"/>
                <w:szCs w:val="18"/>
              </w:rPr>
              <w:t xml:space="preserve">public_holidays</w:t>
            </w:r>
          </w:p>
        </w:tc>
        <w:tc>
          <w:tcPr>
            <w:tcW w:type="dxa" w:w="35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One open attendance session per employee; transactional allocated/used/pending leave quotas</w:t>
            </w:r>
          </w:p>
        </w:tc>
      </w:tr>
      <w:tr>
        <w:trPr>
          <w:cantSplit/>
        </w:trPr>
        <w:tc>
          <w:tcPr>
            <w:tcW w:type="dxa" w:w="2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Tasks, OKRs, and Lifecycle (6)</w:t>
            </w:r>
          </w:p>
        </w:tc>
        <w:tc>
          <w:tcPr>
            <w:tcW w:type="dxa" w:w="41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tasks</w:t>
            </w:r>
            <w:r>
              <w:rPr>
                <w:b w:val="false"/>
                <w:bCs w:val="false"/>
                <w:sz w:val="20"/>
                <w:szCs w:val="20"/>
              </w:rPr>
              <w:t xml:space="preserve">, </w:t>
            </w:r>
            <w:r>
              <w:rPr>
                <w:rFonts w:ascii="Consolas" w:cs="Consolas" w:eastAsia="Consolas" w:hAnsi="Consolas"/>
                <w:b w:val="false"/>
                <w:bCs w:val="false"/>
                <w:sz w:val="18"/>
                <w:szCs w:val="18"/>
              </w:rPr>
              <w:t xml:space="preserve">task_comments</w:t>
            </w:r>
            <w:r>
              <w:rPr>
                <w:b w:val="false"/>
                <w:bCs w:val="false"/>
                <w:sz w:val="20"/>
                <w:szCs w:val="20"/>
              </w:rPr>
              <w:t xml:space="preserve">, </w:t>
            </w:r>
            <w:r>
              <w:rPr>
                <w:rFonts w:ascii="Consolas" w:cs="Consolas" w:eastAsia="Consolas" w:hAnsi="Consolas"/>
                <w:b w:val="false"/>
                <w:bCs w:val="false"/>
                <w:sz w:val="18"/>
                <w:szCs w:val="18"/>
              </w:rPr>
              <w:t xml:space="preserve">performance_goals</w:t>
            </w:r>
            <w:r>
              <w:rPr>
                <w:b w:val="false"/>
                <w:bCs w:val="false"/>
                <w:sz w:val="20"/>
                <w:szCs w:val="20"/>
              </w:rPr>
              <w:t xml:space="preserve">, </w:t>
            </w:r>
            <w:r>
              <w:rPr>
                <w:rFonts w:ascii="Consolas" w:cs="Consolas" w:eastAsia="Consolas" w:hAnsi="Consolas"/>
                <w:b w:val="false"/>
                <w:bCs w:val="false"/>
                <w:sz w:val="18"/>
                <w:szCs w:val="18"/>
              </w:rPr>
              <w:t xml:space="preserve">performance_reviews</w:t>
            </w:r>
            <w:r>
              <w:rPr>
                <w:b w:val="false"/>
                <w:bCs w:val="false"/>
                <w:sz w:val="20"/>
                <w:szCs w:val="20"/>
              </w:rPr>
              <w:t xml:space="preserve">, </w:t>
            </w:r>
            <w:r>
              <w:rPr>
                <w:rFonts w:ascii="Consolas" w:cs="Consolas" w:eastAsia="Consolas" w:hAnsi="Consolas"/>
                <w:b w:val="false"/>
                <w:bCs w:val="false"/>
                <w:sz w:val="18"/>
                <w:szCs w:val="18"/>
              </w:rPr>
              <w:t xml:space="preserve">onboarding_checklists</w:t>
            </w:r>
            <w:r>
              <w:rPr>
                <w:b w:val="false"/>
                <w:bCs w:val="false"/>
                <w:sz w:val="20"/>
                <w:szCs w:val="20"/>
              </w:rPr>
              <w:t xml:space="preserve">, </w:t>
            </w:r>
            <w:r>
              <w:rPr>
                <w:rFonts w:ascii="Consolas" w:cs="Consolas" w:eastAsia="Consolas" w:hAnsi="Consolas"/>
                <w:b w:val="false"/>
                <w:bCs w:val="false"/>
                <w:sz w:val="18"/>
                <w:szCs w:val="18"/>
              </w:rPr>
              <w:t xml:space="preserve">onboarding_tasks</w:t>
            </w:r>
          </w:p>
        </w:tc>
        <w:tc>
          <w:tcPr>
            <w:tcW w:type="dxa" w:w="35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val="false"/>
                <w:bCs w:val="false"/>
                <w:sz w:val="20"/>
                <w:szCs w:val="20"/>
              </w:rPr>
              <w:t xml:space="preserve">Task progress and checklist completion automatically recalculate the employee onboarding percentage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Payroll and Notifications (3)</w:t>
            </w:r>
          </w:p>
        </w:tc>
        <w:tc>
          <w:tcPr>
            <w:tcW w:type="dxa" w:w="4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compensation_records</w:t>
            </w:r>
            <w:r>
              <w:rPr>
                <w:b w:val="false"/>
                <w:bCs w:val="false"/>
                <w:sz w:val="20"/>
                <w:szCs w:val="20"/>
              </w:rPr>
              <w:t xml:space="preserve">, </w:t>
            </w:r>
            <w:r>
              <w:rPr>
                <w:rFonts w:ascii="Consolas" w:cs="Consolas" w:eastAsia="Consolas" w:hAnsi="Consolas"/>
                <w:b w:val="false"/>
                <w:bCs w:val="false"/>
                <w:sz w:val="18"/>
                <w:szCs w:val="18"/>
              </w:rPr>
              <w:t xml:space="preserve">payroll_periods</w:t>
            </w:r>
            <w:r>
              <w:rPr>
                <w:b w:val="false"/>
                <w:bCs w:val="false"/>
                <w:sz w:val="20"/>
                <w:szCs w:val="20"/>
              </w:rPr>
              <w:t xml:space="preserve">, </w:t>
            </w:r>
            <w:r>
              <w:rPr>
                <w:rFonts w:ascii="Consolas" w:cs="Consolas" w:eastAsia="Consolas" w:hAnsi="Consolas"/>
                <w:b w:val="false"/>
                <w:bCs w:val="false"/>
                <w:sz w:val="18"/>
                <w:szCs w:val="18"/>
              </w:rPr>
              <w:t xml:space="preserve">payroll_items</w:t>
            </w:r>
            <w:r>
              <w:rPr>
                <w:b w:val="false"/>
                <w:bCs w:val="false"/>
                <w:sz w:val="20"/>
                <w:szCs w:val="20"/>
              </w:rPr>
              <w:t xml:space="preserve">, </w:t>
            </w:r>
            <w:r>
              <w:rPr>
                <w:rFonts w:ascii="Consolas" w:cs="Consolas" w:eastAsia="Consolas" w:hAnsi="Consolas"/>
                <w:b w:val="false"/>
                <w:bCs w:val="false"/>
                <w:sz w:val="18"/>
                <w:szCs w:val="18"/>
              </w:rPr>
              <w:t xml:space="preserve">notifications</w:t>
            </w:r>
          </w:p>
        </w:tc>
        <w:tc>
          <w:tcPr>
            <w:tcW w:type="dxa" w:w="35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Historical salary versioning (</w:t>
            </w:r>
            <w:r>
              <w:rPr>
                <w:rFonts w:ascii="Consolas" w:cs="Consolas" w:eastAsia="Consolas" w:hAnsi="Consolas"/>
                <w:b w:val="false"/>
                <w:bCs w:val="false"/>
                <w:sz w:val="18"/>
                <w:szCs w:val="18"/>
              </w:rPr>
              <w:t xml:space="preserve">is_current</w:t>
            </w:r>
            <w:r>
              <w:rPr>
                <w:b w:val="false"/>
                <w:bCs w:val="false"/>
                <w:sz w:val="20"/>
                <w:szCs w:val="20"/>
              </w:rPr>
              <w:t xml:space="preserve">); EGP payroll items linked to payroll periods</w:t>
            </w:r>
          </w:p>
        </w:tc>
      </w:tr>
    </w:tbl>
    <w:p>
      <w:pPr>
        <w:spacing w:after="160"/>
      </w:pPr>
    </w:p>
    <w:p>
      <w:pPr>
        <w:keepNext/>
        <w:spacing w:after="80" w:before="120"/>
        <w:jc w:val="center"/>
      </w:pPr>
      <w:r>
        <w:drawing>
          <wp:inline distT="0" distB="0" distL="0" distR="0">
            <wp:extent cx="6038850" cy="3009900"/>
            <wp:effectExtent t="0" r="0" b="0" l="0"/>
            <wp:docPr id="1" name="figure4" descr="Entity-relationship diagram of the PostgreSQL databa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3009900"/>
                    </a:xfrm>
                    <a:prstGeom prst="rect">
                      <a:avLst/>
                    </a:prstGeom>
                  </pic:spPr>
                </pic:pic>
              </a:graphicData>
            </a:graphic>
          </wp:inline>
        </w:drawing>
      </w:r>
    </w:p>
    <w:p>
      <w:pPr>
        <w:pStyle w:val="Caption"/>
      </w:pPr>
      <w:r>
        <w:rPr>
          <w:b/>
          <w:bCs/>
          <w:i w:val="false"/>
          <w:iCs w:val="false"/>
        </w:rPr>
        <w:t xml:space="preserve">Figure 4 – </w:t>
      </w:r>
      <w:r>
        <w:t xml:space="preserve">Crow’s foot entity-relationship (ER) diagram of the normalized PostgreSQL database</w:t>
      </w:r>
    </w:p>
    <w:p>
      <w:pPr>
        <w:pStyle w:val="Heading1"/>
      </w:pPr>
      <w:bookmarkStart w:name="_Toc016" w:id="16"/>
      <w:r>
        <w:t xml:space="preserve">6. Dynamic Models</w:t>
      </w:r>
      <w:bookmarkEnd w:id="16"/>
    </w:p>
    <w:p>
      <w:r>
        <w:t xml:space="preserve">This chapter presents the dynamic behavior of NexaHR through UML activity diagrams, sequence diagrams, and state machine diagrams.</w:t>
      </w:r>
    </w:p>
    <w:p>
      <w:pPr>
        <w:pStyle w:val="Heading2"/>
      </w:pPr>
      <w:bookmarkStart w:name="_Toc017" w:id="17"/>
      <w:r>
        <w:t xml:space="preserve">6.1 Activity Diagrams</w:t>
      </w:r>
      <w:bookmarkEnd w:id="17"/>
    </w:p>
    <w:p>
      <w:pPr>
        <w:pStyle w:val="Heading3"/>
      </w:pPr>
      <w:bookmarkStart w:name="_Toc018" w:id="18"/>
      <w:r>
        <w:t xml:space="preserve">6.1.1 Leave Request and Approval Workflow</w:t>
      </w:r>
      <w:bookmarkEnd w:id="18"/>
    </w:p>
    <w:p>
      <w:pPr>
        <w:keepNext/>
      </w:pPr>
      <w:r>
        <w:t xml:space="preserve">This activity diagram models the exclusion of Egyptian weekends and holidays, overlap prevention, pending-quota reservation, and the manager decision branches.</w:t>
      </w:r>
    </w:p>
    <w:p>
      <w:pPr>
        <w:pStyle w:val="ListParagraph"/>
        <w:keepNext/>
        <w:numPr>
          <w:ilvl w:val="0"/>
          <w:numId w:val="2"/>
        </w:numPr>
        <w:spacing w:after="100"/>
      </w:pPr>
      <w:r>
        <w:rPr>
          <w:b/>
          <w:bCs/>
        </w:rPr>
        <w:t xml:space="preserve">Transactional quota state machine:</w:t>
      </w:r>
      <w:r>
        <w:t xml:space="preserve"> Submitting a paid leave request immediately reserves </w:t>
      </w:r>
      <w:r>
        <w:rPr>
          <w:rFonts w:ascii="Consolas" w:cs="Consolas" w:eastAsia="Consolas" w:hAnsi="Consolas"/>
          <w:sz w:val="20"/>
          <w:szCs w:val="20"/>
        </w:rPr>
        <w:t xml:space="preserve">pending_days</w:t>
      </w:r>
      <w:r>
        <w:t xml:space="preserve">. Approval moves the reserved days from </w:t>
      </w:r>
      <w:r>
        <w:rPr>
          <w:rFonts w:ascii="Consolas" w:cs="Consolas" w:eastAsia="Consolas" w:hAnsi="Consolas"/>
          <w:sz w:val="20"/>
          <w:szCs w:val="20"/>
        </w:rPr>
        <w:t xml:space="preserve">pending_days</w:t>
      </w:r>
      <w:r>
        <w:t xml:space="preserve"> to </w:t>
      </w:r>
      <w:r>
        <w:rPr>
          <w:rFonts w:ascii="Consolas" w:cs="Consolas" w:eastAsia="Consolas" w:hAnsi="Consolas"/>
          <w:sz w:val="20"/>
          <w:szCs w:val="20"/>
        </w:rPr>
        <w:t xml:space="preserve">used_days</w:t>
      </w:r>
      <w:r>
        <w:t xml:space="preserve">, whereas rejection or cancellation by the employee restores the days to the available balance.</w:t>
      </w:r>
    </w:p>
    <w:p>
      <w:pPr>
        <w:keepNext/>
        <w:spacing w:after="80" w:before="120"/>
        <w:jc w:val="center"/>
      </w:pPr>
      <w:r>
        <w:drawing>
          <wp:inline distT="0" distB="0" distL="0" distR="0">
            <wp:extent cx="3286125" cy="5391150"/>
            <wp:effectExtent t="0" r="0" b="0" l="0"/>
            <wp:docPr id="1" name="figure5" descr="UML activity diagram of the leave request workfl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5391150"/>
                    </a:xfrm>
                    <a:prstGeom prst="rect">
                      <a:avLst/>
                    </a:prstGeom>
                  </pic:spPr>
                </pic:pic>
              </a:graphicData>
            </a:graphic>
          </wp:inline>
        </w:drawing>
      </w:r>
    </w:p>
    <w:p>
      <w:pPr>
        <w:pStyle w:val="Caption"/>
      </w:pPr>
      <w:r>
        <w:rPr>
          <w:b/>
          <w:bCs/>
          <w:i w:val="false"/>
          <w:iCs w:val="false"/>
        </w:rPr>
        <w:t xml:space="preserve">Figure 5 – </w:t>
      </w:r>
      <w:r>
        <w:t xml:space="preserve">UML activity diagram: leave submission, domain validation, and approval, rejection, or cancellation</w:t>
      </w:r>
    </w:p>
    <w:p>
      <w:pPr>
        <w:pStyle w:val="Heading3"/>
      </w:pPr>
      <w:bookmarkStart w:name="_Toc019" w:id="19"/>
      <w:r>
        <w:t xml:space="preserve">6.1.2 Attendance and Punctuality Workflow</w:t>
      </w:r>
      <w:bookmarkEnd w:id="19"/>
    </w:p>
    <w:p>
      <w:pPr>
        <w:keepNext/>
      </w:pPr>
      <w:r>
        <w:t xml:space="preserve">This activity diagram models server-authoritative UTC check-in and check-out, evaluation of punctuality in the Cairo timezone (09:00 start with a 15-minute grace period), and the attendance correction workflow.</w:t>
      </w:r>
    </w:p>
    <w:p>
      <w:pPr>
        <w:pStyle w:val="ListParagraph"/>
        <w:keepNext/>
        <w:numPr>
          <w:ilvl w:val="0"/>
          <w:numId w:val="2"/>
        </w:numPr>
        <w:spacing w:after="100"/>
      </w:pPr>
      <w:r>
        <w:rPr>
          <w:b/>
          <w:bCs/>
        </w:rPr>
        <w:t xml:space="preserve">Grace period and worked-hours calculation:</w:t>
      </w:r>
      <w:r>
        <w:t xml:space="preserve"> The system evaluates </w:t>
      </w:r>
      <w:r>
        <w:rPr>
          <w:rFonts w:ascii="Consolas" w:cs="Consolas" w:eastAsia="Consolas" w:hAnsi="Consolas"/>
          <w:sz w:val="20"/>
          <w:szCs w:val="20"/>
        </w:rPr>
        <w:t xml:space="preserve">checkInUtc</w:t>
      </w:r>
      <w:r>
        <w:t xml:space="preserve"> against the shift start time (09:00 Africa/Cairo) plus a 15-minute grace window (until 09:15). At check-out it computes the total </w:t>
      </w:r>
      <w:r>
        <w:rPr>
          <w:rFonts w:ascii="Consolas" w:cs="Consolas" w:eastAsia="Consolas" w:hAnsi="Consolas"/>
          <w:sz w:val="20"/>
          <w:szCs w:val="20"/>
        </w:rPr>
        <w:t xml:space="preserve">workedMinutes</w:t>
      </w:r>
      <w:r>
        <w:t xml:space="preserve"> and </w:t>
      </w:r>
      <w:r>
        <w:rPr>
          <w:rFonts w:ascii="Consolas" w:cs="Consolas" w:eastAsia="Consolas" w:hAnsi="Consolas"/>
          <w:sz w:val="20"/>
          <w:szCs w:val="20"/>
        </w:rPr>
        <w:t xml:space="preserve">overtimeMinutes</w:t>
      </w:r>
      <w:r>
        <w:t xml:space="preserve">, and employees may submit correction requests for manager review.</w:t>
      </w:r>
    </w:p>
    <w:p>
      <w:pPr>
        <w:keepNext/>
        <w:spacing w:after="80" w:before="120"/>
        <w:jc w:val="center"/>
      </w:pPr>
      <w:r>
        <w:drawing>
          <wp:inline distT="0" distB="0" distL="0" distR="0">
            <wp:extent cx="3524250" cy="6305550"/>
            <wp:effectExtent t="0" r="0" b="0" l="0"/>
            <wp:docPr id="1" name="figure6" descr="UML activity diagram of the attendance workflo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24250" cy="6305550"/>
                    </a:xfrm>
                    <a:prstGeom prst="rect">
                      <a:avLst/>
                    </a:prstGeom>
                  </pic:spPr>
                </pic:pic>
              </a:graphicData>
            </a:graphic>
          </wp:inline>
        </w:drawing>
      </w:r>
    </w:p>
    <w:p>
      <w:pPr>
        <w:pStyle w:val="Caption"/>
      </w:pPr>
      <w:r>
        <w:rPr>
          <w:b/>
          <w:bCs/>
          <w:i w:val="false"/>
          <w:iCs w:val="false"/>
        </w:rPr>
        <w:t xml:space="preserve">Figure 6 – </w:t>
      </w:r>
      <w:r>
        <w:t xml:space="preserve">UML activity diagram: daily check-in, check-out, grace-period evaluation, and attendance correction</w:t>
      </w:r>
    </w:p>
    <w:p>
      <w:pPr>
        <w:pStyle w:val="Heading3"/>
      </w:pPr>
      <w:bookmarkStart w:name="_Toc020" w:id="20"/>
      <w:r>
        <w:t xml:space="preserve">6.1.3 Employee Creation and Auto-Provisioning</w:t>
      </w:r>
      <w:bookmarkEnd w:id="20"/>
    </w:p>
    <w:p>
      <w:pPr>
        <w:keepNext/>
      </w:pPr>
      <w:r>
        <w:t xml:space="preserve">This activity diagram models the multi-table transactional provisioning that is triggered when an HR Manager or Administrator creates a new employee through </w:t>
      </w:r>
      <w:r>
        <w:rPr>
          <w:rFonts w:ascii="Consolas" w:cs="Consolas" w:eastAsia="Consolas" w:hAnsi="Consolas"/>
          <w:sz w:val="20"/>
          <w:szCs w:val="20"/>
        </w:rPr>
        <w:t xml:space="preserve">POST /api/employees</w:t>
      </w:r>
      <w:r>
        <w:t xml:space="preserve">.</w:t>
      </w:r>
    </w:p>
    <w:p>
      <w:pPr>
        <w:pStyle w:val="ListParagraph"/>
        <w:keepNext/>
        <w:numPr>
          <w:ilvl w:val="0"/>
          <w:numId w:val="2"/>
        </w:numPr>
        <w:spacing w:after="100"/>
      </w:pPr>
      <w:r>
        <w:rPr>
          <w:b/>
          <w:bCs/>
        </w:rPr>
        <w:t xml:space="preserve">Automated multi-table provisioning:</w:t>
      </w:r>
      <w:r>
        <w:t xml:space="preserve"> After verifying RBAC permissions, field rules, and the acyclic manager hierarchy (</w:t>
      </w:r>
      <w:r>
        <w:rPr>
          <w:rFonts w:ascii="Consolas" w:cs="Consolas" w:eastAsia="Consolas" w:hAnsi="Consolas"/>
          <w:sz w:val="20"/>
          <w:szCs w:val="20"/>
        </w:rPr>
        <w:t xml:space="preserve">hasCircularManagerRelationship</w:t>
      </w:r>
      <w:r>
        <w:t xml:space="preserve">), the server generates the next sequential </w:t>
      </w:r>
      <w:r>
        <w:rPr>
          <w:rFonts w:ascii="Consolas" w:cs="Consolas" w:eastAsia="Consolas" w:hAnsi="Consolas"/>
          <w:sz w:val="20"/>
          <w:szCs w:val="20"/>
        </w:rPr>
        <w:t xml:space="preserve">NW-EMP-XXX</w:t>
      </w:r>
      <w:r>
        <w:t xml:space="preserve"> code and, in parallel, provisions the 2026 leave quotas, the EGP compensation record, and four onboarding clearance tasks.</w:t>
      </w:r>
    </w:p>
    <w:p>
      <w:pPr>
        <w:keepNext/>
        <w:spacing w:after="80" w:before="120"/>
        <w:jc w:val="center"/>
      </w:pPr>
      <w:r>
        <w:drawing>
          <wp:inline distT="0" distB="0" distL="0" distR="0">
            <wp:extent cx="4686300" cy="6305550"/>
            <wp:effectExtent t="0" r="0" b="0" l="0"/>
            <wp:docPr id="1" name="figure7" descr="UML activity diagram of employee creation and provision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86300" cy="6305550"/>
                    </a:xfrm>
                    <a:prstGeom prst="rect">
                      <a:avLst/>
                    </a:prstGeom>
                  </pic:spPr>
                </pic:pic>
              </a:graphicData>
            </a:graphic>
          </wp:inline>
        </w:drawing>
      </w:r>
    </w:p>
    <w:p>
      <w:pPr>
        <w:pStyle w:val="Caption"/>
      </w:pPr>
      <w:r>
        <w:rPr>
          <w:b/>
          <w:bCs/>
          <w:i w:val="false"/>
          <w:iCs w:val="false"/>
        </w:rPr>
        <w:t xml:space="preserve">Figure 7 – </w:t>
      </w:r>
      <w:r>
        <w:t xml:space="preserve">UML activity diagram: employee creation, circular-hierarchy guard, and parallel auto-provisioning</w:t>
      </w:r>
    </w:p>
    <w:p>
      <w:pPr>
        <w:pStyle w:val="Heading2"/>
      </w:pPr>
      <w:bookmarkStart w:name="_Toc021" w:id="21"/>
      <w:r>
        <w:t xml:space="preserve">6.2 Sequence Diagrams</w:t>
      </w:r>
      <w:bookmarkEnd w:id="21"/>
    </w:p>
    <w:p>
      <w:pPr>
        <w:pStyle w:val="Heading3"/>
      </w:pPr>
      <w:bookmarkStart w:name="_Toc022" w:id="22"/>
      <w:r>
        <w:t xml:space="preserve">6.2.1 Leave Submission and Manager Approval</w:t>
      </w:r>
      <w:bookmarkEnd w:id="22"/>
    </w:p>
    <w:p>
      <w:pPr>
        <w:keepNext/>
      </w:pPr>
      <w:r>
        <w:t xml:space="preserve">This sequence diagram shows time-ordered lifelines across the Employee, Department Manager, LeavePage UI, Express API, Domain Rules, and Cloud SQL.</w:t>
      </w:r>
    </w:p>
    <w:p>
      <w:pPr>
        <w:pStyle w:val="ListParagraph"/>
        <w:keepNext/>
        <w:numPr>
          <w:ilvl w:val="0"/>
          <w:numId w:val="2"/>
        </w:numPr>
        <w:spacing w:after="100"/>
      </w:pPr>
      <w:r>
        <w:rPr>
          <w:b/>
          <w:bCs/>
        </w:rPr>
        <w:t xml:space="preserve">End-to-end message traceability:</w:t>
      </w:r>
      <w:r>
        <w:t xml:space="preserve"> The diagram illustrates both the validation-failure alternative frame (HTTP 400 Bad Request) and the transactional commit path (HTTP 201 Created), followed by the Department Manager approval through </w:t>
      </w:r>
      <w:r>
        <w:rPr>
          <w:rFonts w:ascii="Consolas" w:cs="Consolas" w:eastAsia="Consolas" w:hAnsi="Consolas"/>
          <w:sz w:val="20"/>
          <w:szCs w:val="20"/>
        </w:rPr>
        <w:t xml:space="preserve">PATCH /api/leave/requests/:id/decision</w:t>
      </w:r>
      <w:r>
        <w:t xml:space="preserve">.</w:t>
      </w:r>
    </w:p>
    <w:p>
      <w:pPr>
        <w:keepNext/>
        <w:spacing w:after="80" w:before="120"/>
        <w:jc w:val="center"/>
      </w:pPr>
      <w:r>
        <w:drawing>
          <wp:inline distT="0" distB="0" distL="0" distR="0">
            <wp:extent cx="6038850" cy="5067300"/>
            <wp:effectExtent t="0" r="0" b="0" l="0"/>
            <wp:docPr id="1" name="figure8" descr="UML sequence diagram of leave submission and approva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5067300"/>
                    </a:xfrm>
                    <a:prstGeom prst="rect">
                      <a:avLst/>
                    </a:prstGeom>
                  </pic:spPr>
                </pic:pic>
              </a:graphicData>
            </a:graphic>
          </wp:inline>
        </w:drawing>
      </w:r>
    </w:p>
    <w:p>
      <w:pPr>
        <w:pStyle w:val="Caption"/>
      </w:pPr>
      <w:r>
        <w:rPr>
          <w:b/>
          <w:bCs/>
          <w:i w:val="false"/>
          <w:iCs w:val="false"/>
        </w:rPr>
        <w:t xml:space="preserve">Figure 8 – </w:t>
      </w:r>
      <w:r>
        <w:t xml:space="preserve">UML sequence diagram: leave request submission (POST) and manager approval decision (PATCH)</w:t>
      </w:r>
    </w:p>
    <w:p>
      <w:pPr>
        <w:pStyle w:val="Heading3"/>
      </w:pPr>
      <w:bookmarkStart w:name="_Toc023" w:id="23"/>
      <w:r>
        <w:t xml:space="preserve">6.2.2 Employee Auto-Provisioning</w:t>
      </w:r>
      <w:bookmarkEnd w:id="23"/>
    </w:p>
    <w:p>
      <w:pPr>
        <w:keepNext/>
      </w:pPr>
      <w:r>
        <w:t xml:space="preserve">This sequence diagram shows the HR Manager submitting the New Employee modal, followed by circular-hierarchy validation, generation of the sequential code </w:t>
      </w:r>
      <w:r>
        <w:rPr>
          <w:rFonts w:ascii="Consolas" w:cs="Consolas" w:eastAsia="Consolas" w:hAnsi="Consolas"/>
          <w:sz w:val="20"/>
          <w:szCs w:val="20"/>
        </w:rPr>
        <w:t xml:space="preserve">NW-EMP-026</w:t>
      </w:r>
      <w:r>
        <w:t xml:space="preserve">, and the multi-table PostgreSQL inserts.</w:t>
      </w:r>
    </w:p>
    <w:p>
      <w:pPr>
        <w:keepNext/>
        <w:spacing w:after="80" w:before="120"/>
        <w:jc w:val="center"/>
      </w:pPr>
      <w:r>
        <w:drawing>
          <wp:inline distT="0" distB="0" distL="0" distR="0">
            <wp:extent cx="5486400" cy="4305300"/>
            <wp:effectExtent t="0" r="0" b="0" l="0"/>
            <wp:docPr id="1" name="figure9" descr="UML sequence diagram of employee provisioning"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305300"/>
                    </a:xfrm>
                    <a:prstGeom prst="rect">
                      <a:avLst/>
                    </a:prstGeom>
                  </pic:spPr>
                </pic:pic>
              </a:graphicData>
            </a:graphic>
          </wp:inline>
        </w:drawing>
      </w:r>
    </w:p>
    <w:p>
      <w:pPr>
        <w:pStyle w:val="Caption"/>
      </w:pPr>
      <w:r>
        <w:rPr>
          <w:b/>
          <w:bCs/>
          <w:i w:val="false"/>
          <w:iCs w:val="false"/>
        </w:rPr>
        <w:t xml:space="preserve">Figure 9 – </w:t>
      </w:r>
      <w:r>
        <w:t xml:space="preserve">UML sequence diagram: employee creation and provisioning</w:t>
      </w:r>
    </w:p>
    <w:p>
      <w:pPr>
        <w:pStyle w:val="Heading3"/>
      </w:pPr>
      <w:bookmarkStart w:name="_Toc024" w:id="24"/>
      <w:r>
        <w:t xml:space="preserve">6.2.3 Authentication and Arabic RTL Bootstrap</w:t>
      </w:r>
      <w:bookmarkEnd w:id="24"/>
    </w:p>
    <w:p>
      <w:pPr>
        <w:keepNext/>
      </w:pPr>
      <w:r>
        <w:t xml:space="preserve">This sequence diagram shows </w:t>
      </w:r>
      <w:r>
        <w:rPr>
          <w:rFonts w:ascii="Consolas" w:cs="Consolas" w:eastAsia="Consolas" w:hAnsi="Consolas"/>
          <w:sz w:val="20"/>
          <w:szCs w:val="20"/>
        </w:rPr>
        <w:t xml:space="preserve">LanguageContext</w:t>
      </w:r>
      <w:r>
        <w:t xml:space="preserve"> initializing the default ar-EG right-to-left locale, </w:t>
      </w:r>
      <w:r>
        <w:rPr>
          <w:rFonts w:ascii="Consolas" w:cs="Consolas" w:eastAsia="Consolas" w:hAnsi="Consolas"/>
          <w:sz w:val="20"/>
          <w:szCs w:val="20"/>
        </w:rPr>
        <w:t xml:space="preserve">POST /api/auth/login</w:t>
      </w:r>
      <w:r>
        <w:t xml:space="preserve"> issuing a signed HMAC token, and </w:t>
      </w:r>
      <w:r>
        <w:rPr>
          <w:rFonts w:ascii="Consolas" w:cs="Consolas" w:eastAsia="Consolas" w:hAnsi="Consolas"/>
          <w:sz w:val="20"/>
          <w:szCs w:val="20"/>
        </w:rPr>
        <w:t xml:space="preserve">GET /api/bootstrap</w:t>
      </w:r>
      <w:r>
        <w:t xml:space="preserve"> filtering confidential records according to the RBAC role.</w:t>
      </w:r>
    </w:p>
    <w:p>
      <w:pPr>
        <w:keepNext/>
        <w:spacing w:after="80" w:before="120"/>
        <w:jc w:val="center"/>
      </w:pPr>
      <w:r>
        <w:drawing>
          <wp:inline distT="0" distB="0" distL="0" distR="0">
            <wp:extent cx="4752975" cy="3362325"/>
            <wp:effectExtent t="0" r="0" b="0" l="0"/>
            <wp:docPr id="1" name="figure10" descr="UML sequence diagram of authentication and bootstra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3362325"/>
                    </a:xfrm>
                    <a:prstGeom prst="rect">
                      <a:avLst/>
                    </a:prstGeom>
                  </pic:spPr>
                </pic:pic>
              </a:graphicData>
            </a:graphic>
          </wp:inline>
        </w:drawing>
      </w:r>
    </w:p>
    <w:p>
      <w:pPr>
        <w:pStyle w:val="Caption"/>
      </w:pPr>
      <w:r>
        <w:rPr>
          <w:b/>
          <w:bCs/>
          <w:i w:val="false"/>
          <w:iCs w:val="false"/>
        </w:rPr>
        <w:t xml:space="preserve">Figure 10 – </w:t>
      </w:r>
      <w:r>
        <w:t xml:space="preserve">UML sequence diagram: authentication, RBAC, and Arabic RTL bootstrap</w:t>
      </w:r>
    </w:p>
    <w:p>
      <w:pPr>
        <w:pStyle w:val="Heading3"/>
      </w:pPr>
      <w:bookmarkStart w:name="_Toc025" w:id="25"/>
      <w:r>
        <w:t xml:space="preserve">6.2.4 EGP Payroll Calculation</w:t>
      </w:r>
      <w:bookmarkEnd w:id="25"/>
    </w:p>
    <w:p>
      <w:pPr>
        <w:keepNext/>
      </w:pPr>
      <w:r>
        <w:t xml:space="preserve">This sequence diagram models the Egyptian EGP payroll calculation, the payroll cycle approval, and the RBAC confidentiality guard.</w:t>
      </w:r>
    </w:p>
    <w:p>
      <w:pPr>
        <w:keepNext/>
        <w:spacing w:after="80" w:before="120"/>
        <w:jc w:val="center"/>
      </w:pPr>
      <w:r>
        <w:drawing>
          <wp:inline distT="0" distB="0" distL="0" distR="0">
            <wp:extent cx="5305425" cy="2457450"/>
            <wp:effectExtent t="0" r="0" b="0" l="0"/>
            <wp:docPr id="1" name="figure11" descr="UML sequence diagram of payroll calcula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457450"/>
                    </a:xfrm>
                    <a:prstGeom prst="rect">
                      <a:avLst/>
                    </a:prstGeom>
                  </pic:spPr>
                </pic:pic>
              </a:graphicData>
            </a:graphic>
          </wp:inline>
        </w:drawing>
      </w:r>
    </w:p>
    <w:p>
      <w:pPr>
        <w:pStyle w:val="Caption"/>
      </w:pPr>
      <w:r>
        <w:rPr>
          <w:b/>
          <w:bCs/>
          <w:i w:val="false"/>
          <w:iCs w:val="false"/>
        </w:rPr>
        <w:t xml:space="preserve">Figure 11 – </w:t>
      </w:r>
      <w:r>
        <w:t xml:space="preserve">UML sequence diagram: EGP payroll calculation, cycle approval, and RBAC confidentiality guard</w:t>
      </w:r>
    </w:p>
    <w:p>
      <w:pPr>
        <w:pStyle w:val="Heading2"/>
      </w:pPr>
      <w:bookmarkStart w:name="_Toc026" w:id="26"/>
      <w:r>
        <w:t xml:space="preserve">6.3 State Machine Diagrams</w:t>
      </w:r>
      <w:bookmarkEnd w:id="26"/>
    </w:p>
    <w:p>
      <w:pPr>
        <w:pStyle w:val="Heading3"/>
      </w:pPr>
      <w:bookmarkStart w:name="_Toc027" w:id="27"/>
      <w:r>
        <w:t xml:space="preserve">6.3.1 Leave Request Lifecycle</w:t>
      </w:r>
      <w:bookmarkEnd w:id="27"/>
    </w:p>
    <w:p>
      <w:pPr>
        <w:keepNext/>
      </w:pPr>
      <w:r>
        <w:t xml:space="preserve">This state machine models the lifecycle of a leave request (PENDING, APPROVED, REJECTED, and CANCELLED) and the quota adjustments applied on each transition.</w:t>
      </w:r>
    </w:p>
    <w:p>
      <w:pPr>
        <w:keepNext/>
        <w:spacing w:after="80" w:before="120"/>
        <w:jc w:val="center"/>
      </w:pPr>
      <w:r>
        <w:drawing>
          <wp:inline distT="0" distB="0" distL="0" distR="0">
            <wp:extent cx="4572000" cy="3733800"/>
            <wp:effectExtent t="0" r="0" b="0" l="0"/>
            <wp:docPr id="1" name="figure12" descr="UML state machine of the leave request lifecycl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733800"/>
                    </a:xfrm>
                    <a:prstGeom prst="rect">
                      <a:avLst/>
                    </a:prstGeom>
                  </pic:spPr>
                </pic:pic>
              </a:graphicData>
            </a:graphic>
          </wp:inline>
        </w:drawing>
      </w:r>
    </w:p>
    <w:p>
      <w:pPr>
        <w:pStyle w:val="Caption"/>
      </w:pPr>
      <w:r>
        <w:rPr>
          <w:b/>
          <w:bCs/>
          <w:i w:val="false"/>
          <w:iCs w:val="false"/>
        </w:rPr>
        <w:t xml:space="preserve">Figure 12 – </w:t>
      </w:r>
      <w:r>
        <w:t xml:space="preserve">UML state machine: leave request lifecycle</w:t>
      </w:r>
    </w:p>
    <w:p>
      <w:pPr>
        <w:pStyle w:val="Heading3"/>
      </w:pPr>
      <w:bookmarkStart w:name="_Toc028" w:id="28"/>
      <w:r>
        <w:t xml:space="preserve">6.3.2 Task (Kanban) Lifecycle</w:t>
      </w:r>
      <w:bookmarkEnd w:id="28"/>
    </w:p>
    <w:p>
      <w:pPr>
        <w:keepNext/>
      </w:pPr>
      <w:r>
        <w:t xml:space="preserve">This state machine models the lifecycle of a Kanban task through the states TODO, IN_PROGRESS, IN_REVIEW, COMPLETED, and BLOCKED, driven by the task progress value.</w:t>
      </w:r>
    </w:p>
    <w:p>
      <w:pPr>
        <w:keepNext/>
        <w:spacing w:after="80" w:before="120"/>
        <w:jc w:val="center"/>
      </w:pPr>
      <w:r>
        <w:drawing>
          <wp:inline distT="0" distB="0" distL="0" distR="0">
            <wp:extent cx="4391025" cy="4333875"/>
            <wp:effectExtent t="0" r="0" b="0" l="0"/>
            <wp:docPr id="1" name="figure13" descr="UML state machine of the task lifecyc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333875"/>
                    </a:xfrm>
                    <a:prstGeom prst="rect">
                      <a:avLst/>
                    </a:prstGeom>
                  </pic:spPr>
                </pic:pic>
              </a:graphicData>
            </a:graphic>
          </wp:inline>
        </w:drawing>
      </w:r>
    </w:p>
    <w:p>
      <w:pPr>
        <w:pStyle w:val="Caption"/>
      </w:pPr>
      <w:r>
        <w:rPr>
          <w:b/>
          <w:bCs/>
          <w:i w:val="false"/>
          <w:iCs w:val="false"/>
        </w:rPr>
        <w:t xml:space="preserve">Figure 13 – </w:t>
      </w:r>
      <w:r>
        <w:t xml:space="preserve">UML state machine: task (Kanban) lifecycle</w:t>
      </w:r>
    </w:p>
    <w:p>
      <w:pPr>
        <w:pStyle w:val="Heading3"/>
      </w:pPr>
      <w:bookmarkStart w:name="_Toc029" w:id="29"/>
      <w:r>
        <w:t xml:space="preserve">6.3.3 Performance Review and Payroll Period Lifecycles</w:t>
      </w:r>
      <w:bookmarkEnd w:id="29"/>
    </w:p>
    <w:p>
      <w:pPr>
        <w:keepNext/>
      </w:pPr>
      <w:r>
        <w:t xml:space="preserve">These state machines model the multi-stage performance review lifecycle (DRAFT, PUBLISHED, ACKNOWLEDGED) and the payroll period lifecycle (PAY_DRAFT, PAY_APPROVED, PAID).</w:t>
      </w:r>
    </w:p>
    <w:p>
      <w:pPr>
        <w:keepNext/>
        <w:spacing w:after="80" w:before="120"/>
        <w:jc w:val="center"/>
      </w:pPr>
      <w:r>
        <w:drawing>
          <wp:inline distT="0" distB="0" distL="0" distR="0">
            <wp:extent cx="4810125" cy="5667375"/>
            <wp:effectExtent t="0" r="0" b="0" l="0"/>
            <wp:docPr id="1" name="figure14" descr="UML state machines of performance review and payroll perio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10125" cy="5667375"/>
                    </a:xfrm>
                    <a:prstGeom prst="rect">
                      <a:avLst/>
                    </a:prstGeom>
                  </pic:spPr>
                </pic:pic>
              </a:graphicData>
            </a:graphic>
          </wp:inline>
        </w:drawing>
      </w:r>
    </w:p>
    <w:p>
      <w:pPr>
        <w:pStyle w:val="Caption"/>
      </w:pPr>
      <w:r>
        <w:rPr>
          <w:b/>
          <w:bCs/>
          <w:i w:val="false"/>
          <w:iCs w:val="false"/>
        </w:rPr>
        <w:t xml:space="preserve">Figure 14 – </w:t>
      </w:r>
      <w:r>
        <w:t xml:space="preserve">UML state machines: performance review and payroll period lifecycles</w:t>
      </w:r>
    </w:p>
    <w:p>
      <w:pPr>
        <w:pStyle w:val="Heading1"/>
      </w:pPr>
      <w:bookmarkStart w:name="_Toc030" w:id="30"/>
      <w:r>
        <w:t xml:space="preserve">7. Deployment Architecture</w:t>
      </w:r>
      <w:bookmarkEnd w:id="30"/>
    </w:p>
    <w:p>
      <w:pPr>
        <w:pStyle w:val="Heading2"/>
      </w:pPr>
      <w:bookmarkStart w:name="_Toc031" w:id="31"/>
      <w:r>
        <w:t xml:space="preserve">7.1 Runtime and Database Topology</w:t>
      </w:r>
      <w:bookmarkEnd w:id="31"/>
    </w:p>
    <w:p>
      <w:pPr>
        <w:keepNext/>
      </w:pPr>
      <w:r>
        <w:t xml:space="preserve">A containerized Node.js 22 application (Express with the bundled Vite SPA) is deployed on Google Cloud Run (port 3000, HTTPS) and connects through an encrypted TLS connection pool to Google Cloud SQL for PostgreSQL 16 in europe-west2. Figure 15 presents the UML deployment diagram of the production cloud infrastructure.</w:t>
      </w:r>
    </w:p>
    <w:p>
      <w:pPr>
        <w:keepNext/>
        <w:spacing w:after="80" w:before="120"/>
        <w:jc w:val="center"/>
      </w:pPr>
      <w:r>
        <w:drawing>
          <wp:inline distT="0" distB="0" distL="0" distR="0">
            <wp:extent cx="6038850" cy="1981200"/>
            <wp:effectExtent t="0" r="0" b="0" l="0"/>
            <wp:docPr id="1" name="figure15" descr="UML deployment diagram of the cloud infrastructur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1981200"/>
                    </a:xfrm>
                    <a:prstGeom prst="rect">
                      <a:avLst/>
                    </a:prstGeom>
                  </pic:spPr>
                </pic:pic>
              </a:graphicData>
            </a:graphic>
          </wp:inline>
        </w:drawing>
      </w:r>
    </w:p>
    <w:p>
      <w:pPr>
        <w:pStyle w:val="Caption"/>
      </w:pPr>
      <w:r>
        <w:rPr>
          <w:b/>
          <w:bCs/>
          <w:i w:val="false"/>
          <w:iCs w:val="false"/>
        </w:rPr>
        <w:t xml:space="preserve">Figure 15 – </w:t>
      </w:r>
      <w:r>
        <w:t xml:space="preserve">UML deployment and cloud infrastructure diagram</w:t>
      </w:r>
    </w:p>
    <w:p>
      <w:pPr>
        <w:pStyle w:val="Heading2"/>
      </w:pPr>
      <w:bookmarkStart w:name="_Toc032" w:id="32"/>
      <w:r>
        <w:t xml:space="preserve">7.2 Idempotent Bootstrapping</w:t>
      </w:r>
      <w:bookmarkEnd w:id="32"/>
    </w:p>
    <w:p>
      <w:r>
        <w:t xml:space="preserve">On startup, </w:t>
      </w:r>
      <w:r>
        <w:rPr>
          <w:rFonts w:ascii="Consolas" w:cs="Consolas" w:eastAsia="Consolas" w:hAnsi="Consolas"/>
          <w:sz w:val="20"/>
          <w:szCs w:val="20"/>
        </w:rPr>
        <w:t xml:space="preserve">server.ts</w:t>
      </w:r>
      <w:r>
        <w:t xml:space="preserve"> executes </w:t>
      </w:r>
      <w:r>
        <w:rPr>
          <w:rFonts w:ascii="Consolas" w:cs="Consolas" w:eastAsia="Consolas" w:hAnsi="Consolas"/>
          <w:sz w:val="20"/>
          <w:szCs w:val="20"/>
        </w:rPr>
        <w:t xml:space="preserve">ensureNexaWorksSeeded()</w:t>
      </w:r>
      <w:r>
        <w:t xml:space="preserve"> to verify that all 26 PostgreSQL tables exist and to seed the 25-employee Cairo dataset when the database is empty. This makes deployment and restarts zero-downtime and idempotent.</w:t>
      </w:r>
    </w:p>
    <w:p>
      <w:pPr>
        <w:pStyle w:val="Heading1"/>
      </w:pPr>
      <w:bookmarkStart w:name="_Toc033" w:id="33"/>
      <w:r>
        <w:t xml:space="preserve">8. Testing and Verification</w:t>
      </w:r>
      <w:bookmarkEnd w:id="33"/>
    </w:p>
    <w:p>
      <w:r>
        <w:t xml:space="preserve">Verification combines pure domain unit tests (</w:t>
      </w:r>
      <w:r>
        <w:rPr>
          <w:rFonts w:ascii="Consolas" w:cs="Consolas" w:eastAsia="Consolas" w:hAnsi="Consolas"/>
          <w:sz w:val="20"/>
          <w:szCs w:val="20"/>
        </w:rPr>
        <w:t xml:space="preserve">node:test</w:t>
      </w:r>
      <w:r>
        <w:t xml:space="preserve">), TypeScript compilation, and mobile and desktop browser checks.</w:t>
      </w:r>
    </w:p>
    <w:p>
      <w:pPr>
        <w:pStyle w:val="Heading2"/>
      </w:pPr>
      <w:bookmarkStart w:name="_Toc034" w:id="34"/>
      <w:r>
        <w:t xml:space="preserve">8.1 Automated Domain Unit Tests</w:t>
      </w:r>
      <w:bookmarkEnd w:id="34"/>
    </w:p>
    <w:p>
      <w:r>
        <w:t xml:space="preserve">The test suite in </w:t>
      </w:r>
      <w:r>
        <w:rPr>
          <w:rFonts w:ascii="Consolas" w:cs="Consolas" w:eastAsia="Consolas" w:hAnsi="Consolas"/>
          <w:sz w:val="20"/>
          <w:szCs w:val="20"/>
        </w:rPr>
        <w:t xml:space="preserve">src/domain/rules.test.ts</w:t>
      </w:r>
      <w:r>
        <w:t xml:space="preserve"> contains 10 test cases, all of which pass. Table 6 maps each test to the domain rule it verifies in </w:t>
      </w:r>
      <w:r>
        <w:rPr>
          <w:rFonts w:ascii="Consolas" w:cs="Consolas" w:eastAsia="Consolas" w:hAnsi="Consolas"/>
          <w:sz w:val="20"/>
          <w:szCs w:val="20"/>
        </w:rPr>
        <w:t xml:space="preserve">src/domain/rules.ts</w:t>
      </w:r>
      <w:r>
        <w:t xml:space="preserve">.</w:t>
      </w:r>
    </w:p>
    <w:p>
      <w:pPr>
        <w:pStyle w:val="TableCaption"/>
        <w:keepNext/>
      </w:pPr>
      <w:r>
        <w:rPr>
          <w:b/>
          <w:bCs/>
        </w:rPr>
        <w:t xml:space="preserve">Table 6 – </w:t>
      </w:r>
      <w:r>
        <w:t xml:space="preserve">Domain unit test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838"/>
        <w:gridCol w:w="10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left"/>
            </w:pPr>
            <w:r>
              <w:rPr>
                <w:b/>
                <w:bCs/>
                <w:color w:val="FFFFFF"/>
                <w:sz w:val="20"/>
                <w:szCs w:val="20"/>
              </w:rPr>
              <w:t xml:space="preserve">Test Case ID</w:t>
            </w:r>
          </w:p>
        </w:tc>
        <w:tc>
          <w:tcPr>
            <w:tcW w:type="dxa" w:w="68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left"/>
            </w:pPr>
            <w:r>
              <w:rPr>
                <w:b/>
                <w:bCs/>
                <w:color w:val="FFFFFF"/>
                <w:sz w:val="20"/>
                <w:szCs w:val="20"/>
              </w:rPr>
              <w:t xml:space="preserve">Verified Domain Rule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val="false"/>
              <w:spacing w:after="0" w:line="252" w:lineRule="auto"/>
              <w:jc w:val="center"/>
            </w:pPr>
            <w:r>
              <w:rPr>
                <w:b/>
                <w:bCs/>
                <w:color w:val="FFFFFF"/>
                <w:sz w:val="20"/>
                <w:szCs w:val="20"/>
              </w:rPr>
              <w:t xml:space="preserve">Status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TEST-01 and TEST-02</w:t>
            </w:r>
          </w:p>
        </w:tc>
        <w:tc>
          <w:tcPr>
            <w:tcW w:type="dxa" w:w="68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Employee field validation, EGP salary bounds, self-reporting guard, and circular manager loop detection</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TEST-03</w:t>
            </w:r>
          </w:p>
        </w:tc>
        <w:tc>
          <w:tcPr>
            <w:tcW w:type="dxa" w:w="68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Sequential employee code generator (</w:t>
            </w:r>
            <w:r>
              <w:rPr>
                <w:rFonts w:ascii="Consolas" w:cs="Consolas" w:eastAsia="Consolas" w:hAnsi="Consolas"/>
                <w:b w:val="false"/>
                <w:bCs w:val="false"/>
                <w:sz w:val="18"/>
                <w:szCs w:val="18"/>
              </w:rPr>
              <w:t xml:space="preserve">generateNextEmployeeNumber</w:t>
            </w:r>
            <w:r>
              <w:rPr>
                <w:b w:val="false"/>
                <w:bCs w:val="false"/>
                <w:sz w:val="20"/>
                <w:szCs w:val="20"/>
              </w:rPr>
              <w:t xml:space="preserve"> → </w:t>
            </w:r>
            <w:r>
              <w:rPr>
                <w:rFonts w:ascii="Consolas" w:cs="Consolas" w:eastAsia="Consolas" w:hAnsi="Consolas"/>
                <w:b w:val="false"/>
                <w:bCs w:val="false"/>
                <w:sz w:val="18"/>
                <w:szCs w:val="18"/>
              </w:rPr>
              <w:t xml:space="preserve">NW-EMP-026</w:t>
            </w:r>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TEST-04 and TEST-05</w:t>
            </w:r>
          </w:p>
        </w:tc>
        <w:tc>
          <w:tcPr>
            <w:tcW w:type="dxa" w:w="68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Working leave days calculator (excludes Friday/Saturday and Cairo holidays) and overlapping date range detection</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TEST-06</w:t>
            </w:r>
          </w:p>
        </w:tc>
        <w:tc>
          <w:tcPr>
            <w:tcW w:type="dxa" w:w="68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Transactional leave state machine and balance transitions (SUBMIT, APPROVE, REJECT, CANCEL)</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TEST-07</w:t>
            </w:r>
          </w:p>
        </w:tc>
        <w:tc>
          <w:tcPr>
            <w:tcW w:type="dxa" w:w="68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Attendance worked/late/overtime calculator with 15-minute grace period and overnight shift support</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TEST-08</w:t>
            </w:r>
          </w:p>
        </w:tc>
        <w:tc>
          <w:tcPr>
            <w:tcW w:type="dxa" w:w="68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Egyptian EGP payroll formula (Gross = Base + Allowances, unpaid-leave deduction, Net Pay)</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bCs/>
                <w:sz w:val="20"/>
                <w:szCs w:val="20"/>
              </w:rPr>
              <w:t xml:space="preserve">TEST-09</w:t>
            </w:r>
          </w:p>
        </w:tc>
        <w:tc>
          <w:tcPr>
            <w:tcW w:type="dxa" w:w="68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Strict four-role RBAC permission matrix and compensation confidentiality enforcement</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TEST-10</w:t>
            </w:r>
          </w:p>
        </w:tc>
        <w:tc>
          <w:tcPr>
            <w:tcW w:type="dxa" w:w="68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val="false"/>
                <w:bCs w:val="false"/>
                <w:sz w:val="20"/>
                <w:szCs w:val="20"/>
              </w:rPr>
              <w:t xml:space="preserve">Egyptian Arabic (ar-EG RTL) localization and bilingual demo contact request validation</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center"/>
            </w:pPr>
            <w:r>
              <w:rPr>
                <w:b w:val="false"/>
                <w:bCs w:val="false"/>
                <w:sz w:val="20"/>
                <w:szCs w:val="20"/>
              </w:rPr>
              <w:t xml:space="preserve">PASS</w:t>
            </w:r>
          </w:p>
        </w:tc>
      </w:tr>
    </w:tbl>
    <w:p>
      <w:pPr>
        <w:spacing w:after="160"/>
      </w:pPr>
    </w:p>
    <w:p>
      <w:pPr>
        <w:pStyle w:val="Heading2"/>
      </w:pPr>
      <w:bookmarkStart w:name="_Toc035" w:id="35"/>
      <w:r>
        <w:t xml:space="preserve">8.2 Full-Stack and Mobile Responsiveness Acceptance</w:t>
      </w:r>
      <w:bookmarkEnd w:id="35"/>
    </w:p>
    <w:p>
      <w:pPr>
        <w:pStyle w:val="ListParagraph"/>
        <w:keepNext w:val="false"/>
        <w:numPr>
          <w:ilvl w:val="0"/>
          <w:numId w:val="2"/>
        </w:numPr>
        <w:spacing w:after="100"/>
      </w:pPr>
      <w:r>
        <w:rPr>
          <w:b/>
          <w:bCs/>
        </w:rPr>
        <w:t xml:space="preserve">Zero horizontal overflow on mobile phones (375×812):</w:t>
      </w:r>
      <w:r>
        <w:t xml:space="preserve"> Verified across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/login</w:t>
      </w:r>
      <w:r>
        <w:t xml:space="preserve">, </w:t>
      </w:r>
      <w:r>
        <w:rPr>
          <w:rFonts w:ascii="Consolas" w:cs="Consolas" w:eastAsia="Consolas" w:hAnsi="Consolas"/>
          <w:sz w:val="20"/>
          <w:szCs w:val="20"/>
        </w:rPr>
        <w:t xml:space="preserve">/dashboard</w:t>
      </w:r>
      <w:r>
        <w:t xml:space="preserve">, </w:t>
      </w:r>
      <w:r>
        <w:rPr>
          <w:rFonts w:ascii="Consolas" w:cs="Consolas" w:eastAsia="Consolas" w:hAnsi="Consolas"/>
          <w:sz w:val="20"/>
          <w:szCs w:val="20"/>
        </w:rPr>
        <w:t xml:space="preserve">/employees</w:t>
      </w:r>
      <w:r>
        <w:t xml:space="preserve">, </w:t>
      </w:r>
      <w:r>
        <w:rPr>
          <w:rFonts w:ascii="Consolas" w:cs="Consolas" w:eastAsia="Consolas" w:hAnsi="Consolas"/>
          <w:sz w:val="20"/>
          <w:szCs w:val="20"/>
        </w:rPr>
        <w:t xml:space="preserve">/organization</w:t>
      </w:r>
      <w:r>
        <w:t xml:space="preserve">, </w:t>
      </w:r>
      <w:r>
        <w:rPr>
          <w:rFonts w:ascii="Consolas" w:cs="Consolas" w:eastAsia="Consolas" w:hAnsi="Consolas"/>
          <w:sz w:val="20"/>
          <w:szCs w:val="20"/>
        </w:rPr>
        <w:t xml:space="preserve">/attendance</w:t>
      </w:r>
      <w:r>
        <w:t xml:space="preserve">, </w:t>
      </w:r>
      <w:r>
        <w:rPr>
          <w:rFonts w:ascii="Consolas" w:cs="Consolas" w:eastAsia="Consolas" w:hAnsi="Consolas"/>
          <w:sz w:val="20"/>
          <w:szCs w:val="20"/>
        </w:rPr>
        <w:t xml:space="preserve">/leave</w:t>
      </w:r>
      <w:r>
        <w:t xml:space="preserve">, </w:t>
      </w:r>
      <w:r>
        <w:rPr>
          <w:rFonts w:ascii="Consolas" w:cs="Consolas" w:eastAsia="Consolas" w:hAnsi="Consolas"/>
          <w:sz w:val="20"/>
          <w:szCs w:val="20"/>
        </w:rPr>
        <w:t xml:space="preserve">/tasks</w:t>
      </w:r>
      <w:r>
        <w:t xml:space="preserve">, </w:t>
      </w:r>
      <w:r>
        <w:rPr>
          <w:rFonts w:ascii="Consolas" w:cs="Consolas" w:eastAsia="Consolas" w:hAnsi="Consolas"/>
          <w:sz w:val="20"/>
          <w:szCs w:val="20"/>
        </w:rPr>
        <w:t xml:space="preserve">/performance</w:t>
      </w:r>
      <w:r>
        <w:t xml:space="preserve">, and </w:t>
      </w:r>
      <w:r>
        <w:rPr>
          <w:rFonts w:ascii="Consolas" w:cs="Consolas" w:eastAsia="Consolas" w:hAnsi="Consolas"/>
          <w:sz w:val="20"/>
          <w:szCs w:val="20"/>
        </w:rPr>
        <w:t xml:space="preserve">/payroll</w:t>
      </w:r>
      <w:r>
        <w:t xml:space="preserve">, in both Egyptian Arabic (RTL) and English (LTR), with </w:t>
      </w:r>
      <w:r>
        <w:rPr>
          <w:rFonts w:ascii="Consolas" w:cs="Consolas" w:eastAsia="Consolas" w:hAnsi="Consolas"/>
          <w:sz w:val="20"/>
          <w:szCs w:val="20"/>
        </w:rPr>
        <w:t xml:space="preserve">document.documentElement.scrollWidth &lt;= window.innerWidth</w:t>
      </w:r>
      <w:r>
        <w:t xml:space="preserve">.</w:t>
      </w:r>
    </w:p>
    <w:p>
      <w:pPr>
        <w:pStyle w:val="Heading2"/>
      </w:pPr>
      <w:bookmarkStart w:name="_Toc036" w:id="36"/>
      <w:r>
        <w:t xml:space="preserve">8.3 Commands for Local Execution and Verification</w:t>
      </w:r>
      <w:bookmarkEnd w:id="36"/>
    </w:p>
    <w:p>
      <w:pPr>
        <w:pStyle w:val="TableCaption"/>
        <w:keepNext/>
      </w:pPr>
      <w:r>
        <w:rPr>
          <w:b/>
          <w:bCs/>
        </w:rPr>
        <w:t xml:space="preserve">Table 7 – </w:t>
      </w:r>
      <w:r>
        <w:t xml:space="preserve">Local execution and verification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Purpose</w:t>
            </w:r>
          </w:p>
        </w:tc>
        <w:tc>
          <w:tcPr>
            <w:tcW w:type="dxa" w:w="6438"/>
            <w:tcBorders>
              <w:top w:val="single" w:color="BFBFBF" w:sz="4"/>
              <w:left w:val="single" w:color="BFBFBF" w:sz="4"/>
              <w:bottom w:val="single" w:color="BFBFBF" w:sz="4"/>
              <w:right w:val="single" w:color="BFBFBF" w:sz="4"/>
            </w:tcBorders>
            <w:shd w:fill="1F3864" w:color="auto" w:val="clear"/>
            <w:tcMar>
              <w:top w:type="dxa" w:w="50"/>
              <w:left w:type="dxa" w:w="110"/>
              <w:bottom w:type="dxa" w:w="50"/>
              <w:right w:type="dxa" w:w="110"/>
            </w:tcMar>
            <w:vAlign w:val="center"/>
          </w:tcPr>
          <w:p>
            <w:pPr>
              <w:keepNext/>
              <w:spacing w:after="0" w:line="252" w:lineRule="auto"/>
              <w:jc w:val="left"/>
            </w:pPr>
            <w:r>
              <w:rPr>
                <w:b/>
                <w:bCs/>
                <w:color w:val="FFFFFF"/>
                <w:sz w:val="20"/>
                <w:szCs w:val="20"/>
              </w:rPr>
              <w:t xml:space="preserve">Command</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Install dependencies</w:t>
            </w:r>
          </w:p>
        </w:tc>
        <w:tc>
          <w:tcPr>
            <w:tcW w:type="dxa" w:w="64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npm install</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b/>
                <w:bCs/>
                <w:sz w:val="20"/>
                <w:szCs w:val="20"/>
              </w:rPr>
              <w:t xml:space="preserve">Run the full-stack server</w:t>
            </w:r>
          </w:p>
        </w:tc>
        <w:tc>
          <w:tcPr>
            <w:tcW w:type="dxa" w:w="64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npm run dev</w:t>
            </w:r>
            <w:r>
              <w:rPr>
                <w:b w:val="false"/>
                <w:bCs w:val="false"/>
                <w:sz w:val="20"/>
                <w:szCs w:val="20"/>
              </w:rPr>
              <w:t xml:space="preserve"> (http://localhost:3000)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b/>
                <w:bCs/>
                <w:sz w:val="20"/>
                <w:szCs w:val="20"/>
              </w:rPr>
              <w:t xml:space="preserve">Run the domain unit tests</w:t>
            </w:r>
          </w:p>
        </w:tc>
        <w:tc>
          <w:tcPr>
            <w:tcW w:type="dxa" w:w="6438"/>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keepNext/>
              <w:spacing w:after="0" w:line="252" w:lineRule="auto"/>
              <w:jc w:val="left"/>
            </w:pPr>
            <w:r>
              <w:rPr>
                <w:rFonts w:ascii="Consolas" w:cs="Consolas" w:eastAsia="Consolas" w:hAnsi="Consolas"/>
                <w:b w:val="false"/>
                <w:bCs w:val="false"/>
                <w:sz w:val="18"/>
                <w:szCs w:val="18"/>
              </w:rPr>
              <w:t xml:space="preserve">npx tsx --test src/domain/rules.test.ts</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b/>
                <w:bCs/>
                <w:sz w:val="20"/>
                <w:szCs w:val="20"/>
              </w:rPr>
              <w:t xml:space="preserve">Type-check and build</w:t>
            </w:r>
          </w:p>
        </w:tc>
        <w:tc>
          <w:tcPr>
            <w:tcW w:type="dxa" w:w="6438"/>
            <w:tcBorders>
              <w:top w:val="single" w:color="BFBFBF" w:sz="4"/>
              <w:left w:val="single" w:color="BFBFBF" w:sz="4"/>
              <w:bottom w:val="single" w:color="BFBFBF" w:sz="4"/>
              <w:right w:val="single" w:color="BFBFBF" w:sz="4"/>
            </w:tcBorders>
            <w:shd w:fill="F2F5FA" w:color="auto" w:val="clear"/>
            <w:tcMar>
              <w:top w:type="dxa" w:w="50"/>
              <w:left w:type="dxa" w:w="110"/>
              <w:bottom w:type="dxa" w:w="50"/>
              <w:right w:type="dxa" w:w="110"/>
            </w:tcMar>
            <w:vAlign w:val="center"/>
          </w:tcPr>
          <w:p>
            <w:pPr>
              <w:keepNext w:val="false"/>
              <w:spacing w:after="0" w:line="252" w:lineRule="auto"/>
              <w:jc w:val="left"/>
            </w:pPr>
            <w:r>
              <w:rPr>
                <w:rFonts w:ascii="Consolas" w:cs="Consolas" w:eastAsia="Consolas" w:hAnsi="Consolas"/>
                <w:b w:val="false"/>
                <w:bCs w:val="false"/>
                <w:sz w:val="18"/>
                <w:szCs w:val="18"/>
              </w:rPr>
              <w:t xml:space="preserve">npm run lint &amp;&amp; npm run build</w:t>
            </w:r>
          </w:p>
        </w:tc>
      </w:tr>
    </w:tbl>
    <w:p>
      <w:pPr>
        <w:spacing w:after="16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spacing w:after="0"/>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638"/>
      </w:tabs>
      <w:spacing w:after="0"/>
    </w:pPr>
    <w:r>
      <w:rPr>
        <w:b/>
        <w:bCs/>
        <w:color w:val="595959"/>
        <w:sz w:val="18"/>
        <w:szCs w:val="18"/>
      </w:rPr>
      <w:t xml:space="preserve">NexaHR – Enterprise Employee Management System</w:t>
    </w:r>
    <w:r>
      <w:rPr>
        <w:color w:val="595959"/>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F3864" w:sz="8" w:space="4"/>
      </w:pBdr>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2F5496"/>
      <w:sz w:val="24"/>
      <w:szCs w:val="24"/>
    </w:rPr>
  </w:style>
  <w:style w:type="paragraph" w:styleId="TOCTitle">
    <w:name w:val="TOC Title"/>
    <w:basedOn w:val="Normal"/>
    <w:next w:val="Normal"/>
    <w:pPr>
      <w:pBdr>
        <w:bottom w:val="single" w:color="1F3864" w:sz="8" w:space="4"/>
      </w:pBdr>
      <w:spacing w:after="280" w:before="0"/>
    </w:pPr>
    <w:rPr>
      <w:rFonts w:ascii="Calibri" w:cs="Calibri" w:eastAsia="Calibri" w:hAnsi="Calibri"/>
      <w:b/>
      <w:bCs/>
      <w:color w:val="1F3864"/>
      <w:sz w:val="36"/>
      <w:szCs w:val="36"/>
    </w:rPr>
  </w:style>
  <w:style w:type="paragraph" w:styleId="TOC1">
    <w:name w:val="toc 1"/>
    <w:basedOn w:val="Normal"/>
    <w:next w:val="Normal"/>
    <w:pPr>
      <w:spacing w:after="40" w:before="140"/>
    </w:pPr>
    <w:rPr>
      <w:b/>
      <w:bCs/>
    </w:rPr>
  </w:style>
  <w:style w:type="paragraph" w:styleId="TOC2">
    <w:name w:val="toc 2"/>
    <w:basedOn w:val="Normal"/>
    <w:next w:val="Normal"/>
    <w:pPr>
      <w:spacing w:after="20" w:before="0"/>
      <w:ind w:left="360"/>
    </w:pPr>
  </w:style>
  <w:style w:type="paragraph" w:styleId="Caption">
    <w:name w:val="caption"/>
    <w:basedOn w:val="Normal"/>
    <w:next w:val="Normal"/>
    <w:qFormat/>
    <w:pPr>
      <w:spacing w:after="220" w:before="40"/>
      <w:jc w:val="center"/>
    </w:pPr>
    <w:rPr>
      <w:i/>
      <w:iCs/>
      <w:color w:val="404040"/>
      <w:sz w:val="19"/>
      <w:szCs w:val="19"/>
    </w:rPr>
  </w:style>
  <w:style w:type="paragraph" w:styleId="TableCaption">
    <w:name w:val="Table Caption"/>
    <w:basedOn w:val="Normal"/>
    <w:next w:val="Normal"/>
    <w:pPr>
      <w:keepNext/>
      <w:spacing w:after="80" w:before="160"/>
      <w:jc w:val="center"/>
    </w:pPr>
    <w:rPr>
      <w:i/>
      <w:iCs/>
      <w:color w:val="40404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bc20e823dac1b36a5d44bdd6236de7880289d0.png"/><Relationship Id="rId10" Type="http://schemas.openxmlformats.org/officeDocument/2006/relationships/image" Target="media/ed3a7a000c6121f8a4c1627114bb08b3c91c9ea0.png"/><Relationship Id="rId11" Type="http://schemas.openxmlformats.org/officeDocument/2006/relationships/image" Target="media/e43fa0d6854fa5a234e7200d199bd808167cce5a.png"/><Relationship Id="rId12" Type="http://schemas.openxmlformats.org/officeDocument/2006/relationships/image" Target="media/7ff56e9ff8f05d653f678f0785e284530f51fa84.png"/><Relationship Id="rId13" Type="http://schemas.openxmlformats.org/officeDocument/2006/relationships/image" Target="media/bea1238e59cf03aca92a35a2c713d8bf6add9a46.png"/><Relationship Id="rId14" Type="http://schemas.openxmlformats.org/officeDocument/2006/relationships/image" Target="media/b80ca9960124bb14f7cf69bd98f78a68691417e2.png"/><Relationship Id="rId15" Type="http://schemas.openxmlformats.org/officeDocument/2006/relationships/image" Target="media/cc35f1617a8ae4d3193eaccf09806e18ee09572d.png"/><Relationship Id="rId16" Type="http://schemas.openxmlformats.org/officeDocument/2006/relationships/image" Target="media/86e1ddc4639e543a7a3dd764a344c9ecb90664fb.png"/><Relationship Id="rId17" Type="http://schemas.openxmlformats.org/officeDocument/2006/relationships/image" Target="media/5dd7c34b5e0a82616c3bbff1700713bc93568c12.png"/><Relationship Id="rId18" Type="http://schemas.openxmlformats.org/officeDocument/2006/relationships/image" Target="media/7097760a5c72ca082aec4e4002fe75eff8d482f6.png"/><Relationship Id="rId19" Type="http://schemas.openxmlformats.org/officeDocument/2006/relationships/image" Target="media/f1bd011c06ee6a45a134d137afdddd105de7abc1.png"/><Relationship Id="rId20" Type="http://schemas.openxmlformats.org/officeDocument/2006/relationships/image" Target="media/2a80fa80fb499b6c334c7706b810ab8b9af814a5.png"/><Relationship Id="rId21" Type="http://schemas.openxmlformats.org/officeDocument/2006/relationships/image" Target="media/8b2bfb7ddacfbe920294a69ab0686daea7748a96.png"/><Relationship Id="rId22" Type="http://schemas.openxmlformats.org/officeDocument/2006/relationships/image" Target="media/c5213e2a6900b860918bd6f9c35180b86678f63c.png"/><Relationship Id="rId23" Type="http://schemas.openxmlformats.org/officeDocument/2006/relationships/image" Target="media/ff71eabe57bc44df12a28038aa701869e4540d58.png"/><Relationship Id="rId24" Type="http://schemas.openxmlformats.org/officeDocument/2006/relationships/image" Target="media/67d90926b253ea881a17387c960147a29108cf6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NexaHR – Enterprise Employee Management System: Project Documentation</dc:title>
  <dc:creator>Project Team</dc:creator>
  <dc:description>Software Engineering project documentation and UML specification</dc:description>
  <cp:lastModifiedBy>Un-named</cp:lastModifiedBy>
  <cp:revision>1</cp:revision>
  <dcterms:created xsi:type="dcterms:W3CDTF">2026-10-28T11:04:04.271Z</dcterms:created>
  <dcterms:modified xsi:type="dcterms:W3CDTF">2026-10-28T11:04:04.271Z</dcterms:modified>
</cp:coreProperties>
</file>

<file path=docProps/custom.xml><?xml version="1.0" encoding="utf-8"?>
<Properties xmlns="http://schemas.openxmlformats.org/officeDocument/2006/custom-properties" xmlns:vt="http://schemas.openxmlformats.org/officeDocument/2006/docPropsVTypes"/>
</file>