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4F46E5" w:sz="12" w:space="4"/>
        </w:pBdr>
        <w:spacing w:after="60" w:before="0"/>
      </w:pPr>
      <w:r>
        <w:rPr>
          <w:rFonts w:ascii="Calibri" w:cs="Calibri" w:eastAsia="Calibri" w:hAnsi="Calibri"/>
          <w:b/>
          <w:bCs/>
          <w:color w:val="4F46E5"/>
          <w:sz w:val="18"/>
          <w:szCs w:val="18"/>
        </w:rPr>
        <w:t xml:space="preserve">SLIDE 01 / 15   |  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NexaHR — Enterprise Employee Management System</w:t>
      </w: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   —   منصة NexaHR للموارد البشرية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Formal Software Engineering II Project Documentation &amp; Complete UML Specification Deck (15 Slides)</w:t>
      </w:r>
    </w:p>
    <w:p>
      <w:pPr>
        <w:shd w:fill="EEF2FF" w:color="auto" w:val="clear"/>
        <w:spacing w:after="100" w:before="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  "People, Performance, Possibilities."  |  «الكوادر، الأداء، وآفاق المستقبل.»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Executive Summary: 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NexaHR is a full-stack, production-grade Human Resource Information System (HRIS) engineered for NexaWorks Technologies SAE (New Cairo, Egypt). It unifies employee lifecycle records, Egyptian labor calendar leave rules, shift grace-period attendance, Kanban task execution, weighted OKR performance reviews, and confidential EGP payroll governance.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Bilingual RTL/LTR &amp; Mobile-First UX: 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Opens in Egyptian Arabic (ar-EG RTL) by default with instant switching to English (LTR), preserving the English "NexaHR" brand identity and responsive mobile layouts (375px–1440px) with a quick-navigation bottom bar.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Relational Persistence &amp; Pure Domain Engine: 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Backed by 26 normalized PostgreSQL tables on Google Cloud SQL (europe-west2) managed via Drizzle ORM, paired with a decoupled, 100% unit-tested domain rule engine in src/domain/rules.ts.</w:t>
      </w:r>
    </w:p>
    <w:p>
      <w:pPr>
        <w:spacing w:after="50" w:before="9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Project Identity &amp; Baseline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9"/>
        <w:gridCol w:w="7117"/>
      </w:tblGrid>
      <w:tr>
        <w:trPr>
          <w:tblHeader/>
        </w:trPr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Specification Dimension</w:t>
            </w:r>
          </w:p>
        </w:tc>
        <w:tc>
          <w:tcPr>
            <w:tcW w:type="pct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Implemented Production Configuration</w:t>
            </w:r>
          </w:p>
        </w:tc>
      </w:tr>
      <w:tr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Platform Brand &amp; Tagline</w:t>
            </w:r>
          </w:p>
        </w:tc>
        <w:tc>
          <w:tcPr>
            <w:tcW w:type="pct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NexaHR — "People, Performance, Possibilities." (Brand always rendered as NexaHR)</w:t>
            </w:r>
          </w:p>
        </w:tc>
      </w:tr>
      <w:tr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Default Organization</w:t>
            </w:r>
          </w:p>
        </w:tc>
        <w:tc>
          <w:tcPr>
            <w:tcW w:type="pct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NexaWorks Technologies SAE (Headquartered in New Cairo, Cairo Governorate, Egypt)</w:t>
            </w:r>
          </w:p>
        </w:tc>
      </w:tr>
      <w:tr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Regional Baseline</w:t>
            </w:r>
          </w:p>
        </w:tc>
        <w:tc>
          <w:tcPr>
            <w:tcW w:type="pct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Timezone: Africa/Cairo (UTC+2) | Currency: EGP | Weekend: Friday &amp; Saturday | Date: DD/MM/YYYY</w:t>
            </w:r>
          </w:p>
        </w:tc>
      </w:tr>
      <w:tr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Default Language &amp; Direction</w:t>
            </w:r>
          </w:p>
        </w:tc>
        <w:tc>
          <w:tcPr>
            <w:tcW w:type="pct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Egyptian Arabic (ar-EG, dir="rtl") default + Full English (en, dir="ltr") support</w:t>
            </w:r>
          </w:p>
        </w:tc>
      </w:tr>
      <w:tr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Frontend &amp; Motion Stack</w:t>
            </w:r>
          </w:p>
        </w:tc>
        <w:tc>
          <w:tcPr>
            <w:tcW w:type="pct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React 19, TypeScript, Tailwind CSS v4, Motion (motion/react), Recharts, Lucide Icons</w:t>
            </w:r>
          </w:p>
        </w:tc>
      </w:tr>
      <w:tr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Backend &amp; Database Stack</w:t>
            </w:r>
          </w:p>
        </w:tc>
        <w:tc>
          <w:tcPr>
            <w:tcW w:type="pct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Node.js, Express REST API, Drizzle ORM, Google Cloud SQL for PostgreSQL (26 Tables)</w:t>
            </w:r>
          </w:p>
        </w:tc>
      </w:tr>
      <w:tr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Seeded Enterprise Dataset</w:t>
            </w:r>
          </w:p>
        </w:tc>
        <w:tc>
          <w:tcPr>
            <w:tcW w:type="pct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25 Active/Onboarding/Archived Employees, 5 Departments, 14 Job Titles, 4 Role Personas</w:t>
            </w:r>
          </w:p>
        </w:tc>
      </w:tr>
    </w:tbl>
    <w:p>
      <w:pPr>
        <w:pageBreakBefore/>
        <w:pBdr>
          <w:bottom w:val="single" w:color="4F46E5" w:sz="12" w:space="4"/>
        </w:pBdr>
        <w:spacing w:after="60" w:before="0"/>
      </w:pPr>
      <w:r>
        <w:rPr>
          <w:rFonts w:ascii="Calibri" w:cs="Calibri" w:eastAsia="Calibri" w:hAnsi="Calibri"/>
          <w:b/>
          <w:bCs/>
          <w:color w:val="4F46E5"/>
          <w:sz w:val="18"/>
          <w:szCs w:val="18"/>
        </w:rPr>
        <w:t xml:space="preserve">SLIDE 02 / 15   |  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5-Layer Clean Architecture &amp; Component Model</w:t>
      </w: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   —   المعمارية الهندسية خماسية الطبقات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Strict separation of concerns across Presentation, Application State, Pure Domain Rules, API Controllers, and Cloud SQL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3"/>
        <w:gridCol w:w="2930"/>
        <w:gridCol w:w="5233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Architecture Layer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Source Files</w:t>
            </w:r>
          </w:p>
        </w:tc>
        <w:tc>
          <w:tcPr>
            <w:tcW w:type="pct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Core Engineering Responsibility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1. Presentation Layer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src/features/*, AppShell.tsx</w:t>
            </w:r>
          </w:p>
        </w:tc>
        <w:tc>
          <w:tcPr>
            <w:tcW w:type="pct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Responsive RTL/LTR UI, Landing Page simulator, 12 workspace views, mobile bottom nav &amp; drawer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2. Application Layer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AuthContext.tsx, LanguageContext.tsx</w:t>
            </w:r>
          </w:p>
        </w:tc>
        <w:tc>
          <w:tcPr>
            <w:tcW w:type="pct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Session token lifecycle, /api/bootstrap synchronization, role switching, ar-EG/en localization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3. Domain Layer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src/domain/rules.ts, rules.test.ts</w:t>
            </w:r>
          </w:p>
        </w:tc>
        <w:tc>
          <w:tcPr>
            <w:tcW w:type="pct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Pure business logic: RBAC matrix, circular manager check, working days, attendance &amp; EGP payroll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4. Data Access &amp; API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server.ts, src/middleware/auth.ts</w:t>
            </w:r>
          </w:p>
        </w:tc>
        <w:tc>
          <w:tcPr>
            <w:tcW w:type="pct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Express REST routes, HMAC token verification, server-side RBAC guards, audit trail &amp; notifications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5. Persistence Layer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src/db/schema.ts, src/db/seed.ts</w:t>
            </w:r>
          </w:p>
        </w:tc>
        <w:tc>
          <w:tcPr>
            <w:tcW w:type="pct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26 normalized PostgreSQL tables with FK constraints and idempotent 25-employee Cairo seed</w:t>
            </w:r>
          </w:p>
        </w:tc>
      </w:tr>
    </w:tbl>
    <w:p>
      <w:pPr>
        <w:spacing w:after="30" w:before="60"/>
        <w:jc w:val="center"/>
      </w:pPr>
      <w:r>
        <w:drawing>
          <wp:inline distT="0" distB="0" distL="0" distR="0">
            <wp:extent cx="5438775" cy="29051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5"/>
          <w:szCs w:val="15"/>
        </w:rPr>
        <w:t xml:space="preserve">Figure 2.1 — UML Component &amp; 5-Layer Clean Architecture Diagram (Presentation → Application → Domain → API → Cloud SQL)</w:t>
      </w:r>
    </w:p>
    <w:p>
      <w:pPr>
        <w:pageBreakBefore/>
        <w:pBdr>
          <w:bottom w:val="single" w:color="4F46E5" w:sz="12" w:space="4"/>
        </w:pBdr>
        <w:spacing w:after="60" w:before="0"/>
      </w:pPr>
      <w:r>
        <w:rPr>
          <w:rFonts w:ascii="Calibri" w:cs="Calibri" w:eastAsia="Calibri" w:hAnsi="Calibri"/>
          <w:b/>
          <w:bCs/>
          <w:color w:val="4F46E5"/>
          <w:sz w:val="18"/>
          <w:szCs w:val="18"/>
        </w:rPr>
        <w:t xml:space="preserve">SLIDE 03 / 15   |  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Implemented Functional Modules Catalog</w:t>
      </w: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   —   وحدات النظام الوظيفية المتكاملة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End-to-end functional coverage across the public Landing Page, Authentication Portal, and 14 core HRIS modules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1570"/>
        <w:gridCol w:w="6280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Module ID &amp; Name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Route / Scope</w:t>
            </w:r>
          </w:p>
        </w:tc>
        <w:tc>
          <w:tcPr>
            <w:tcW w:type="pct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 Implemented Capabilities &amp; Domain Validations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M00: Interactive Landing Page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/</w:t>
            </w:r>
          </w:p>
        </w:tc>
        <w:tc>
          <w:tcPr>
            <w:tcW w:type="pct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Smooth motion hero, live Attendance/Payroll/Leave preview, EGP Payroll Simulator, Demo Booking Modal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M01: Auth &amp; Activation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/login</w:t>
            </w:r>
          </w:p>
        </w:tc>
        <w:tc>
          <w:tcPr>
            <w:tcW w:type="pct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Email/password sign-in, password reset, invite token activation (INV-XXXXXX), 1-click role cards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M02: Role-Scoped Dashboard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/dashboard</w:t>
            </w:r>
          </w:p>
        </w:tc>
        <w:tc>
          <w:tcPr>
            <w:tcW w:type="pct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Tailored KPIs for Admin, HR, Dept Manager, and Employee; live UTC check-in/out &amp; workforce charts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M03: Employee Directory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/employees</w:t>
            </w:r>
          </w:p>
        </w:tc>
        <w:tc>
          <w:tcPr>
            <w:tcW w:type="pct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360° profiles, search/filter, CSV export, auto NW-EMP-XXX code, circular hierarchy guard, archive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M04: Organization &amp; Hierarchy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/organization</w:t>
            </w:r>
          </w:p>
        </w:tc>
        <w:tc>
          <w:tcPr>
            <w:tcW w:type="pct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Department CRUD, active-staff archive guard, EGP salary bands, interactive collapsible Org Chart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M05: Attendance &amp; Punctuality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/attendance</w:t>
            </w:r>
          </w:p>
        </w:tc>
        <w:tc>
          <w:tcPr>
            <w:tcW w:type="pct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Server UTC check-in/out, duplicate session guard, Cairo 09:00 + 15m grace calculation, corrections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M06: Leave &amp; Entitlements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/leave</w:t>
            </w:r>
          </w:p>
        </w:tc>
        <w:tc>
          <w:tcPr>
            <w:tcW w:type="pct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Excludes Fri/Sat &amp; Cairo holidays, date-overlap guard, pending/used quota transitions, approvals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M07: Shifts &amp; Holidays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/scheduling</w:t>
            </w:r>
          </w:p>
        </w:tc>
        <w:tc>
          <w:tcPr>
            <w:tcW w:type="pct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Morning (09:00), Flex (10:00) &amp; Night (22:00) shifts, employee shift assignments, holiday calendar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M08: Tasks &amp; Kanban Board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/tasks</w:t>
            </w:r>
          </w:p>
        </w:tc>
        <w:tc>
          <w:tcPr>
            <w:tcW w:type="pct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5-column Kanban (TODO, IN_PROGRESS, IN_REVIEW, COMPLETED, BLOCKED), progress slider &amp; comments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M09: Performance &amp; OKRs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/performance</w:t>
            </w:r>
          </w:p>
        </w:tc>
        <w:tc>
          <w:tcPr>
            <w:tcW w:type="pct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Weighted competency matrix (1.0–5.0), auto rating category, DRAFT → PUBLISHED → ACKNOWLEDGED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M10: Onboarding &amp; Offboarding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/onboarding</w:t>
            </w:r>
          </w:p>
        </w:tc>
        <w:tc>
          <w:tcPr>
            <w:tcW w:type="pct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Automated IT/HR/Finance/Manager clearance tasks with live employee onboarding % recalculation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M11: EGP Payroll &amp; Comp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/payroll</w:t>
            </w:r>
          </w:p>
        </w:tc>
        <w:tc>
          <w:tcPr>
            <w:tcW w:type="pct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Monthly EGP payroll cycles (PAY-2026-10), unpaid leave deduction engine, strict RBAC confidentiality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M12–M14: Reports, Notifs, Admin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/reports, /admin</w:t>
            </w:r>
          </w:p>
        </w:tc>
        <w:tc>
          <w:tcPr>
            <w:tcW w:type="pct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Header notification bell, CSV exports, RBAC role assignment with self-demotion lock, audit log viewer</w:t>
            </w:r>
          </w:p>
        </w:tc>
      </w:tr>
    </w:tbl>
    <w:p>
      <w:pPr>
        <w:pageBreakBefore/>
        <w:pBdr>
          <w:bottom w:val="single" w:color="4F46E5" w:sz="12" w:space="4"/>
        </w:pBdr>
        <w:spacing w:after="60" w:before="0"/>
      </w:pPr>
      <w:r>
        <w:rPr>
          <w:rFonts w:ascii="Calibri" w:cs="Calibri" w:eastAsia="Calibri" w:hAnsi="Calibri"/>
          <w:b/>
          <w:bCs/>
          <w:color w:val="4F46E5"/>
          <w:sz w:val="18"/>
          <w:szCs w:val="18"/>
        </w:rPr>
        <w:t xml:space="preserve">SLIDE 04 / 15   |  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Role-Based Access Control (RBAC) &amp; Security Governance</w:t>
      </w: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   —   مصفوفة الصلاحيات والأمان (RBAC)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Server-authoritative permission enforcement on every Express endpoint and PostgreSQL query</w:t>
      </w:r>
    </w:p>
    <w:p>
      <w:pPr>
        <w:spacing w:after="50" w:before="9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1. Provisioned NexaWorks Role Personas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4"/>
        <w:gridCol w:w="1675"/>
        <w:gridCol w:w="2093"/>
        <w:gridCol w:w="1884"/>
        <w:gridCol w:w="2930"/>
      </w:tblGrid>
      <w:tr>
        <w:trPr>
          <w:tblHeader/>
        </w:trP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RBAC Role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Arabic Title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Demo Persona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Email (Pass: NexaHR@2026)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Authorized Operational Scope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SYSTEM_ADMIN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مدير النظام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Eng. Tarek El-Masry (CTO)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admin@nexaworks.eg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Full org settings, RBAC role management, immutable audit logs, all HR &amp; payroll modules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HR_MANAGER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مدير الموارد البشرية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Laila Hassan (Head of People)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hr@nexaworks.eg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Employee CRUD/archive, departments, onboarding, leave overrides, EGP payroll &amp; compensation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DEPARTMENT_MANAGER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مدير إدارة / قسم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Eng. Omar Abdelrahman (VP Eng)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manager@nexaworks.eg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Direct reports attendance/leave approvals, team Kanban tasks &amp; OKR reviews (No team salary access)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EMPLOYEE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موظف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Eng. Nour El-Din (Sr. Engineer)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employee@nexaworks.eg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Self-service check-in/out, leave requests, assigned tasks, review sign-off, personal EGP payslip</w:t>
            </w:r>
          </w:p>
        </w:tc>
      </w:tr>
    </w:tbl>
    <w:p>
      <w:pPr>
        <w:spacing w:after="50" w:before="9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2. Server-Side Security &amp; Confidentiality Guarantees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Compensation &amp; Payroll Isolation: 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Enforced via canAccessEmployeeCompensation() in src/domain/rules.ts and server.ts (/api/bootstrap). Department Managers are strictly blocked at the API layer from viewing other employees’ base salaries, allowances, or payroll registers.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Self-Approval &amp; Scope Guards: 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Enforced via canApproveLeaveForEmployee(). A Department Manager can only approve leave or attendance corrections for direct reports or employees inside their managed department, and can never self-approve.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Admin Self-Demotion Lock &amp; Audit Redaction: 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PATCH /api/admin/users/:profileId/role blocks System Admins from revoking their own SYSTEM_ADMIN role. logAudit() automatically strips password, passwordHash, and token fields before persisting to audit_logs.</w:t>
      </w:r>
    </w:p>
    <w:p>
      <w:pPr>
        <w:pageBreakBefore/>
        <w:pBdr>
          <w:bottom w:val="single" w:color="4F46E5" w:sz="12" w:space="4"/>
        </w:pBdr>
        <w:spacing w:after="60" w:before="0"/>
      </w:pPr>
      <w:r>
        <w:rPr>
          <w:rFonts w:ascii="Calibri" w:cs="Calibri" w:eastAsia="Calibri" w:hAnsi="Calibri"/>
          <w:b/>
          <w:bCs/>
          <w:color w:val="4F46E5"/>
          <w:sz w:val="18"/>
          <w:szCs w:val="18"/>
        </w:rPr>
        <w:t xml:space="preserve">SLIDE 05 / 15   |  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System Actors &amp; UML Use Case Specification</w:t>
      </w: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   —   مخطط حالات الاستخدام (Use Case Diagram)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Models the 4 actor tiers, role generalization (inheritance), 14 functional use cases, and «include» security subroutines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Actor Generalization Hierarchy: 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Department Manager and HR Manager inherit all Employee self-service capabilities (UC-01 through UC-11A). System Administrator inherits HR Manager operational capabilities while adding UC-13 (RBAC Governance) and UC-14 (Security Audit Inspection).</w:t>
      </w:r>
    </w:p>
    <w:p>
      <w:pPr>
        <w:spacing w:after="30" w:before="60"/>
        <w:jc w:val="center"/>
      </w:pPr>
      <w:r>
        <w:drawing>
          <wp:inline distT="0" distB="0" distL="0" distR="0">
            <wp:extent cx="3638550" cy="51435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5"/>
          <w:szCs w:val="15"/>
        </w:rPr>
        <w:t xml:space="preserve">Figure 5.1 — Complete UML Use Case Diagram across the NexaHR Enterprise HRIS System Boundary</w:t>
      </w:r>
    </w:p>
    <w:p>
      <w:pPr>
        <w:pageBreakBefore/>
        <w:pBdr>
          <w:bottom w:val="single" w:color="4F46E5" w:sz="12" w:space="4"/>
        </w:pBdr>
        <w:spacing w:after="60" w:before="0"/>
      </w:pPr>
      <w:r>
        <w:rPr>
          <w:rFonts w:ascii="Calibri" w:cs="Calibri" w:eastAsia="Calibri" w:hAnsi="Calibri"/>
          <w:b/>
          <w:bCs/>
          <w:color w:val="4F46E5"/>
          <w:sz w:val="18"/>
          <w:szCs w:val="18"/>
        </w:rPr>
        <w:t xml:space="preserve">SLIDE 06 / 15   |  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Enterprise Domain Model &amp; UML Class Diagram</w:t>
      </w: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   —   مخطط الفئات والكائنات (Class Diagram)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Core domain classes, encapsulated business operations, and multiplicity associations across the HRIS domain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Pure Domain Service Layer (NexaHRDomainRules): 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Encapsulates deterministic, side-effect-free domain operations including validateEmployeeInput(), hasCircularManagerRelationship(), generateNextEmployeeNumber(), calculateWorkingLeaveDays(), applyLeaveBalanceTransition(), calculateAttendanceMetrics(), and calculatePayrollItem().</w:t>
      </w:r>
    </w:p>
    <w:p>
      <w:pPr>
        <w:spacing w:after="30" w:before="60"/>
        <w:jc w:val="center"/>
      </w:pPr>
      <w:r>
        <w:drawing>
          <wp:inline distT="0" distB="0" distL="0" distR="0">
            <wp:extent cx="5695950" cy="40005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5"/>
          <w:szCs w:val="15"/>
        </w:rPr>
        <w:t xml:space="preserve">Figure 6.1 — UML Domain Class Diagram showing core entities, attributes, methods, and multiplicities</w:t>
      </w:r>
    </w:p>
    <w:p>
      <w:pPr>
        <w:pageBreakBefore/>
        <w:pBdr>
          <w:bottom w:val="single" w:color="4F46E5" w:sz="12" w:space="4"/>
        </w:pBdr>
        <w:spacing w:after="60" w:before="0"/>
      </w:pPr>
      <w:r>
        <w:rPr>
          <w:rFonts w:ascii="Calibri" w:cs="Calibri" w:eastAsia="Calibri" w:hAnsi="Calibri"/>
          <w:b/>
          <w:bCs/>
          <w:color w:val="4F46E5"/>
          <w:sz w:val="18"/>
          <w:szCs w:val="18"/>
        </w:rPr>
        <w:t xml:space="preserve">SLIDE 07 / 15   |  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PostgreSQL Relational Schema &amp; Crow’s Foot ER Diagram</w:t>
      </w: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   —   مخطط علاقات قاعدة البيانات (ERD)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26 normalized PostgreSQL tables defined in src/db/schema.ts with strict foreign-key integrity and audit history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3"/>
        <w:gridCol w:w="4396"/>
        <w:gridCol w:w="3768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Schema Domain Group</w:t>
            </w:r>
          </w:p>
        </w:tc>
        <w:tc>
          <w:tcPr>
            <w:tcW w:type="pct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PostgreSQL Tables (26 Total)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 Relational Integrity Rules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Identity &amp; RBAC (4)</w:t>
            </w:r>
          </w:p>
        </w:tc>
        <w:tc>
          <w:tcPr>
            <w:tcW w:type="pct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profiles, user_roles, role_permissions, audit_logs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1:N profile-to-roles; immutable append-only audit_logs with JSON metadata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Org &amp; Directory (6)</w:t>
            </w:r>
          </w:p>
        </w:tc>
        <w:tc>
          <w:tcPr>
            <w:tcW w:type="pct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organization_settings, departments, job_titles, employees, employee_status_history, employee_documents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Self-referencing employees.manager_id (acyclic); non-destructive ARCHIVED status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Attendance &amp; Leave (7)</w:t>
            </w:r>
          </w:p>
        </w:tc>
        <w:tc>
          <w:tcPr>
            <w:tcW w:type="pct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work_shifts, shift_assignments, attendance_records, attendance_correction_requests, leave_types, leave_entitlements, leave_requests, public_holidays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Unique open session per employee; transactional allocated/used/pending leave quotas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Tasks, OKRs &amp; Lifecycle (6)</w:t>
            </w:r>
          </w:p>
        </w:tc>
        <w:tc>
          <w:tcPr>
            <w:tcW w:type="pct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tasks, task_comments, performance_goals, performance_reviews, onboarding_checklists, onboarding_tasks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Task progress &amp; checklist completion auto-recalculate employee onboarding %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Payroll &amp; Notifications (3)</w:t>
            </w:r>
          </w:p>
        </w:tc>
        <w:tc>
          <w:tcPr>
            <w:tcW w:type="pct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compensation_records, payroll_periods, payroll_items, notifications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Historical salary versioning (is_current); EGP payroll items linked to periods</w:t>
            </w:r>
          </w:p>
        </w:tc>
      </w:tr>
    </w:tbl>
    <w:p>
      <w:pPr>
        <w:spacing w:after="30" w:before="60"/>
        <w:jc w:val="center"/>
      </w:pPr>
      <w:r>
        <w:drawing>
          <wp:inline distT="0" distB="0" distL="0" distR="0">
            <wp:extent cx="5648325" cy="280987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5"/>
          <w:szCs w:val="15"/>
        </w:rPr>
        <w:t xml:space="preserve">Figure 7.1 — Crow’s Foot Entity-Relationship (ER) Diagram of the Normalized PostgreSQL Database</w:t>
      </w:r>
    </w:p>
    <w:p>
      <w:pPr>
        <w:pageBreakBefore/>
        <w:pBdr>
          <w:bottom w:val="single" w:color="4F46E5" w:sz="12" w:space="4"/>
        </w:pBdr>
        <w:spacing w:after="60" w:before="0"/>
      </w:pPr>
      <w:r>
        <w:rPr>
          <w:rFonts w:ascii="Calibri" w:cs="Calibri" w:eastAsia="Calibri" w:hAnsi="Calibri"/>
          <w:b/>
          <w:bCs/>
          <w:color w:val="4F46E5"/>
          <w:sz w:val="18"/>
          <w:szCs w:val="18"/>
        </w:rPr>
        <w:t xml:space="preserve">SLIDE 08 / 15   |  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UML Activity Diagram — Leave Request &amp; Approval Workflow</w:t>
      </w: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   —   مخطط النشاط لدورة الإجازات والأرصدة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Models Egyptian weekend/holiday exclusion, overlap prevention, pending quota reservation, and manager decision branches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Transactional Quota State Machine: 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Submitting a paid leave request reserves pending_days immediately. Approval moves pending_days to used_days; Rejection or Employee Cancellation restores pending_days back to available balance.</w:t>
      </w:r>
    </w:p>
    <w:p>
      <w:pPr>
        <w:spacing w:after="30" w:before="60"/>
        <w:jc w:val="center"/>
      </w:pPr>
      <w:r>
        <w:drawing>
          <wp:inline distT="0" distB="0" distL="0" distR="0">
            <wp:extent cx="3162300" cy="519112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5"/>
          <w:szCs w:val="15"/>
        </w:rPr>
        <w:t xml:space="preserve">Figure 8.1 — UML Activity Diagram: Leave Submission, Domain Validation, and Approval/Rejection/Cancellation</w:t>
      </w:r>
    </w:p>
    <w:p>
      <w:pPr>
        <w:pageBreakBefore/>
        <w:pBdr>
          <w:bottom w:val="single" w:color="4F46E5" w:sz="12" w:space="4"/>
        </w:pBdr>
        <w:spacing w:after="60" w:before="0"/>
      </w:pPr>
      <w:r>
        <w:rPr>
          <w:rFonts w:ascii="Calibri" w:cs="Calibri" w:eastAsia="Calibri" w:hAnsi="Calibri"/>
          <w:b/>
          <w:bCs/>
          <w:color w:val="4F46E5"/>
          <w:sz w:val="18"/>
          <w:szCs w:val="18"/>
        </w:rPr>
        <w:t xml:space="preserve">SLIDE 09 / 15   |  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UML Activity Diagram — Attendance &amp; Punctuality Workflow</w:t>
      </w: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   —   مخطط النشاط للحضور والانصراف وتصحيح البصمة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Server-authoritative UTC check-in/out, Cairo timezone (09:00 + 15m grace) punctuality evaluation, and correction workflow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Grace Period &amp; Worked Hours Formula: 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Evaluates checkInUtc against shift start (09:00 Africa/Cairo) + 15-minute grace window (09:15). Check-out computes total workedMinutes and overtimeMinutes, while allowing employees to submit manager-reviewed correction requests.</w:t>
      </w:r>
    </w:p>
    <w:p>
      <w:pPr>
        <w:spacing w:after="30" w:before="60"/>
        <w:jc w:val="center"/>
      </w:pPr>
      <w:r>
        <w:drawing>
          <wp:inline distT="0" distB="0" distL="0" distR="0">
            <wp:extent cx="2905125" cy="5191125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5"/>
          <w:szCs w:val="15"/>
        </w:rPr>
        <w:t xml:space="preserve">Figure 9.1 — UML Activity Diagram: Daily Check-In, Check-Out, Grace Period Evaluation &amp; Attendance Correction</w:t>
      </w:r>
    </w:p>
    <w:p>
      <w:pPr>
        <w:pageBreakBefore/>
        <w:pBdr>
          <w:bottom w:val="single" w:color="4F46E5" w:sz="12" w:space="4"/>
        </w:pBdr>
        <w:spacing w:after="60" w:before="0"/>
      </w:pPr>
      <w:r>
        <w:rPr>
          <w:rFonts w:ascii="Calibri" w:cs="Calibri" w:eastAsia="Calibri" w:hAnsi="Calibri"/>
          <w:b/>
          <w:bCs/>
          <w:color w:val="4F46E5"/>
          <w:sz w:val="18"/>
          <w:szCs w:val="18"/>
        </w:rPr>
        <w:t xml:space="preserve">SLIDE 10 / 15   |  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UML Activity Diagram — Employee Creation &amp; Auto-Provisioning</w:t>
      </w: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   —   مخطط النشاط لإضافة موظف والتجهيز التلقائي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Multi-table transactional provisioning triggered when HR or Admin creates a new employee in POST /api/employees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Automated Multi-Table Provisioning: 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After verifying RBAC permissions, field rules, and acyclic manager hierarchy (hasCircularManagerRelationship), the server generates the next sequential NW-EMP-XXX code and provisions 2026 leave quotas, EGP compensation, and 4 onboarding clearance tasks in parallel.</w:t>
      </w:r>
    </w:p>
    <w:p>
      <w:pPr>
        <w:spacing w:after="30" w:before="60"/>
        <w:jc w:val="center"/>
      </w:pPr>
      <w:r>
        <w:drawing>
          <wp:inline distT="0" distB="0" distL="0" distR="0">
            <wp:extent cx="3781425" cy="5095875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5"/>
          <w:szCs w:val="15"/>
        </w:rPr>
        <w:t xml:space="preserve">Figure 10.1 — UML Activity Diagram: Employee Creation, Circular Hierarchy Guard &amp; Parallel Auto-Provisioning</w:t>
      </w:r>
    </w:p>
    <w:p>
      <w:pPr>
        <w:pageBreakBefore/>
        <w:pBdr>
          <w:bottom w:val="single" w:color="4F46E5" w:sz="12" w:space="4"/>
        </w:pBdr>
        <w:spacing w:after="60" w:before="0"/>
      </w:pPr>
      <w:r>
        <w:rPr>
          <w:rFonts w:ascii="Calibri" w:cs="Calibri" w:eastAsia="Calibri" w:hAnsi="Calibri"/>
          <w:b/>
          <w:bCs/>
          <w:color w:val="4F46E5"/>
          <w:sz w:val="18"/>
          <w:szCs w:val="18"/>
        </w:rPr>
        <w:t xml:space="preserve">SLIDE 11 / 15   |  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UML Sequence Diagram — Leave Submission &amp; Manager Approval</w:t>
      </w: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   —   مخطط التتابع لتقديم واعتماد الإجازات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Time-ordered lifelines across Employee, Department Manager, LeavePage UI, Express API, Domain Rules, and Cloud SQL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End-to-End Message Traceability: 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Illustrates both the validation failure alt-frame (HTTP 400 Bad Request) and the transactional commit path (HTTP 201 Created), followed by the Department Manager PATCH /api/leave/requests/:id/decision approval sequence.</w:t>
      </w:r>
    </w:p>
    <w:p>
      <w:pPr>
        <w:spacing w:after="30" w:before="60"/>
        <w:jc w:val="center"/>
      </w:pPr>
      <w:r>
        <w:drawing>
          <wp:inline distT="0" distB="0" distL="0" distR="0">
            <wp:extent cx="5505450" cy="4619625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5"/>
          <w:szCs w:val="15"/>
        </w:rPr>
        <w:t xml:space="preserve">Figure 11.1 — UML Sequence Diagram: Leave Request Submission (POST) &amp; Manager Approval Decision (PATCH)</w:t>
      </w:r>
    </w:p>
    <w:p>
      <w:pPr>
        <w:pageBreakBefore/>
        <w:pBdr>
          <w:bottom w:val="single" w:color="4F46E5" w:sz="12" w:space="4"/>
        </w:pBdr>
        <w:spacing w:after="60" w:before="0"/>
      </w:pPr>
      <w:r>
        <w:rPr>
          <w:rFonts w:ascii="Calibri" w:cs="Calibri" w:eastAsia="Calibri" w:hAnsi="Calibri"/>
          <w:b/>
          <w:bCs/>
          <w:color w:val="4F46E5"/>
          <w:sz w:val="18"/>
          <w:szCs w:val="18"/>
        </w:rPr>
        <w:t xml:space="preserve">SLIDE 12 / 15   |  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UML Sequence Diagrams — Auto-Provisioning &amp; Auth/RTL Bootstrap</w:t>
      </w: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   —   مخططات التتابع للتعيين والمصادقة وتهيئة اللغة العربية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Detailed interaction lifelines for (A) Employee Auto-Provisioning and (B) Authentication + Egyptian Arabic RTL Bootstrap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Left Sequence (4.6 — Employee Auto-Provisioning): 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Shows HR Manager submitting New Employee Modal → circular hierarchy validation → sequential NW-EMP-026 generation → multi-table PostgreSQL inserts.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Right Sequence (4.7 — Auth &amp; Egyptian Arabic RTL Bootstrap): 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Shows LanguageContext initializing ar-EG RTL default → POST /api/auth/login issuing signed HMAC token → GET /api/bootstrap filtering confidential records by RBAC role.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pct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30" w:before="20"/>
              <w:jc w:val="center"/>
            </w:pPr>
            <w:r>
              <w:drawing>
                <wp:inline distT="0" distB="0" distL="0" distR="0">
                  <wp:extent cx="2733675" cy="2143125"/>
                  <wp:effectExtent t="0" r="0" b="0" l="0"/>
                  <wp:docPr id="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67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Figure 12.1 — Sequence: Employee Creation &amp; Provisioning</w:t>
            </w:r>
          </w:p>
        </w:tc>
        <w:tc>
          <w:tcPr>
            <w:tcW w:type="pct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30" w:before="20"/>
              <w:jc w:val="center"/>
            </w:pPr>
            <w:r>
              <w:drawing>
                <wp:inline distT="0" distB="0" distL="0" distR="0">
                  <wp:extent cx="2762250" cy="1952625"/>
                  <wp:effectExtent t="0" r="0" b="0" l="0"/>
                  <wp:docPr id="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Figure 12.2 — Sequence: Auth, RBAC &amp; Arabic RTL Bootstrap</w:t>
            </w:r>
          </w:p>
        </w:tc>
      </w:tr>
    </w:tbl>
    <w:p>
      <w:pPr>
        <w:pageBreakBefore/>
        <w:pBdr>
          <w:bottom w:val="single" w:color="4F46E5" w:sz="12" w:space="4"/>
        </w:pBdr>
        <w:spacing w:after="60" w:before="0"/>
      </w:pPr>
      <w:r>
        <w:rPr>
          <w:rFonts w:ascii="Calibri" w:cs="Calibri" w:eastAsia="Calibri" w:hAnsi="Calibri"/>
          <w:b/>
          <w:bCs/>
          <w:color w:val="4F46E5"/>
          <w:sz w:val="18"/>
          <w:szCs w:val="18"/>
        </w:rPr>
        <w:t xml:space="preserve">SLIDE 13 / 15   |  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EGP Payroll Sequence &amp; Leave / Task Lifecycle State Machines</w:t>
      </w: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   —   تتابع مسير المرتبات ومخططات الحالة للإجازات والمهام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Models the Egyptian EGP payroll calculation sequence alongside formal UML State Machines for Leave and Kanban Tasks</w:t>
      </w:r>
    </w:p>
    <w:p>
      <w:pPr>
        <w:spacing w:after="30" w:before="60"/>
        <w:jc w:val="center"/>
      </w:pPr>
      <w:r>
        <w:drawing>
          <wp:inline distT="0" distB="0" distL="0" distR="0">
            <wp:extent cx="4743450" cy="2190750"/>
            <wp:effectExtent t="0" r="0" b="0" l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5"/>
          <w:szCs w:val="15"/>
        </w:rPr>
        <w:t xml:space="preserve">Figure 13.1 — UML Sequence Diagram: EGP Payroll Calculation, Cycle Approval &amp; RBAC Confidentiality Guard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pct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30" w:before="20"/>
              <w:jc w:val="center"/>
            </w:pPr>
            <w:r>
              <w:drawing>
                <wp:inline distT="0" distB="0" distL="0" distR="0">
                  <wp:extent cx="2333625" cy="1905000"/>
                  <wp:effectExtent t="0" r="0" b="0" l="0"/>
                  <wp:docPr id="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Figure 13.2 — Leave Request Lifecycle State Machine</w:t>
            </w:r>
          </w:p>
        </w:tc>
        <w:tc>
          <w:tcPr>
            <w:tcW w:type="pct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30" w:before="20"/>
              <w:jc w:val="center"/>
            </w:pPr>
            <w:r>
              <w:drawing>
                <wp:inline distT="0" distB="0" distL="0" distR="0">
                  <wp:extent cx="1933575" cy="1905000"/>
                  <wp:effectExtent t="0" r="0" b="0" l="0"/>
                  <wp:docPr id="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Figure 13.3 — Task (Kanban) Lifecycle State Machine</w:t>
            </w:r>
          </w:p>
        </w:tc>
      </w:tr>
    </w:tbl>
    <w:p>
      <w:pPr>
        <w:pageBreakBefore/>
        <w:pBdr>
          <w:bottom w:val="single" w:color="4F46E5" w:sz="12" w:space="4"/>
        </w:pBdr>
        <w:spacing w:after="60" w:before="0"/>
      </w:pPr>
      <w:r>
        <w:rPr>
          <w:rFonts w:ascii="Calibri" w:cs="Calibri" w:eastAsia="Calibri" w:hAnsi="Calibri"/>
          <w:b/>
          <w:bCs/>
          <w:color w:val="4F46E5"/>
          <w:sz w:val="18"/>
          <w:szCs w:val="18"/>
        </w:rPr>
        <w:t xml:space="preserve">SLIDE 14 / 15   |  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Appraisal / Payroll State Machines &amp; Cloud Deployment Topology</w:t>
      </w: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   —   مخططات الحالة للأداء والمرتبات ومعمارية النشر السحابي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Multi-stage performance review &amp; payroll period state transitions and production Cloud Run + Cloud SQL deployment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pct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30" w:before="20"/>
              <w:jc w:val="center"/>
            </w:pPr>
            <w:r>
              <w:drawing>
                <wp:inline distT="0" distB="0" distL="0" distR="0">
                  <wp:extent cx="2305050" cy="2714625"/>
                  <wp:effectExtent t="0" r="0" b="0" l="0"/>
                  <wp:docPr id="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Figure 14.1 — Performance Review &amp; Payroll Period State Machines</w:t>
            </w:r>
          </w:p>
        </w:tc>
        <w:tc>
          <w:tcPr>
            <w:tcW w:type="pct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30" w:before="20"/>
              <w:jc w:val="center"/>
            </w:pPr>
            <w:r>
              <w:drawing>
                <wp:inline distT="0" distB="0" distL="0" distR="0">
                  <wp:extent cx="2809875" cy="923925"/>
                  <wp:effectExtent t="0" r="0" b="0" l="0"/>
                  <wp:docPr id="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Figure 14.2 — UML Deployment &amp; Cloud Infrastructure Diagram</w:t>
            </w:r>
          </w:p>
        </w:tc>
      </w:tr>
    </w:tbl>
    <w:p>
      <w:pPr>
        <w:spacing w:after="50" w:before="9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Production Cloud Infrastructure Summary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Runtime &amp; Database Topology: 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Containerized Node.js 22 + Express + Vite SPA bundle deployed on Google Cloud Run (Port 3000, HTTPS), connected via encrypted TLS pool to Google Cloud SQL for PostgreSQL 16 in europe-west2.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Zero-Downtime Idempotent Bootstrapping: 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On startup, server.ts executes ensureNexaWorksSeeded() to verify all 26 PostgreSQL tables and seed the 25-employee Cairo dataset if empty.</w:t>
      </w:r>
    </w:p>
    <w:p>
      <w:pPr>
        <w:pageBreakBefore/>
        <w:pBdr>
          <w:bottom w:val="single" w:color="4F46E5" w:sz="12" w:space="4"/>
        </w:pBdr>
        <w:spacing w:after="60" w:before="0"/>
      </w:pPr>
      <w:r>
        <w:rPr>
          <w:rFonts w:ascii="Calibri" w:cs="Calibri" w:eastAsia="Calibri" w:hAnsi="Calibri"/>
          <w:b/>
          <w:bCs/>
          <w:color w:val="4F46E5"/>
          <w:sz w:val="18"/>
          <w:szCs w:val="18"/>
        </w:rPr>
        <w:t xml:space="preserve">SLIDE 15 / 15   |  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Requirements Traceability, Automated Testing &amp; Verification</w:t>
      </w: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   —   مصفوفة التتبع والاختبارات الآلية والتحقق الهندسي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End-to-end verification across pure domain unit tests (node:test), TypeScript compilation, and mobile/desktop browser checks</w:t>
      </w:r>
    </w:p>
    <w:p>
      <w:pPr>
        <w:spacing w:after="50" w:before="9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1. Automated Domain Unit Test Suite (src/domain/rules.test.ts — 10 / 10 Passing)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4"/>
        <w:gridCol w:w="6908"/>
        <w:gridCol w:w="1675"/>
      </w:tblGrid>
      <w:tr>
        <w:trPr>
          <w:tblHeader/>
        </w:trP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 ID</w:t>
            </w:r>
          </w:p>
        </w:tc>
        <w:tc>
          <w:tcPr>
            <w:tcW w:type="pct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Verified Domain Rule in src/domain/rules.ts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TEST-01 &amp; 02</w:t>
            </w:r>
          </w:p>
        </w:tc>
        <w:tc>
          <w:tcPr>
            <w:tcW w:type="pct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Employee field validation, EGP salary bounds, self-reporting guard &amp; circular manager loop detection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PASS (ok)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TEST-03</w:t>
            </w:r>
          </w:p>
        </w:tc>
        <w:tc>
          <w:tcPr>
            <w:tcW w:type="pct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Sequential employee code generator (generateNextEmployeeNumber → NW-EMP-026)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PASS (ok)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TEST-04 &amp; 05</w:t>
            </w:r>
          </w:p>
        </w:tc>
        <w:tc>
          <w:tcPr>
            <w:tcW w:type="pct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Working leave days calculator (excludes Fri/Sat &amp; Cairo holidays) &amp; overlapping date range detection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PASS (ok)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TEST-06</w:t>
            </w:r>
          </w:p>
        </w:tc>
        <w:tc>
          <w:tcPr>
            <w:tcW w:type="pct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Transactional leave state machine &amp; balance transitions (SUBMIT, APPROVE, REJECT, CANCEL)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PASS (ok)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TEST-07</w:t>
            </w:r>
          </w:p>
        </w:tc>
        <w:tc>
          <w:tcPr>
            <w:tcW w:type="pct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Attendance worked/late/overtime calculator with 15-minute grace period &amp; overnight shift support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PASS (ok)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TEST-08</w:t>
            </w:r>
          </w:p>
        </w:tc>
        <w:tc>
          <w:tcPr>
            <w:tcW w:type="pct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Egyptian EGP Payroll formula (Gross = Base + Allowances, Unpaid Leave Deduction, Net Pay)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PASS (ok)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TEST-09</w:t>
            </w:r>
          </w:p>
        </w:tc>
        <w:tc>
          <w:tcPr>
            <w:tcW w:type="pct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Strict 4-role RBAC permission matrix &amp; compensation confidentiality enforcement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PASS (ok)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TEST-10</w:t>
            </w:r>
          </w:p>
        </w:tc>
        <w:tc>
          <w:tcPr>
            <w:tcW w:type="pct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Egyptian Arabic (ar-EG RTL) localization &amp; bilingual demo contact request validation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6"/>
                <w:szCs w:val="16"/>
              </w:rPr>
              <w:t xml:space="preserve">PASS (ok)</w:t>
            </w:r>
          </w:p>
        </w:tc>
      </w:tr>
    </w:tbl>
    <w:p>
      <w:pPr>
        <w:spacing w:after="50" w:before="9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2. Full-Stack &amp; Mobile Responsiveness Acceptance Summary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Zero Horizontal Overflow on Mobile Phones (375×812): 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Verified across /, /login, /dashboard, /employees, /organization, /attendance, /leave, /tasks, /performance, and /payroll in both Egyptian Arabic (RTL) and English (LTR) with document.documentElement.scrollWidth &lt;= window.innerWidth.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Commands for Local Execution &amp; Verification: 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Install: npm install  |  Run Full-Stack Server: npm run dev (http://localhost:3000)  |  Run Domain Unit Tests: npx tsx --test src/domain/rules.test.ts  |  Typecheck &amp; Build: npm run lint &amp;&amp; npm run build.</w:t>
      </w:r>
    </w:p>
    <w:sectPr>
      <w:headerReference w:type="default" r:id="rId6"/>
      <w:footerReference w:type="default" r:id="rId7"/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5"/>
        <w:szCs w:val="15"/>
      </w:rPr>
      <w:t xml:space="preserve">NexaWorks Technologies SAE (Cairo, Egypt)   —   Slide </w:t>
    </w:r>
    <w:r>
      <w:rPr>
        <w:rFonts w:ascii="Calibri" w:cs="Calibri" w:eastAsia="Calibri" w:hAnsi="Calibri"/>
        <w:b/>
        <w:bCs/>
        <w:color w:val="4F46E5"/>
        <w:sz w:val="15"/>
        <w:szCs w:val="15"/>
      </w:rPr>
      <w:fldChar w:fldCharType="begin"/>
    </w:r>
    <w:r>
      <w:rPr>
        <w:rFonts w:ascii="Calibri" w:cs="Calibri" w:eastAsia="Calibri" w:hAnsi="Calibri"/>
        <w:b/>
        <w:bCs/>
        <w:color w:val="4F46E5"/>
        <w:sz w:val="15"/>
        <w:szCs w:val="15"/>
      </w:rPr>
      <w:instrText xml:space="preserve">PAGE</w:instrText>
    </w:r>
    <w:r>
      <w:rPr>
        <w:rFonts w:ascii="Calibri" w:cs="Calibri" w:eastAsia="Calibri" w:hAnsi="Calibri"/>
        <w:b/>
        <w:bCs/>
        <w:color w:val="4F46E5"/>
        <w:sz w:val="15"/>
        <w:szCs w:val="15"/>
      </w:rPr>
      <w:fldChar w:fldCharType="separate"/>
    </w:r>
    <w:r>
      <w:rPr>
        <w:rFonts w:ascii="Calibri" w:cs="Calibri" w:eastAsia="Calibri" w:hAnsi="Calibri"/>
        <w:b/>
        <w:bCs/>
        <w:color w:val="4F46E5"/>
        <w:sz w:val="15"/>
        <w:szCs w:val="15"/>
      </w:rPr>
      <w:fldChar w:fldCharType="end"/>
    </w:r>
    <w:r>
      <w:rPr>
        <w:rFonts w:ascii="Calibri" w:cs="Calibri" w:eastAsia="Calibri" w:hAnsi="Calibri"/>
        <w:color w:val="64748B"/>
        <w:sz w:val="15"/>
        <w:szCs w:val="15"/>
      </w:rPr>
      <w:t xml:space="preserve"> of </w:t>
    </w:r>
    <w:r>
      <w:rPr>
        <w:rFonts w:ascii="Calibri" w:cs="Calibri" w:eastAsia="Calibri" w:hAnsi="Calibri"/>
        <w:b/>
        <w:bCs/>
        <w:color w:val="4F46E5"/>
        <w:sz w:val="15"/>
        <w:szCs w:val="15"/>
      </w:rPr>
      <w:fldChar w:fldCharType="begin"/>
    </w:r>
    <w:r>
      <w:rPr>
        <w:rFonts w:ascii="Calibri" w:cs="Calibri" w:eastAsia="Calibri" w:hAnsi="Calibri"/>
        <w:b/>
        <w:bCs/>
        <w:color w:val="4F46E5"/>
        <w:sz w:val="15"/>
        <w:szCs w:val="15"/>
      </w:rPr>
      <w:instrText xml:space="preserve">NUMPAGES</w:instrText>
    </w:r>
    <w:r>
      <w:rPr>
        <w:rFonts w:ascii="Calibri" w:cs="Calibri" w:eastAsia="Calibri" w:hAnsi="Calibri"/>
        <w:b/>
        <w:bCs/>
        <w:color w:val="4F46E5"/>
        <w:sz w:val="15"/>
        <w:szCs w:val="15"/>
      </w:rPr>
      <w:fldChar w:fldCharType="separate"/>
    </w:r>
    <w:r>
      <w:rPr>
        <w:rFonts w:ascii="Calibri" w:cs="Calibri" w:eastAsia="Calibri" w:hAnsi="Calibri"/>
        <w:b/>
        <w:bCs/>
        <w:color w:val="4F46E5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5"/>
        <w:szCs w:val="15"/>
      </w:rPr>
      <w:t xml:space="preserve">NexaHR Enterprise HRIS  ·  Formal Project Documentation &amp; UML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ed3a7a000c6121f8a4c1627114bb08b3c91c9ea0.png"/><Relationship Id="rId10" Type="http://schemas.openxmlformats.org/officeDocument/2006/relationships/image" Target="media/e43fa0d6854fa5a234e7200d199bd808167cce5a.png"/><Relationship Id="rId11" Type="http://schemas.openxmlformats.org/officeDocument/2006/relationships/image" Target="media/7ff56e9ff8f05d653f678f0785e284530f51fa84.png"/><Relationship Id="rId12" Type="http://schemas.openxmlformats.org/officeDocument/2006/relationships/image" Target="media/bea1238e59cf03aca92a35a2c713d8bf6add9a46.png"/><Relationship Id="rId13" Type="http://schemas.openxmlformats.org/officeDocument/2006/relationships/image" Target="media/b80ca9960124bb14f7cf69bd98f78a68691417e2.png"/><Relationship Id="rId14" Type="http://schemas.openxmlformats.org/officeDocument/2006/relationships/image" Target="media/cc35f1617a8ae4d3193eaccf09806e18ee09572d.png"/><Relationship Id="rId15" Type="http://schemas.openxmlformats.org/officeDocument/2006/relationships/image" Target="media/86e1ddc4639e543a7a3dd764a344c9ecb90664fb.png"/><Relationship Id="rId16" Type="http://schemas.openxmlformats.org/officeDocument/2006/relationships/image" Target="media/5dd7c34b5e0a82616c3bbff1700713bc93568c12.png"/><Relationship Id="rId17" Type="http://schemas.openxmlformats.org/officeDocument/2006/relationships/image" Target="media/7097760a5c72ca082aec4e4002fe75eff8d482f6.png"/><Relationship Id="rId18" Type="http://schemas.openxmlformats.org/officeDocument/2006/relationships/image" Target="media/f1bd011c06ee6a45a134d137afdddd105de7abc1.png"/><Relationship Id="rId19" Type="http://schemas.openxmlformats.org/officeDocument/2006/relationships/image" Target="media/2a80fa80fb499b6c334c7706b810ab8b9af814a5.png"/><Relationship Id="rId20" Type="http://schemas.openxmlformats.org/officeDocument/2006/relationships/image" Target="media/8b2bfb7ddacfbe920294a69ab0686daea7748a96.png"/><Relationship Id="rId21" Type="http://schemas.openxmlformats.org/officeDocument/2006/relationships/image" Target="media/c5213e2a6900b860918bd6f9c35180b86678f63c.png"/><Relationship Id="rId22" Type="http://schemas.openxmlformats.org/officeDocument/2006/relationships/image" Target="media/ff71eabe57bc44df12a28038aa701869e4540d58.png"/><Relationship Id="rId23" Type="http://schemas.openxmlformats.org/officeDocument/2006/relationships/image" Target="media/67d90926b253ea881a17387c960147a29108cf63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NexaHR — Formal Project Documentation &amp; UML Specification (15 Slides)</dc:title>
  <dc:creator>NexaHR Engineering Team</dc:creator>
  <dc:description>Formal 15-Slide Software Engineering Documentation with Embedded UML &amp; ER Diagrams for NexaHR Enterprise HRIS</dc:description>
  <cp:lastModifiedBy>Un-named</cp:lastModifiedBy>
  <cp:revision>1</cp:revision>
  <dcterms:created xsi:type="dcterms:W3CDTF">2026-10-28T10:06:58.443Z</dcterms:created>
  <dcterms:modified xsi:type="dcterms:W3CDTF">2026-10-28T10:06:58.444Z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