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Cybersecurity Risk Register</w:t>
      </w:r>
    </w:p>
    <w:p>
      <w:r>
        <w:t>PrairieTrust Healthcare Services (PTHS)  |  Project 02  |  Portfolio review version 2.0  |  20 October 2026</w:t>
      </w:r>
    </w:p>
    <w:p>
      <w:r>
        <w:t>SIMULATED TRAINING ARTIFACT — All organizations, personnel, systems, actions and evidence described are fictional. This is not a real-world audit, approved risk acceptance, or implementation record.</w:t>
      </w:r>
    </w:p>
    <w:p>
      <w:pPr>
        <w:pStyle w:val="Heading1"/>
      </w:pPr>
      <w:r>
        <w:t>1. Scope and methodology</w:t>
      </w:r>
    </w:p>
    <w:p>
      <w:r>
        <w:t>This document preserves four scenarios from the original Project 02 assessment. Appendix A separately records two capstone validation scenarios, using C-RISK identifiers to prevent confusion with the original register. Original risk identifiers and scenario definitions are retained.</w:t>
      </w:r>
    </w:p>
    <w:p>
      <w:r>
        <w:t>Likelihood (L) and impact (I) each use a 1–5 scale; inherent risk score = L × I. For consistency with the final capstone, illustrative bands are Low 1–5; Medium 6–10; High 11–15; Critical 16–25. These are training thresholds, not NIST-prescribed thresholds. Residual scores are not assigned without validated control-effectiveness evidence.</w:t>
      </w:r>
    </w:p>
    <w:p>
      <w:pPr>
        <w:pStyle w:val="Heading1"/>
      </w:pPr>
      <w:r>
        <w:t>2. Consolidated original assessment</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2016"/>
            <w:vAlign w:val="center"/>
          </w:tcPr>
          <w:p>
            <w:pPr>
              <w:spacing w:after="40"/>
            </w:pPr>
            <w:r>
              <w:rPr>
                <w:sz w:val="16"/>
              </w:rPr>
              <w:t>ID</w:t>
            </w:r>
          </w:p>
        </w:tc>
        <w:tc>
          <w:tcPr>
            <w:tcW w:type="dxa" w:w="2016"/>
            <w:vAlign w:val="center"/>
          </w:tcPr>
          <w:p>
            <w:pPr>
              <w:spacing w:after="40"/>
            </w:pPr>
            <w:r>
              <w:rPr>
                <w:sz w:val="16"/>
              </w:rPr>
              <w:t>Original risk scenario</w:t>
            </w:r>
          </w:p>
        </w:tc>
        <w:tc>
          <w:tcPr>
            <w:tcW w:type="dxa" w:w="2016"/>
            <w:vAlign w:val="center"/>
          </w:tcPr>
          <w:p>
            <w:pPr>
              <w:spacing w:after="40"/>
            </w:pPr>
            <w:r>
              <w:rPr>
                <w:sz w:val="16"/>
              </w:rPr>
              <w:t>L × I</w:t>
            </w:r>
          </w:p>
        </w:tc>
        <w:tc>
          <w:tcPr>
            <w:tcW w:type="dxa" w:w="2016"/>
            <w:vAlign w:val="center"/>
          </w:tcPr>
          <w:p>
            <w:pPr>
              <w:spacing w:after="40"/>
            </w:pPr>
            <w:r>
              <w:rPr>
                <w:sz w:val="16"/>
              </w:rPr>
              <w:t>Inherent rating</w:t>
            </w:r>
          </w:p>
        </w:tc>
        <w:tc>
          <w:tcPr>
            <w:tcW w:type="dxa" w:w="2016"/>
            <w:vAlign w:val="center"/>
          </w:tcPr>
          <w:p>
            <w:pPr>
              <w:spacing w:after="40"/>
            </w:pPr>
            <w:r>
              <w:rPr>
                <w:sz w:val="16"/>
              </w:rPr>
              <w:t>Assessment status</w:t>
            </w:r>
          </w:p>
        </w:tc>
      </w:tr>
      <w:tr>
        <w:tc>
          <w:tcPr>
            <w:tcW w:type="dxa" w:w="2016"/>
            <w:vAlign w:val="center"/>
          </w:tcPr>
          <w:p>
            <w:pPr>
              <w:spacing w:after="40"/>
            </w:pPr>
            <w:r>
              <w:rPr>
                <w:sz w:val="16"/>
              </w:rPr>
              <w:t>RISK-001</w:t>
            </w:r>
          </w:p>
        </w:tc>
        <w:tc>
          <w:tcPr>
            <w:tcW w:type="dxa" w:w="2016"/>
            <w:vAlign w:val="center"/>
          </w:tcPr>
          <w:p>
            <w:pPr>
              <w:spacing w:after="40"/>
            </w:pPr>
            <w:r>
              <w:rPr>
                <w:sz w:val="16"/>
              </w:rPr>
              <w:t>Excessive EHR permissions; access reviews overdue</w:t>
            </w:r>
          </w:p>
        </w:tc>
        <w:tc>
          <w:tcPr>
            <w:tcW w:type="dxa" w:w="2016"/>
            <w:vAlign w:val="center"/>
          </w:tcPr>
          <w:p>
            <w:pPr>
              <w:spacing w:after="40"/>
            </w:pPr>
            <w:r>
              <w:rPr>
                <w:sz w:val="16"/>
              </w:rPr>
              <w:t>3 × 4 = 12</w:t>
            </w:r>
          </w:p>
        </w:tc>
        <w:tc>
          <w:tcPr>
            <w:tcW w:type="dxa" w:w="2016"/>
            <w:vAlign w:val="center"/>
          </w:tcPr>
          <w:p>
            <w:pPr>
              <w:spacing w:after="40"/>
            </w:pPr>
            <w:r>
              <w:rPr>
                <w:sz w:val="16"/>
              </w:rPr>
              <w:t>High</w:t>
            </w:r>
          </w:p>
        </w:tc>
        <w:tc>
          <w:tcPr>
            <w:tcW w:type="dxa" w:w="2016"/>
            <w:vAlign w:val="center"/>
          </w:tcPr>
          <w:p>
            <w:pPr>
              <w:spacing w:after="40"/>
            </w:pPr>
            <w:r>
              <w:rPr>
                <w:sz w:val="16"/>
              </w:rPr>
              <w:t>Open — treatment proposed; not verified</w:t>
            </w:r>
          </w:p>
        </w:tc>
      </w:tr>
      <w:tr>
        <w:tc>
          <w:tcPr>
            <w:tcW w:type="dxa" w:w="2016"/>
            <w:vAlign w:val="center"/>
          </w:tcPr>
          <w:p>
            <w:pPr>
              <w:spacing w:after="40"/>
            </w:pPr>
            <w:r>
              <w:rPr>
                <w:sz w:val="16"/>
              </w:rPr>
              <w:t>RISK-002</w:t>
            </w:r>
          </w:p>
        </w:tc>
        <w:tc>
          <w:tcPr>
            <w:tcW w:type="dxa" w:w="2016"/>
            <w:vAlign w:val="center"/>
          </w:tcPr>
          <w:p>
            <w:pPr>
              <w:spacing w:after="40"/>
            </w:pPr>
            <w:r>
              <w:rPr>
                <w:sz w:val="16"/>
              </w:rPr>
              <w:t>12 former employees retain active EHR accounts</w:t>
            </w:r>
          </w:p>
        </w:tc>
        <w:tc>
          <w:tcPr>
            <w:tcW w:type="dxa" w:w="2016"/>
            <w:vAlign w:val="center"/>
          </w:tcPr>
          <w:p>
            <w:pPr>
              <w:spacing w:after="40"/>
            </w:pPr>
            <w:r>
              <w:rPr>
                <w:sz w:val="16"/>
              </w:rPr>
              <w:t>4 × 5 = 20</w:t>
            </w:r>
          </w:p>
        </w:tc>
        <w:tc>
          <w:tcPr>
            <w:tcW w:type="dxa" w:w="2016"/>
            <w:vAlign w:val="center"/>
          </w:tcPr>
          <w:p>
            <w:pPr>
              <w:spacing w:after="40"/>
            </w:pPr>
            <w:r>
              <w:rPr>
                <w:sz w:val="16"/>
              </w:rPr>
              <w:t>Critical</w:t>
            </w:r>
          </w:p>
        </w:tc>
        <w:tc>
          <w:tcPr>
            <w:tcW w:type="dxa" w:w="2016"/>
            <w:vAlign w:val="center"/>
          </w:tcPr>
          <w:p>
            <w:pPr>
              <w:spacing w:after="40"/>
            </w:pPr>
            <w:r>
              <w:rPr>
                <w:sz w:val="16"/>
              </w:rPr>
              <w:t>Open — treatment proposed; not verified</w:t>
            </w:r>
          </w:p>
        </w:tc>
      </w:tr>
      <w:tr>
        <w:tc>
          <w:tcPr>
            <w:tcW w:type="dxa" w:w="2016"/>
            <w:vAlign w:val="center"/>
          </w:tcPr>
          <w:p>
            <w:pPr>
              <w:spacing w:after="40"/>
            </w:pPr>
            <w:r>
              <w:rPr>
                <w:sz w:val="16"/>
              </w:rPr>
              <w:t>RISK-003</w:t>
            </w:r>
          </w:p>
        </w:tc>
        <w:tc>
          <w:tcPr>
            <w:tcW w:type="dxa" w:w="2016"/>
            <w:vAlign w:val="center"/>
          </w:tcPr>
          <w:p>
            <w:pPr>
              <w:spacing w:after="40"/>
            </w:pPr>
            <w:r>
              <w:rPr>
                <w:sz w:val="16"/>
              </w:rPr>
              <w:t>Shared-drive access: 30 users retain access; 25 approved, five unverified; nested groups untested</w:t>
            </w:r>
          </w:p>
        </w:tc>
        <w:tc>
          <w:tcPr>
            <w:tcW w:type="dxa" w:w="2016"/>
            <w:vAlign w:val="center"/>
          </w:tcPr>
          <w:p>
            <w:pPr>
              <w:spacing w:after="40"/>
            </w:pPr>
            <w:r>
              <w:rPr>
                <w:sz w:val="16"/>
              </w:rPr>
              <w:t>3 × 4 = 12</w:t>
            </w:r>
          </w:p>
        </w:tc>
        <w:tc>
          <w:tcPr>
            <w:tcW w:type="dxa" w:w="2016"/>
            <w:vAlign w:val="center"/>
          </w:tcPr>
          <w:p>
            <w:pPr>
              <w:spacing w:after="40"/>
            </w:pPr>
            <w:r>
              <w:rPr>
                <w:sz w:val="16"/>
              </w:rPr>
              <w:t>High</w:t>
            </w:r>
          </w:p>
        </w:tc>
        <w:tc>
          <w:tcPr>
            <w:tcW w:type="dxa" w:w="2016"/>
            <w:vAlign w:val="center"/>
          </w:tcPr>
          <w:p>
            <w:pPr>
              <w:spacing w:after="40"/>
            </w:pPr>
            <w:r>
              <w:rPr>
                <w:sz w:val="16"/>
              </w:rPr>
              <w:t>Open — authorization exceptions outstanding</w:t>
            </w:r>
          </w:p>
        </w:tc>
      </w:tr>
      <w:tr>
        <w:tc>
          <w:tcPr>
            <w:tcW w:type="dxa" w:w="2016"/>
            <w:vAlign w:val="center"/>
          </w:tcPr>
          <w:p>
            <w:pPr>
              <w:spacing w:after="40"/>
            </w:pPr>
            <w:r>
              <w:rPr>
                <w:sz w:val="16"/>
              </w:rPr>
              <w:t>RISK-004</w:t>
            </w:r>
          </w:p>
        </w:tc>
        <w:tc>
          <w:tcPr>
            <w:tcW w:type="dxa" w:w="2016"/>
            <w:vAlign w:val="center"/>
          </w:tcPr>
          <w:p>
            <w:pPr>
              <w:spacing w:after="40"/>
            </w:pPr>
            <w:r>
              <w:rPr>
                <w:sz w:val="16"/>
              </w:rPr>
              <w:t>Critical scheduling server unpatched at original assessment; tested patch not deployed</w:t>
            </w:r>
          </w:p>
        </w:tc>
        <w:tc>
          <w:tcPr>
            <w:tcW w:type="dxa" w:w="2016"/>
            <w:vAlign w:val="center"/>
          </w:tcPr>
          <w:p>
            <w:pPr>
              <w:spacing w:after="40"/>
            </w:pPr>
            <w:r>
              <w:rPr>
                <w:sz w:val="16"/>
              </w:rPr>
              <w:t>4 × 5 = 20</w:t>
            </w:r>
          </w:p>
        </w:tc>
        <w:tc>
          <w:tcPr>
            <w:tcW w:type="dxa" w:w="2016"/>
            <w:vAlign w:val="center"/>
          </w:tcPr>
          <w:p>
            <w:pPr>
              <w:spacing w:after="40"/>
            </w:pPr>
            <w:r>
              <w:rPr>
                <w:sz w:val="16"/>
              </w:rPr>
              <w:t>Critical</w:t>
            </w:r>
          </w:p>
        </w:tc>
        <w:tc>
          <w:tcPr>
            <w:tcW w:type="dxa" w:w="2016"/>
            <w:vAlign w:val="center"/>
          </w:tcPr>
          <w:p>
            <w:pPr>
              <w:spacing w:after="40"/>
            </w:pPr>
            <w:r>
              <w:rPr>
                <w:sz w:val="16"/>
              </w:rPr>
              <w:t>Open — original treatment in progress; later capstone status separately recorded</w:t>
            </w:r>
          </w:p>
        </w:tc>
      </w:tr>
    </w:tbl>
    <w:p>
      <w:pPr>
        <w:pStyle w:val="Heading1"/>
      </w:pPr>
      <w:r>
        <w:t>3. Risk ownership and proposed treatment</w:t>
      </w:r>
    </w:p>
    <w:p>
      <w:pPr>
        <w:pStyle w:val="Heading2"/>
      </w:pPr>
      <w:r>
        <w:t>RISK-001 — Mitigate</w:t>
      </w:r>
    </w:p>
    <w:p>
      <w:r>
        <w:t>Proposed accountable business risk owner: Director of Health Information Management (management confirmation required).</w:t>
      </w:r>
    </w:p>
    <w:p>
      <w:r>
        <w:t>Technical implementation owner: IT/IAM Manager. Proposed action: Review access against documented need; remove unjustified permissions; implement least privilege and periodic certifications.</w:t>
      </w:r>
    </w:p>
    <w:p>
      <w:pPr>
        <w:pStyle w:val="Heading2"/>
      </w:pPr>
      <w:r>
        <w:t>RISK-002 — Mitigate</w:t>
      </w:r>
    </w:p>
    <w:p>
      <w:r>
        <w:t>Proposed accountable business risk owner: Director of Health Information Management (management confirmation required).</w:t>
      </w:r>
    </w:p>
    <w:p>
      <w:r>
        <w:t>Technical implementation owner: IT/IAM Manager. Proposed action: Disable former-employee accounts promptly through approved procedures; review access activity; strengthen joiner/mover/leaver controls.</w:t>
      </w:r>
    </w:p>
    <w:p>
      <w:pPr>
        <w:pStyle w:val="Heading2"/>
      </w:pPr>
      <w:r>
        <w:t>RISK-003 — Mitigate</w:t>
      </w:r>
    </w:p>
    <w:p>
      <w:r>
        <w:t>Proposed accountable business risk owner: Director of Health Information Management (management confirmation required).</w:t>
      </w:r>
    </w:p>
    <w:p>
      <w:r>
        <w:t>Technical implementation owner: IT/IAM Manager. Proposed action: Resolve five undocumented authorizations; validate nested and effective group permissions; reconcile against approved access matrix.</w:t>
      </w:r>
    </w:p>
    <w:p>
      <w:pPr>
        <w:pStyle w:val="Heading2"/>
      </w:pPr>
      <w:r>
        <w:t>RISK-004 — Mitigate</w:t>
      </w:r>
    </w:p>
    <w:p>
      <w:r>
        <w:t>Proposed accountable business risk owner: Director of Clinical Operations (management confirmation required).</w:t>
      </w:r>
    </w:p>
    <w:p>
      <w:r>
        <w:t>Technical implementation owner: IT Infrastructure Manager. Proposed action: Deploy approved production patch; maintain temporary network restrictions and monitoring; validate vulnerability resolution and service functionality.</w:t>
      </w:r>
    </w:p>
    <w:p>
      <w:pPr>
        <w:pStyle w:val="Heading1"/>
      </w:pPr>
      <w:r>
        <w:t>4. Evidence, closure and governance requirements</w:t>
      </w:r>
    </w:p>
    <w:p>
      <w:pPr>
        <w:pStyle w:val="ListBullet"/>
      </w:pPr>
      <w:r>
        <w:t>RISK-001: Owner-approved access matrix, current effective-permission export, review approvals, removal records and independent verification.</w:t>
      </w:r>
    </w:p>
    <w:p>
      <w:pPr>
        <w:pStyle w:val="ListBullet"/>
      </w:pPr>
      <w:r>
        <w:t>RISK-002: Account status exports demonstrating deactivation, termination-to-disable reconciliation, access activity review and independent verification.</w:t>
      </w:r>
    </w:p>
    <w:p>
      <w:pPr>
        <w:pStyle w:val="ListBullet"/>
      </w:pPr>
      <w:r>
        <w:t>RISK-003: Documented resolution of five unverified users, nested-group membership and effective-access testing, owner authorization, change records and independent GRC verification.</w:t>
      </w:r>
    </w:p>
    <w:p>
      <w:pPr>
        <w:pStyle w:val="ListBullet"/>
      </w:pPr>
      <w:r>
        <w:t>RISK-004: Approved deployment records, patch/version evidence, authenticated post-patch scan or equivalent validation, operational testing and independent review. A pre-patch scan does not establish remediation.</w:t>
      </w:r>
    </w:p>
    <w:p>
      <w:pPr>
        <w:pStyle w:val="ListBullet"/>
      </w:pPr>
      <w:r>
        <w:t>For every risk: retain evidence references, accountable owners, remediation dates, exception/escalation decisions and authorized closure approval. Technical assertions alone do not justify closure.</w:t>
      </w:r>
    </w:p>
    <w:p>
      <w:pPr>
        <w:pStyle w:val="Heading1"/>
      </w:pPr>
      <w:r>
        <w:t>5. Assessment-history integrity</w:t>
      </w:r>
    </w:p>
    <w:p>
      <w:r>
        <w:t>The original RISK-003 is a shared-drive permissions scenario. The capstone C-RISK-003 is a distinct patient-record access scenario, not an update to the same population. Original RISK-004 and capstone C-RISK-004 describe a related server vulnerability at different simulated assessment stages; no real passage of time or implementation is claimed. The appendix is a separate educational evidence-testing exercise.</w:t>
      </w:r>
    </w:p>
    <w:p>
      <w:r>
        <w:br w:type="page"/>
      </w:r>
    </w:p>
    <w:p>
      <w:pPr>
        <w:pStyle w:val="Heading1"/>
      </w:pPr>
      <w:r>
        <w:t>Appendix A — Final capstone validation scenarios</w:t>
      </w:r>
    </w:p>
    <w:p>
      <w:r>
        <w:t>These C-RISK identifiers are portfolio cross-references, not replacements for the original four risk IDs. All reported remediation activities below are simulated management/technical-team assertions, not independently confirmed events.</w:t>
      </w:r>
    </w:p>
    <w:p>
      <w:pPr>
        <w:pStyle w:val="Heading2"/>
      </w:pPr>
      <w:r>
        <w:t>C-RISK-003 — Excessive patient-record access</w:t>
      </w:r>
    </w:p>
    <w:tbl>
      <w:tblPr>
        <w:tblStyle w:val="LightShading-Accent1"/>
        <w:tblW w:type="auto" w:w="0"/>
        <w:jc w:val="center"/>
        <w:tblLook w:firstColumn="1" w:firstRow="1" w:lastColumn="0" w:lastRow="0" w:noHBand="0" w:noVBand="1" w:val="04A0"/>
      </w:tblPr>
      <w:tblGrid>
        <w:gridCol w:w="5040"/>
        <w:gridCol w:w="5040"/>
      </w:tblGrid>
      <w:tr>
        <w:trPr>
          <w:tblHeader/>
        </w:trPr>
        <w:tc>
          <w:tcPr>
            <w:tcW w:type="dxa" w:w="5040"/>
            <w:vAlign w:val="center"/>
          </w:tcPr>
          <w:p>
            <w:pPr>
              <w:spacing w:after="40"/>
            </w:pPr>
            <w:r>
              <w:rPr>
                <w:sz w:val="16"/>
              </w:rPr>
              <w:t>Field</w:t>
            </w:r>
          </w:p>
        </w:tc>
        <w:tc>
          <w:tcPr>
            <w:tcW w:type="dxa" w:w="5040"/>
            <w:vAlign w:val="center"/>
          </w:tcPr>
          <w:p>
            <w:pPr>
              <w:spacing w:after="40"/>
            </w:pPr>
            <w:r>
              <w:rPr>
                <w:sz w:val="16"/>
              </w:rPr>
              <w:t>Capstone assessment</w:t>
            </w:r>
          </w:p>
        </w:tc>
      </w:tr>
      <w:tr>
        <w:tc>
          <w:tcPr>
            <w:tcW w:type="dxa" w:w="5040"/>
            <w:vAlign w:val="center"/>
          </w:tcPr>
          <w:p>
            <w:pPr>
              <w:spacing w:after="40"/>
            </w:pPr>
            <w:r>
              <w:rPr>
                <w:sz w:val="16"/>
              </w:rPr>
              <w:t>Inherent risk</w:t>
            </w:r>
          </w:p>
        </w:tc>
        <w:tc>
          <w:tcPr>
            <w:tcW w:type="dxa" w:w="5040"/>
            <w:vAlign w:val="center"/>
          </w:tcPr>
          <w:p>
            <w:pPr>
              <w:spacing w:after="40"/>
            </w:pPr>
            <w:r>
              <w:rPr>
                <w:sz w:val="16"/>
              </w:rPr>
              <w:t>L 3 × I 4 = 12/25 — High</w:t>
            </w:r>
          </w:p>
        </w:tc>
      </w:tr>
      <w:tr>
        <w:tc>
          <w:tcPr>
            <w:tcW w:type="dxa" w:w="5040"/>
            <w:vAlign w:val="center"/>
          </w:tcPr>
          <w:p>
            <w:pPr>
              <w:spacing w:after="40"/>
            </w:pPr>
            <w:r>
              <w:rPr>
                <w:sz w:val="16"/>
              </w:rPr>
              <w:t>Treatment</w:t>
            </w:r>
          </w:p>
        </w:tc>
        <w:tc>
          <w:tcPr>
            <w:tcW w:type="dxa" w:w="5040"/>
            <w:vAlign w:val="center"/>
          </w:tcPr>
          <w:p>
            <w:pPr>
              <w:spacing w:after="40"/>
            </w:pPr>
            <w:r>
              <w:rPr>
                <w:sz w:val="16"/>
              </w:rPr>
              <w:t>Mitigate</w:t>
            </w:r>
          </w:p>
        </w:tc>
      </w:tr>
      <w:tr>
        <w:tc>
          <w:tcPr>
            <w:tcW w:type="dxa" w:w="5040"/>
            <w:vAlign w:val="center"/>
          </w:tcPr>
          <w:p>
            <w:pPr>
              <w:spacing w:after="40"/>
            </w:pPr>
            <w:r>
              <w:rPr>
                <w:sz w:val="16"/>
              </w:rPr>
              <w:t>Proposed risk owner</w:t>
            </w:r>
          </w:p>
        </w:tc>
        <w:tc>
          <w:tcPr>
            <w:tcW w:type="dxa" w:w="5040"/>
            <w:vAlign w:val="center"/>
          </w:tcPr>
          <w:p>
            <w:pPr>
              <w:spacing w:after="40"/>
            </w:pPr>
            <w:r>
              <w:rPr>
                <w:sz w:val="16"/>
              </w:rPr>
              <w:t>Director of Health Information Management; management confirmation required</w:t>
            </w:r>
          </w:p>
        </w:tc>
      </w:tr>
      <w:tr>
        <w:tc>
          <w:tcPr>
            <w:tcW w:type="dxa" w:w="5040"/>
            <w:vAlign w:val="center"/>
          </w:tcPr>
          <w:p>
            <w:pPr>
              <w:spacing w:after="40"/>
            </w:pPr>
            <w:r>
              <w:rPr>
                <w:sz w:val="16"/>
              </w:rPr>
              <w:t>Technical owner</w:t>
            </w:r>
          </w:p>
        </w:tc>
        <w:tc>
          <w:tcPr>
            <w:tcW w:type="dxa" w:w="5040"/>
            <w:vAlign w:val="center"/>
          </w:tcPr>
          <w:p>
            <w:pPr>
              <w:spacing w:after="40"/>
            </w:pPr>
            <w:r>
              <w:rPr>
                <w:sz w:val="16"/>
              </w:rPr>
              <w:t>IT/IAM Manager</w:t>
            </w:r>
          </w:p>
        </w:tc>
      </w:tr>
      <w:tr>
        <w:tc>
          <w:tcPr>
            <w:tcW w:type="dxa" w:w="5040"/>
            <w:vAlign w:val="center"/>
          </w:tcPr>
          <w:p>
            <w:pPr>
              <w:spacing w:after="40"/>
            </w:pPr>
            <w:r>
              <w:rPr>
                <w:sz w:val="16"/>
              </w:rPr>
              <w:t>Reported activity</w:t>
            </w:r>
          </w:p>
        </w:tc>
        <w:tc>
          <w:tcPr>
            <w:tcW w:type="dxa" w:w="5040"/>
            <w:vAlign w:val="center"/>
          </w:tcPr>
          <w:p>
            <w:pPr>
              <w:spacing w:after="40"/>
            </w:pPr>
            <w:r>
              <w:rPr>
                <w:sz w:val="16"/>
              </w:rPr>
              <w:t>45 employees reviewed; 12 unnecessary permissions reportedly removed; updated RBAC policy; quarterly reviews planned</w:t>
            </w:r>
          </w:p>
        </w:tc>
      </w:tr>
      <w:tr>
        <w:tc>
          <w:tcPr>
            <w:tcW w:type="dxa" w:w="5040"/>
            <w:vAlign w:val="center"/>
          </w:tcPr>
          <w:p>
            <w:pPr>
              <w:spacing w:after="40"/>
            </w:pPr>
            <w:r>
              <w:rPr>
                <w:sz w:val="16"/>
              </w:rPr>
              <w:t>Evidence gaps</w:t>
            </w:r>
          </w:p>
        </w:tc>
        <w:tc>
          <w:tcPr>
            <w:tcW w:type="dxa" w:w="5040"/>
            <w:vAlign w:val="center"/>
          </w:tcPr>
          <w:p>
            <w:pPr>
              <w:spacing w:after="40"/>
            </w:pPr>
            <w:r>
              <w:rPr>
                <w:sz w:val="16"/>
              </w:rPr>
              <w:t>No system-generated confirmation of all 12 removals; remaining effective permissions not fully reconciled with authorized job duties</w:t>
            </w:r>
          </w:p>
        </w:tc>
      </w:tr>
      <w:tr>
        <w:tc>
          <w:tcPr>
            <w:tcW w:type="dxa" w:w="5040"/>
            <w:vAlign w:val="center"/>
          </w:tcPr>
          <w:p>
            <w:pPr>
              <w:spacing w:after="40"/>
            </w:pPr>
            <w:r>
              <w:rPr>
                <w:sz w:val="16"/>
              </w:rPr>
              <w:t>Independent validation</w:t>
            </w:r>
          </w:p>
        </w:tc>
        <w:tc>
          <w:tcPr>
            <w:tcW w:type="dxa" w:w="5040"/>
            <w:vAlign w:val="center"/>
          </w:tcPr>
          <w:p>
            <w:pPr>
              <w:spacing w:after="40"/>
            </w:pPr>
            <w:r>
              <w:rPr>
                <w:sz w:val="16"/>
              </w:rPr>
              <w:t>Obtain IAM exports/audit logs; test direct and inherited permissions against approved access authorizations</w:t>
            </w:r>
          </w:p>
        </w:tc>
      </w:tr>
      <w:tr>
        <w:tc>
          <w:tcPr>
            <w:tcW w:type="dxa" w:w="5040"/>
            <w:vAlign w:val="center"/>
          </w:tcPr>
          <w:p>
            <w:pPr>
              <w:spacing w:after="40"/>
            </w:pPr>
            <w:r>
              <w:rPr>
                <w:sz w:val="16"/>
              </w:rPr>
              <w:t>Recommended status</w:t>
            </w:r>
          </w:p>
        </w:tc>
        <w:tc>
          <w:tcPr>
            <w:tcW w:type="dxa" w:w="5040"/>
            <w:vAlign w:val="center"/>
          </w:tcPr>
          <w:p>
            <w:pPr>
              <w:spacing w:after="40"/>
            </w:pPr>
            <w:r>
              <w:rPr>
                <w:sz w:val="16"/>
              </w:rPr>
              <w:t>Keep Open — independent evidence incomplete</w:t>
            </w:r>
          </w:p>
        </w:tc>
      </w:tr>
      <w:tr>
        <w:tc>
          <w:tcPr>
            <w:tcW w:type="dxa" w:w="5040"/>
            <w:vAlign w:val="center"/>
          </w:tcPr>
          <w:p>
            <w:pPr>
              <w:spacing w:after="40"/>
            </w:pPr>
            <w:r>
              <w:rPr>
                <w:sz w:val="16"/>
              </w:rPr>
              <w:t>Proposed target</w:t>
            </w:r>
          </w:p>
        </w:tc>
        <w:tc>
          <w:tcPr>
            <w:tcW w:type="dxa" w:w="5040"/>
            <w:vAlign w:val="center"/>
          </w:tcPr>
          <w:p>
            <w:pPr>
              <w:spacing w:after="40"/>
            </w:pPr>
            <w:r>
              <w:rPr>
                <w:sz w:val="16"/>
              </w:rPr>
              <w:t>15 business days for initial access review and removal; not an established SLA</w:t>
            </w:r>
          </w:p>
        </w:tc>
      </w:tr>
    </w:tbl>
    <w:p>
      <w:pPr>
        <w:pStyle w:val="Heading2"/>
      </w:pPr>
      <w:r>
        <w:t>C-RISK-004 — Critical patient-scheduling server vulnerability</w:t>
      </w:r>
    </w:p>
    <w:tbl>
      <w:tblPr>
        <w:tblStyle w:val="LightShading-Accent1"/>
        <w:tblW w:type="auto" w:w="0"/>
        <w:jc w:val="center"/>
        <w:tblLook w:firstColumn="1" w:firstRow="1" w:lastColumn="0" w:lastRow="0" w:noHBand="0" w:noVBand="1" w:val="04A0"/>
      </w:tblPr>
      <w:tblGrid>
        <w:gridCol w:w="5040"/>
        <w:gridCol w:w="5040"/>
      </w:tblGrid>
      <w:tr>
        <w:trPr>
          <w:tblHeader/>
        </w:trPr>
        <w:tc>
          <w:tcPr>
            <w:tcW w:type="dxa" w:w="5040"/>
            <w:vAlign w:val="center"/>
          </w:tcPr>
          <w:p>
            <w:pPr>
              <w:spacing w:after="40"/>
            </w:pPr>
            <w:r>
              <w:rPr>
                <w:sz w:val="16"/>
              </w:rPr>
              <w:t>Field</w:t>
            </w:r>
          </w:p>
        </w:tc>
        <w:tc>
          <w:tcPr>
            <w:tcW w:type="dxa" w:w="5040"/>
            <w:vAlign w:val="center"/>
          </w:tcPr>
          <w:p>
            <w:pPr>
              <w:spacing w:after="40"/>
            </w:pPr>
            <w:r>
              <w:rPr>
                <w:sz w:val="16"/>
              </w:rPr>
              <w:t>Capstone assessment</w:t>
            </w:r>
          </w:p>
        </w:tc>
      </w:tr>
      <w:tr>
        <w:tc>
          <w:tcPr>
            <w:tcW w:type="dxa" w:w="5040"/>
            <w:vAlign w:val="center"/>
          </w:tcPr>
          <w:p>
            <w:pPr>
              <w:spacing w:after="40"/>
            </w:pPr>
            <w:r>
              <w:rPr>
                <w:sz w:val="16"/>
              </w:rPr>
              <w:t>Inherent risk</w:t>
            </w:r>
          </w:p>
        </w:tc>
        <w:tc>
          <w:tcPr>
            <w:tcW w:type="dxa" w:w="5040"/>
            <w:vAlign w:val="center"/>
          </w:tcPr>
          <w:p>
            <w:pPr>
              <w:spacing w:after="40"/>
            </w:pPr>
            <w:r>
              <w:rPr>
                <w:sz w:val="16"/>
              </w:rPr>
              <w:t>L 4 × I 5 = 20/25 — Critical</w:t>
            </w:r>
          </w:p>
        </w:tc>
      </w:tr>
      <w:tr>
        <w:tc>
          <w:tcPr>
            <w:tcW w:type="dxa" w:w="5040"/>
            <w:vAlign w:val="center"/>
          </w:tcPr>
          <w:p>
            <w:pPr>
              <w:spacing w:after="40"/>
            </w:pPr>
            <w:r>
              <w:rPr>
                <w:sz w:val="16"/>
              </w:rPr>
              <w:t>Treatment</w:t>
            </w:r>
          </w:p>
        </w:tc>
        <w:tc>
          <w:tcPr>
            <w:tcW w:type="dxa" w:w="5040"/>
            <w:vAlign w:val="center"/>
          </w:tcPr>
          <w:p>
            <w:pPr>
              <w:spacing w:after="40"/>
            </w:pPr>
            <w:r>
              <w:rPr>
                <w:sz w:val="16"/>
              </w:rPr>
              <w:t>Mitigate</w:t>
            </w:r>
          </w:p>
        </w:tc>
      </w:tr>
      <w:tr>
        <w:tc>
          <w:tcPr>
            <w:tcW w:type="dxa" w:w="5040"/>
            <w:vAlign w:val="center"/>
          </w:tcPr>
          <w:p>
            <w:pPr>
              <w:spacing w:after="40"/>
            </w:pPr>
            <w:r>
              <w:rPr>
                <w:sz w:val="16"/>
              </w:rPr>
              <w:t>Proposed risk owner</w:t>
            </w:r>
          </w:p>
        </w:tc>
        <w:tc>
          <w:tcPr>
            <w:tcW w:type="dxa" w:w="5040"/>
            <w:vAlign w:val="center"/>
          </w:tcPr>
          <w:p>
            <w:pPr>
              <w:spacing w:after="40"/>
            </w:pPr>
            <w:r>
              <w:rPr>
                <w:sz w:val="16"/>
              </w:rPr>
              <w:t>Director of Clinical Operations; management confirmation required</w:t>
            </w:r>
          </w:p>
        </w:tc>
      </w:tr>
      <w:tr>
        <w:tc>
          <w:tcPr>
            <w:tcW w:type="dxa" w:w="5040"/>
            <w:vAlign w:val="center"/>
          </w:tcPr>
          <w:p>
            <w:pPr>
              <w:spacing w:after="40"/>
            </w:pPr>
            <w:r>
              <w:rPr>
                <w:sz w:val="16"/>
              </w:rPr>
              <w:t>Technical owner</w:t>
            </w:r>
          </w:p>
        </w:tc>
        <w:tc>
          <w:tcPr>
            <w:tcW w:type="dxa" w:w="5040"/>
            <w:vAlign w:val="center"/>
          </w:tcPr>
          <w:p>
            <w:pPr>
              <w:spacing w:after="40"/>
            </w:pPr>
            <w:r>
              <w:rPr>
                <w:sz w:val="16"/>
              </w:rPr>
              <w:t>IT Infrastructure Manager</w:t>
            </w:r>
          </w:p>
        </w:tc>
      </w:tr>
      <w:tr>
        <w:tc>
          <w:tcPr>
            <w:tcW w:type="dxa" w:w="5040"/>
            <w:vAlign w:val="center"/>
          </w:tcPr>
          <w:p>
            <w:pPr>
              <w:spacing w:after="40"/>
            </w:pPr>
            <w:r>
              <w:rPr>
                <w:sz w:val="16"/>
              </w:rPr>
              <w:t>Reported activity</w:t>
            </w:r>
          </w:p>
        </w:tc>
        <w:tc>
          <w:tcPr>
            <w:tcW w:type="dxa" w:w="5040"/>
            <w:vAlign w:val="center"/>
          </w:tcPr>
          <w:p>
            <w:pPr>
              <w:spacing w:after="40"/>
            </w:pPr>
            <w:r>
              <w:rPr>
                <w:sz w:val="16"/>
              </w:rPr>
              <w:t>Approved change ticket indicates patch deployed; updated OS-version screenshot; application functionality test successful</w:t>
            </w:r>
          </w:p>
        </w:tc>
      </w:tr>
      <w:tr>
        <w:tc>
          <w:tcPr>
            <w:tcW w:type="dxa" w:w="5040"/>
            <w:vAlign w:val="center"/>
          </w:tcPr>
          <w:p>
            <w:pPr>
              <w:spacing w:after="40"/>
            </w:pPr>
            <w:r>
              <w:rPr>
                <w:sz w:val="16"/>
              </w:rPr>
              <w:t>Evidence gaps</w:t>
            </w:r>
          </w:p>
        </w:tc>
        <w:tc>
          <w:tcPr>
            <w:tcW w:type="dxa" w:w="5040"/>
            <w:vAlign w:val="center"/>
          </w:tcPr>
          <w:p>
            <w:pPr>
              <w:spacing w:after="40"/>
            </w:pPr>
            <w:r>
              <w:rPr>
                <w:sz w:val="16"/>
              </w:rPr>
              <w:t>Only a pre-patch vulnerability scan supplied; no post-patch scan or equivalent confirmation of vulnerability resolution</w:t>
            </w:r>
          </w:p>
        </w:tc>
      </w:tr>
      <w:tr>
        <w:tc>
          <w:tcPr>
            <w:tcW w:type="dxa" w:w="5040"/>
            <w:vAlign w:val="center"/>
          </w:tcPr>
          <w:p>
            <w:pPr>
              <w:spacing w:after="40"/>
            </w:pPr>
            <w:r>
              <w:rPr>
                <w:sz w:val="16"/>
              </w:rPr>
              <w:t>Independent validation</w:t>
            </w:r>
          </w:p>
        </w:tc>
        <w:tc>
          <w:tcPr>
            <w:tcW w:type="dxa" w:w="5040"/>
            <w:vAlign w:val="center"/>
          </w:tcPr>
          <w:p>
            <w:pPr>
              <w:spacing w:after="40"/>
            </w:pPr>
            <w:r>
              <w:rPr>
                <w:sz w:val="16"/>
              </w:rPr>
              <w:t>Authenticated post-patch vulnerability scan, compare original finding, confirm scan coverage and installed patch/version</w:t>
            </w:r>
          </w:p>
        </w:tc>
      </w:tr>
      <w:tr>
        <w:tc>
          <w:tcPr>
            <w:tcW w:type="dxa" w:w="5040"/>
            <w:vAlign w:val="center"/>
          </w:tcPr>
          <w:p>
            <w:pPr>
              <w:spacing w:after="40"/>
            </w:pPr>
            <w:r>
              <w:rPr>
                <w:sz w:val="16"/>
              </w:rPr>
              <w:t>Recommended status</w:t>
            </w:r>
          </w:p>
        </w:tc>
        <w:tc>
          <w:tcPr>
            <w:tcW w:type="dxa" w:w="5040"/>
            <w:vAlign w:val="center"/>
          </w:tcPr>
          <w:p>
            <w:pPr>
              <w:spacing w:after="40"/>
            </w:pPr>
            <w:r>
              <w:rPr>
                <w:sz w:val="16"/>
              </w:rPr>
              <w:t>Keep Open — post-patch verification missing</w:t>
            </w:r>
          </w:p>
        </w:tc>
      </w:tr>
      <w:tr>
        <w:tc>
          <w:tcPr>
            <w:tcW w:type="dxa" w:w="5040"/>
            <w:vAlign w:val="center"/>
          </w:tcPr>
          <w:p>
            <w:pPr>
              <w:spacing w:after="40"/>
            </w:pPr>
            <w:r>
              <w:rPr>
                <w:sz w:val="16"/>
              </w:rPr>
              <w:t>Proposed target</w:t>
            </w:r>
          </w:p>
        </w:tc>
        <w:tc>
          <w:tcPr>
            <w:tcW w:type="dxa" w:w="5040"/>
            <w:vAlign w:val="center"/>
          </w:tcPr>
          <w:p>
            <w:pPr>
              <w:spacing w:after="40"/>
            </w:pPr>
            <w:r>
              <w:rPr>
                <w:sz w:val="16"/>
              </w:rPr>
              <w:t>7 calendar days for patch deployment, subject to testing and maintenance window; not an established SLA</w:t>
            </w:r>
          </w:p>
        </w:tc>
      </w:tr>
    </w:tbl>
    <w:p>
      <w:pPr>
        <w:pStyle w:val="Heading1"/>
      </w:pPr>
      <w:r>
        <w:t>Appendix B — Reporting and limitations</w:t>
      </w:r>
    </w:p>
    <w:p>
      <w:r>
        <w:t>Neither capstone risk is eligible for closure based on the provided simulated evidence. No validated residual risk rating is available. Proposed targets and ownership require management confirmation. If targets are missed, document the delay, interim safeguards, exposure and revised target; escalate to the designated risk authority. Any temporary risk acceptance must be formally authorized, time-limited and recorded under organizational policy.</w:t>
      </w:r>
    </w:p>
    <w:p>
      <w:r>
        <w:t>Risk score classifications are educational and should not be construed as an organizational policy or regulatory requirement. No patient data, credentials, production system identifiers or real internal evidence is included.</w:t>
      </w:r>
    </w:p>
    <w:sectPr w:rsidR="00FC693F" w:rsidRPr="0006063C" w:rsidSect="00034616">
      <w:footerReference w:type="default" r:id="rId9"/>
      <w:pgSz w:w="12240" w:h="15840"/>
      <w:pgMar w:top="1080" w:right="1080" w:bottom="936" w:left="108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PTHS  |  SIMULATED TRAINING ARTIFACT  |  Project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7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75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7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Fictional enterprise cybersecurity risk assessment</dc:subject>
  <dc:creator>Cybersecurity GRC Academy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