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314C"/>
        </w:rPr>
        <w:t>Enterprise Risk Committee Brief</w:t>
      </w:r>
    </w:p>
    <w:p>
      <w:pPr>
        <w:pStyle w:val="Subtitle"/>
      </w:pPr>
      <w:r>
        <w:t>PrairieTrust Healthcare Services (PTHS) | Project 02 | Draft management report | October 2026</w:t>
      </w:r>
    </w:p>
    <w:p>
      <w:r>
        <w:rPr>
          <w:b/>
        </w:rPr>
        <w:t>SIMULATED TRAINING ARTIFACT — Fictional organization; not an actual organizational assessment, approval, implementation, or authorization.</w:t>
      </w:r>
    </w:p>
    <w:p>
      <w:r>
        <w:t>To: Enterprise Risk Committee</w:t>
        <w:br/>
        <w:t>From: GRC Analyst (simulated)</w:t>
        <w:br/>
        <w:t>Subject: Cybersecurity Risk Assessment — PTHS</w:t>
      </w:r>
    </w:p>
    <w:p>
      <w:pPr>
        <w:pStyle w:val="Heading1"/>
      </w:pPr>
      <w:r>
        <w:t>Executive Summary</w:t>
      </w:r>
    </w:p>
    <w:p>
      <w:r>
        <w:t>The cybersecurity risk assessment identified four risks requiring management attention. RISK-002 and RISK-004 are the highest priorities, with preliminary Critical ratings of 20/25 each. RISK-002 involves 12 active accounts belonging to former employees, while RISK-004 involves an unpatched critical patient scheduling server.</w:t>
      </w:r>
    </w:p>
    <w:p>
      <w:r>
        <w:t>I recommend promptly disabling former-employee accounts through approved procedures, reviewing their access activity, and deploying the tested server patch during an approved maintenance window. Temporary network restrictions and enhanced monitoring should remain in place until the server vulnerability is resolved.</w:t>
      </w:r>
    </w:p>
    <w:p>
      <w:r>
        <w:t>RISK-001 and RISK-003 also require remediation because excessive permissions create potential unauthorized access to sensitive patient information. RISK-003 must remain open because five employees still lack documented access authorization, and nested group permissions have not been verified.</w:t>
      </w:r>
    </w:p>
    <w:p>
      <w:r>
        <w:t>Management should confirm accountable business risk owners, approve remediation timelines, and ensure technical teams provide sufficient supporting evidence. The GRC function should independently validate corrective actions, document outstanding risks, and report progress to the committee. No finding should be closed solely because IT reports remediation complete. Formal closure requires verified evidence and authorization through the approved risk management process.</w:t>
      </w:r>
    </w:p>
    <w:p>
      <w:pPr>
        <w:pStyle w:val="Heading1"/>
      </w:pPr>
      <w:r>
        <w:t>Requested Management Decisions</w:t>
      </w:r>
    </w:p>
    <w:p>
      <w:pPr>
        <w:pStyle w:val="ListBullet"/>
      </w:pPr>
      <w:r>
        <w:t>Confirm proposed business risk owners and appropriate delegated approval authorities.</w:t>
      </w:r>
    </w:p>
    <w:p>
      <w:pPr>
        <w:pStyle w:val="ListBullet"/>
      </w:pPr>
      <w:r>
        <w:t>Prioritize the former-employee account exposure and critical scheduling-server patch.</w:t>
      </w:r>
    </w:p>
    <w:p>
      <w:pPr>
        <w:pStyle w:val="ListBullet"/>
      </w:pPr>
      <w:r>
        <w:t>Approve risk-based treatment timelines and interim safeguards.</w:t>
      </w:r>
    </w:p>
    <w:p>
      <w:pPr>
        <w:pStyle w:val="ListBullet"/>
      </w:pPr>
      <w:r>
        <w:t>Require evidence-based verification and authorized closure of outstanding risks.</w:t>
      </w:r>
    </w:p>
    <w:p>
      <w:r>
        <w:t>SIMULATION NOTE: This memo is a training artifact. No real committee meeting, approval, or operational remediation is represented.</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