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2314C"/>
        </w:rPr>
        <w:t>Enterprise Cybersecurity Risk Register</w:t>
      </w:r>
    </w:p>
    <w:p>
      <w:pPr>
        <w:pStyle w:val="Subtitle"/>
      </w:pPr>
      <w:r>
        <w:t>PrairieTrust Healthcare Services (PTHS) | Project 02 | Draft v1.0 | October 2026</w:t>
      </w:r>
    </w:p>
    <w:p>
      <w:r>
        <w:rPr>
          <w:b/>
        </w:rPr>
        <w:t>SIMULATED TRAINING ARTIFACT — Fictional organization; not an actual organizational assessment, approval, implementation, or authorization.</w:t>
      </w:r>
    </w:p>
    <w:p>
      <w:pPr>
        <w:pStyle w:val="Heading1"/>
      </w:pPr>
      <w:r>
        <w:t>Assessment Method</w:t>
      </w:r>
    </w:p>
    <w:p>
      <w:r>
        <w:t>Likelihood and impact are each scored 1–5. Risk score = likelihood × impact. Illustrative thresholds: Low 1–4; Moderate 5–9; High 10–16; Critical 17–25. Ratings are preliminary and require corroborating evidence. The ratings are not presented as NIST-mandated thresholds.</w:t>
      </w:r>
    </w:p>
    <w:p>
      <w:pPr>
        <w:pStyle w:val="Heading1"/>
      </w:pPr>
      <w:r>
        <w:t>Consolidated Register</w:t>
      </w:r>
    </w:p>
    <w:tbl>
      <w:tblPr>
        <w:tblStyle w:val="LightShading-Accent1"/>
        <w:tblW w:type="auto" w:w="0"/>
        <w:jc w:val="center"/>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Risk scenario</w:t>
            </w:r>
          </w:p>
        </w:tc>
        <w:tc>
          <w:tcPr>
            <w:tcW w:type="dxa" w:w="1987"/>
          </w:tcPr>
          <w:p>
            <w:r>
              <w:t>L × I</w:t>
            </w:r>
          </w:p>
        </w:tc>
        <w:tc>
          <w:tcPr>
            <w:tcW w:type="dxa" w:w="1987"/>
          </w:tcPr>
          <w:p>
            <w:r>
              <w:t>Rating</w:t>
            </w:r>
          </w:p>
        </w:tc>
        <w:tc>
          <w:tcPr>
            <w:tcW w:type="dxa" w:w="1987"/>
          </w:tcPr>
          <w:p>
            <w:r>
              <w:t>Current treatment status</w:t>
            </w:r>
          </w:p>
        </w:tc>
      </w:tr>
      <w:tr>
        <w:tc>
          <w:tcPr>
            <w:tcW w:type="dxa" w:w="1987"/>
          </w:tcPr>
          <w:p>
            <w:r>
              <w:t>RISK-001</w:t>
            </w:r>
          </w:p>
        </w:tc>
        <w:tc>
          <w:tcPr>
            <w:tcW w:type="dxa" w:w="1987"/>
          </w:tcPr>
          <w:p>
            <w:r>
              <w:t>Excessive EHR permissions; overdue access reviews</w:t>
            </w:r>
          </w:p>
        </w:tc>
        <w:tc>
          <w:tcPr>
            <w:tcW w:type="dxa" w:w="1987"/>
          </w:tcPr>
          <w:p>
            <w:r>
              <w:t>3 × 4 = 12</w:t>
            </w:r>
          </w:p>
        </w:tc>
        <w:tc>
          <w:tcPr>
            <w:tcW w:type="dxa" w:w="1987"/>
          </w:tcPr>
          <w:p>
            <w:r>
              <w:t>High</w:t>
            </w:r>
          </w:p>
        </w:tc>
        <w:tc>
          <w:tcPr>
            <w:tcW w:type="dxa" w:w="1987"/>
          </w:tcPr>
          <w:p>
            <w:r>
              <w:t>Proposed; not verified</w:t>
            </w:r>
          </w:p>
        </w:tc>
      </w:tr>
      <w:tr>
        <w:tc>
          <w:tcPr>
            <w:tcW w:type="dxa" w:w="1987"/>
          </w:tcPr>
          <w:p>
            <w:r>
              <w:t>RISK-002</w:t>
            </w:r>
          </w:p>
        </w:tc>
        <w:tc>
          <w:tcPr>
            <w:tcW w:type="dxa" w:w="1987"/>
          </w:tcPr>
          <w:p>
            <w:r>
              <w:t>12 former employees retain active EHR accounts</w:t>
            </w:r>
          </w:p>
        </w:tc>
        <w:tc>
          <w:tcPr>
            <w:tcW w:type="dxa" w:w="1987"/>
          </w:tcPr>
          <w:p>
            <w:r>
              <w:t>4 × 5 = 20</w:t>
            </w:r>
          </w:p>
        </w:tc>
        <w:tc>
          <w:tcPr>
            <w:tcW w:type="dxa" w:w="1987"/>
          </w:tcPr>
          <w:p>
            <w:r>
              <w:t>Critical</w:t>
            </w:r>
          </w:p>
        </w:tc>
        <w:tc>
          <w:tcPr>
            <w:tcW w:type="dxa" w:w="1987"/>
          </w:tcPr>
          <w:p>
            <w:r>
              <w:t>Proposed; not verified</w:t>
            </w:r>
          </w:p>
        </w:tc>
      </w:tr>
      <w:tr>
        <w:tc>
          <w:tcPr>
            <w:tcW w:type="dxa" w:w="1987"/>
          </w:tcPr>
          <w:p>
            <w:r>
              <w:t>RISK-003</w:t>
            </w:r>
          </w:p>
        </w:tc>
        <w:tc>
          <w:tcPr>
            <w:tcW w:type="dxa" w:w="1987"/>
          </w:tcPr>
          <w:p>
            <w:r>
              <w:t>Shared-drive access: 30 retain access; 25 approved; five unverified; nested groups untested</w:t>
            </w:r>
          </w:p>
        </w:tc>
        <w:tc>
          <w:tcPr>
            <w:tcW w:type="dxa" w:w="1987"/>
          </w:tcPr>
          <w:p>
            <w:r>
              <w:t>3 × 4 = 12</w:t>
            </w:r>
          </w:p>
        </w:tc>
        <w:tc>
          <w:tcPr>
            <w:tcW w:type="dxa" w:w="1987"/>
          </w:tcPr>
          <w:p>
            <w:r>
              <w:t>High</w:t>
            </w:r>
          </w:p>
        </w:tc>
        <w:tc>
          <w:tcPr>
            <w:tcW w:type="dxa" w:w="1987"/>
          </w:tcPr>
          <w:p>
            <w:r>
              <w:t>Open; exceptions outstanding</w:t>
            </w:r>
          </w:p>
        </w:tc>
      </w:tr>
      <w:tr>
        <w:tc>
          <w:tcPr>
            <w:tcW w:type="dxa" w:w="1987"/>
          </w:tcPr>
          <w:p>
            <w:r>
              <w:t>RISK-004</w:t>
            </w:r>
          </w:p>
        </w:tc>
        <w:tc>
          <w:tcPr>
            <w:tcW w:type="dxa" w:w="1987"/>
          </w:tcPr>
          <w:p>
            <w:r>
              <w:t>Critical scheduling server remains unpatched; tested patch not deployed</w:t>
            </w:r>
          </w:p>
        </w:tc>
        <w:tc>
          <w:tcPr>
            <w:tcW w:type="dxa" w:w="1987"/>
          </w:tcPr>
          <w:p>
            <w:r>
              <w:t>4 × 5 = 20</w:t>
            </w:r>
          </w:p>
        </w:tc>
        <w:tc>
          <w:tcPr>
            <w:tcW w:type="dxa" w:w="1987"/>
          </w:tcPr>
          <w:p>
            <w:r>
              <w:t>Critical</w:t>
            </w:r>
          </w:p>
        </w:tc>
        <w:tc>
          <w:tcPr>
            <w:tcW w:type="dxa" w:w="1987"/>
          </w:tcPr>
          <w:p>
            <w:r>
              <w:t>In progress; compensating controls reported</w:t>
            </w:r>
          </w:p>
        </w:tc>
      </w:tr>
    </w:tbl>
    <w:p>
      <w:pPr>
        <w:pStyle w:val="Heading1"/>
      </w:pPr>
      <w:r>
        <w:t>Ownership and Treatment</w:t>
      </w:r>
    </w:p>
    <w:p>
      <w:pPr>
        <w:pStyle w:val="Heading2"/>
      </w:pPr>
      <w:r>
        <w:t>RISK-001 — Mitigate</w:t>
      </w:r>
    </w:p>
    <w:p>
      <w:r>
        <w:t>Proposed business risk owner: Director of Health Information Management (management confirmation required). Technical implementation owner: IT/IAM Manager.</w:t>
      </w:r>
    </w:p>
    <w:p>
      <w:r>
        <w:t>Proposed actions: Review access, confirm business need, remove unjustified permissions, implement least privilege and recurring certifications.</w:t>
      </w:r>
    </w:p>
    <w:p>
      <w:pPr>
        <w:pStyle w:val="Heading2"/>
      </w:pPr>
      <w:r>
        <w:t>RISK-002 — Mitigate</w:t>
      </w:r>
    </w:p>
    <w:p>
      <w:r>
        <w:t>Proposed business risk owner: Director of Health Information Management (management confirmation required). Technical implementation owner: IT/IAM Manager.</w:t>
      </w:r>
    </w:p>
    <w:p>
      <w:r>
        <w:t>Proposed actions: Promptly disable former-employee accounts through approved process; review activity; strengthen joiner/mover/leaver controls.</w:t>
      </w:r>
    </w:p>
    <w:p>
      <w:pPr>
        <w:pStyle w:val="Heading2"/>
      </w:pPr>
      <w:r>
        <w:t>RISK-003 — Mitigate</w:t>
      </w:r>
    </w:p>
    <w:p>
      <w:r>
        <w:t>Proposed business risk owner: Director of Health Information Management (management confirmation required). Technical implementation owner: IT/IAM Manager.</w:t>
      </w:r>
    </w:p>
    <w:p>
      <w:r>
        <w:t>Proposed actions: Resolve five unexplained accounts, verify nested/effective permissions, reconcile with approved access matrix, retain change and validation evidence.</w:t>
      </w:r>
    </w:p>
    <w:p>
      <w:pPr>
        <w:pStyle w:val="Heading2"/>
      </w:pPr>
      <w:r>
        <w:t>RISK-004 — Mitigate</w:t>
      </w:r>
    </w:p>
    <w:p>
      <w:r>
        <w:t>Proposed business risk owner: Director of Clinical Operations (management confirmation required). Technical implementation owner: IT Infrastructure Manager.</w:t>
      </w:r>
    </w:p>
    <w:p>
      <w:r>
        <w:t>Proposed actions: Coordinate approved production patch deployment, maintain temporary safeguards, validate with vulnerability rescan and operational testing.</w:t>
      </w:r>
    </w:p>
    <w:p>
      <w:pPr>
        <w:pStyle w:val="Heading1"/>
      </w:pPr>
      <w:r>
        <w:t>Closure and Evidence Requirements</w:t>
      </w:r>
    </w:p>
    <w:p>
      <w:r>
        <w:t>RISK-003 must not close while five accounts lack documented authorization and nested-group permissions remain unverified. Verify effective permissions against owner-approved access requirements; retain IAM reports, approvals, ServiceNow change records, and independent GRC validation. Formal closure requires authorized approval under the organization’s defined process.</w:t>
      </w:r>
    </w:p>
    <w:p>
      <w:r>
        <w:t>RISK-004 remains open until the tested patch is deployed, the vulnerability is independently verified as resolved, operational testing is satisfactory, and any remaining residual risk is evaluated. Temporary restrictions and monitoring do not alone establish a reduced residual score.</w:t>
      </w:r>
    </w:p>
    <w:p>
      <w:pPr>
        <w:pStyle w:val="Heading1"/>
      </w:pPr>
      <w:r>
        <w:t>Limitations</w:t>
      </w:r>
    </w:p>
    <w:p>
      <w:r>
        <w:t>All scenarios, job titles, proposed actions, and evidence are fictional training constructs. No confirmed breach or exploitation is asserted. Management approval, implementation, risk acceptance, and closure are not claimed. No patient identifiers, real credentials, or operational system data are included.</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