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Risk Committee Brief</w:t>
      </w:r>
    </w:p>
    <w:p>
      <w:pPr>
        <w:pStyle w:val="Subtitle"/>
      </w:pPr>
      <w:r>
        <w:t>PrairieTrust Healthcare Services (PTHS)  |  Project 02  |  Portfolio review v2.0  |  20 October 2026</w:t>
      </w:r>
    </w:p>
    <w:p>
      <w:r>
        <w:rPr>
          <w:b/>
          <w:color w:val="89411E"/>
        </w:rPr>
        <w:t>SIMULATED TRAINING ARTIFACT — Fictional organization, risk scenarios, personnel, evidence, and management processes. No actual remediation, authorization, risk acceptance, or committee decision is represented.</w:t>
      </w:r>
    </w:p>
    <w:tbl>
      <w:tblPr>
        <w:tblStyle w:val="LightShading-Accent1"/>
        <w:tblW w:type="auto" w:w="0"/>
        <w:tblLook w:firstColumn="1" w:firstRow="1" w:lastColumn="0" w:lastRow="0" w:noHBand="0" w:noVBand="1" w:val="04A0"/>
      </w:tblPr>
      <w:tblGrid>
        <w:gridCol w:w="4925"/>
        <w:gridCol w:w="4925"/>
      </w:tblGrid>
      <w:tr>
        <w:tc>
          <w:tcPr>
            <w:tcW w:type="dxa" w:w="4925"/>
          </w:tcPr>
          <w:p>
            <w:r>
              <w:t>TO</w:t>
            </w:r>
          </w:p>
        </w:tc>
        <w:tc>
          <w:tcPr>
            <w:tcW w:type="dxa" w:w="4925"/>
          </w:tcPr>
          <w:p>
            <w:r>
              <w:t>Executive Risk Committee (simulated)</w:t>
            </w:r>
          </w:p>
        </w:tc>
      </w:tr>
      <w:tr>
        <w:tc>
          <w:tcPr>
            <w:tcW w:type="dxa" w:w="4925"/>
          </w:tcPr>
          <w:p>
            <w:r>
              <w:t>FROM</w:t>
            </w:r>
          </w:p>
        </w:tc>
        <w:tc>
          <w:tcPr>
            <w:tcW w:type="dxa" w:w="4925"/>
          </w:tcPr>
          <w:p>
            <w:r>
              <w:t>GRC Analyst (simulated)</w:t>
            </w:r>
          </w:p>
        </w:tc>
      </w:tr>
      <w:tr>
        <w:tc>
          <w:tcPr>
            <w:tcW w:type="dxa" w:w="4925"/>
          </w:tcPr>
          <w:p>
            <w:r>
              <w:t>SUBJECT</w:t>
            </w:r>
          </w:p>
        </w:tc>
        <w:tc>
          <w:tcPr>
            <w:tcW w:type="dxa" w:w="4925"/>
          </w:tcPr>
          <w:p>
            <w:r>
              <w:t>Enterprise cybersecurity risk assessment and validation status</w:t>
            </w:r>
          </w:p>
        </w:tc>
      </w:tr>
    </w:tbl>
    <w:p>
      <w:pPr>
        <w:pStyle w:val="Heading1"/>
      </w:pPr>
      <w:r>
        <w:t>Executive summary</w:t>
      </w:r>
    </w:p>
    <w:p>
      <w:r>
        <w:t>The original Project 02 assessment identifies four open cybersecurity risks. RISK-002 (12 former employees with active EHR accounts) and RISK-004 (critical patient-scheduling server vulnerability) are the highest-priority original findings, each with an inherent score of 20/25 (Critical). RISK-001 (excessive EHR permissions) and RISK-003 (shared-drive authorization exceptions) are each 12/25 (High). These are scenario-based inherent ratings, not validated residual risk scores.</w:t>
      </w:r>
    </w:p>
    <w:p>
      <w:r>
        <w:t>Treatment is proposed for all four risks, but the original assessment does not establish independently verified remediation or approved closure. The separate capstone validation exercise reports progress on two distinct or related scenarios: C-RISK-003 (patient-record access) and C-RISK-004 (server patching). Both capstone findings remain open because independent evidence is incomplete. Management should prioritize exposure reduction, confirm ownership and deadlines, and require documented validation before closure.</w:t>
      </w:r>
    </w:p>
    <w:p>
      <w:pPr>
        <w:pStyle w:val="Heading1"/>
      </w:pPr>
      <w:r>
        <w:t>Original four-risk portfolio assessment</w:t>
      </w:r>
    </w:p>
    <w:tbl>
      <w:tblPr>
        <w:tblStyle w:val="LightShading-Accent1"/>
        <w:tblW w:type="auto" w:w="0"/>
        <w:tblLayout w:type="fixed"/>
        <w:tblLook w:firstColumn="1" w:firstRow="1" w:lastColumn="0" w:lastRow="0" w:noHBand="0" w:noVBand="1" w:val="04A0"/>
      </w:tblPr>
      <w:tblGrid>
        <w:gridCol w:w="2462"/>
        <w:gridCol w:w="2462"/>
        <w:gridCol w:w="2462"/>
        <w:gridCol w:w="2462"/>
      </w:tblGrid>
      <w:tr>
        <w:tc>
          <w:tcPr>
            <w:tcW w:type="dxa" w:w="2462"/>
          </w:tcPr>
          <w:p>
            <w:r>
              <w:t>Risk</w:t>
            </w:r>
          </w:p>
        </w:tc>
        <w:tc>
          <w:tcPr>
            <w:tcW w:type="dxa" w:w="2462"/>
          </w:tcPr>
          <w:p>
            <w:r>
              <w:t>Inherent</w:t>
            </w:r>
          </w:p>
        </w:tc>
        <w:tc>
          <w:tcPr>
            <w:tcW w:type="dxa" w:w="2462"/>
          </w:tcPr>
          <w:p>
            <w:r>
              <w:t>Exposure / treatment</w:t>
            </w:r>
          </w:p>
        </w:tc>
        <w:tc>
          <w:tcPr>
            <w:tcW w:type="dxa" w:w="2462"/>
          </w:tcPr>
          <w:p>
            <w:r>
              <w:t>Status</w:t>
            </w:r>
          </w:p>
        </w:tc>
      </w:tr>
      <w:tr>
        <w:tc>
          <w:tcPr>
            <w:tcW w:type="dxa" w:w="2462"/>
          </w:tcPr>
          <w:p>
            <w:r>
              <w:t>RISK-001</w:t>
            </w:r>
          </w:p>
        </w:tc>
        <w:tc>
          <w:tcPr>
            <w:tcW w:type="dxa" w:w="2462"/>
          </w:tcPr>
          <w:p>
            <w:r>
              <w:t>12/25 High</w:t>
            </w:r>
          </w:p>
        </w:tc>
        <w:tc>
          <w:tcPr>
            <w:tcW w:type="dxa" w:w="2462"/>
          </w:tcPr>
          <w:p>
            <w:r>
              <w:t>Excessive EHR permissions; access reviews overdue. Mitigate via least privilege and certifications.</w:t>
            </w:r>
          </w:p>
        </w:tc>
        <w:tc>
          <w:tcPr>
            <w:tcW w:type="dxa" w:w="2462"/>
          </w:tcPr>
          <w:p>
            <w:r>
              <w:t>Open; proposed</w:t>
            </w:r>
          </w:p>
        </w:tc>
      </w:tr>
      <w:tr>
        <w:tc>
          <w:tcPr>
            <w:tcW w:type="dxa" w:w="2462"/>
          </w:tcPr>
          <w:p>
            <w:r>
              <w:t>RISK-002</w:t>
            </w:r>
          </w:p>
        </w:tc>
        <w:tc>
          <w:tcPr>
            <w:tcW w:type="dxa" w:w="2462"/>
          </w:tcPr>
          <w:p>
            <w:r>
              <w:t>20/25 Critical</w:t>
            </w:r>
          </w:p>
        </w:tc>
        <w:tc>
          <w:tcPr>
            <w:tcW w:type="dxa" w:w="2462"/>
          </w:tcPr>
          <w:p>
            <w:r>
              <w:t>12 former employees retain active EHR accounts. Mitigate via deactivation and lifecycle controls.</w:t>
            </w:r>
          </w:p>
        </w:tc>
        <w:tc>
          <w:tcPr>
            <w:tcW w:type="dxa" w:w="2462"/>
          </w:tcPr>
          <w:p>
            <w:r>
              <w:t>Open; proposed</w:t>
            </w:r>
          </w:p>
        </w:tc>
      </w:tr>
      <w:tr>
        <w:tc>
          <w:tcPr>
            <w:tcW w:type="dxa" w:w="2462"/>
          </w:tcPr>
          <w:p>
            <w:r>
              <w:t>RISK-003</w:t>
            </w:r>
          </w:p>
        </w:tc>
        <w:tc>
          <w:tcPr>
            <w:tcW w:type="dxa" w:w="2462"/>
          </w:tcPr>
          <w:p>
            <w:r>
              <w:t>12/25 High</w:t>
            </w:r>
          </w:p>
        </w:tc>
        <w:tc>
          <w:tcPr>
            <w:tcW w:type="dxa" w:w="2462"/>
          </w:tcPr>
          <w:p>
            <w:r>
              <w:t>Shared-drive access: five of 30 users lack documented authorization; nested groups untested.</w:t>
            </w:r>
          </w:p>
        </w:tc>
        <w:tc>
          <w:tcPr>
            <w:tcW w:type="dxa" w:w="2462"/>
          </w:tcPr>
          <w:p>
            <w:r>
              <w:t>Open; exceptions</w:t>
            </w:r>
          </w:p>
        </w:tc>
      </w:tr>
      <w:tr>
        <w:tc>
          <w:tcPr>
            <w:tcW w:type="dxa" w:w="2462"/>
          </w:tcPr>
          <w:p>
            <w:r>
              <w:t>RISK-004</w:t>
            </w:r>
          </w:p>
        </w:tc>
        <w:tc>
          <w:tcPr>
            <w:tcW w:type="dxa" w:w="2462"/>
          </w:tcPr>
          <w:p>
            <w:r>
              <w:t>20/25 Critical</w:t>
            </w:r>
          </w:p>
        </w:tc>
        <w:tc>
          <w:tcPr>
            <w:tcW w:type="dxa" w:w="2462"/>
          </w:tcPr>
          <w:p>
            <w:r>
              <w:t>Critical scheduling server unpatched at original assessment. Patch and validate.</w:t>
            </w:r>
          </w:p>
        </w:tc>
        <w:tc>
          <w:tcPr>
            <w:tcW w:type="dxa" w:w="2462"/>
          </w:tcPr>
          <w:p>
            <w:r>
              <w:t>Open; original stage</w:t>
            </w:r>
          </w:p>
        </w:tc>
      </w:tr>
    </w:tbl>
    <w:p>
      <w:pPr>
        <w:pStyle w:val="Heading1"/>
      </w:pPr>
      <w:r>
        <w:t>Executive decisions requested (not yet approved)</w:t>
      </w:r>
    </w:p>
    <w:p>
      <w:pPr>
        <w:pStyle w:val="ListBullet"/>
      </w:pPr>
      <w:r>
        <w:t>Confirm accountable business risk owners: Director of Health Information Management for RISK-001–003 and Director of Clinical Operations for RISK-004; technical owners are IT/IAM and IT Infrastructure respectively.</w:t>
      </w:r>
    </w:p>
    <w:p>
      <w:pPr>
        <w:pStyle w:val="ListBullet"/>
      </w:pPr>
      <w:r>
        <w:t>Prioritize immediate review and disabling of former-employee accounts and the critical server vulnerability; confirm interim safeguards and risk-based deadlines for all findings.</w:t>
      </w:r>
    </w:p>
    <w:p>
      <w:pPr>
        <w:pStyle w:val="ListBullet"/>
      </w:pPr>
      <w:r>
        <w:t>Require evidence-backed independent GRC validation and authorized closure decisions; escalate overdue exposure and approve any temporary acceptance only through delegated authority.</w:t>
      </w:r>
    </w:p>
    <w:p>
      <w:pPr>
        <w:pStyle w:val="Heading1"/>
      </w:pPr>
      <w:r>
        <w:t>Risk reporting boundaries</w:t>
      </w:r>
    </w:p>
    <w:p>
      <w:r>
        <w:t>The original RISK-003 shared-drive finding is NOT the same scenario as capstone C-RISK-003 patient-record access. Original RISK-004 and capstone C-RISK-004 reflect related server-vulnerability scenarios at different simulated stages. The capstone reports are educational assertions, not proof of actual operational changes. No validated residual risk ratings or real committee approvals are available.</w:t>
      </w:r>
    </w:p>
    <w:p>
      <w:r>
        <w:t xml:space="preserve"> </w:t>
      </w:r>
    </w:p>
    <w:p>
      <w:pPr>
        <w:pStyle w:val="Title"/>
      </w:pPr>
      <w:r>
        <w:t>Appendix A — Separate capstone validation briefing</w:t>
      </w:r>
    </w:p>
    <w:p>
      <w:r>
        <w:t>Capstone cross-reference identifiers C-RISK-003 and C-RISK-004 do not replace the original four register IDs. Both findings remain OPEN pending independent verification.</w:t>
      </w:r>
    </w:p>
    <w:p>
      <w:pPr>
        <w:pStyle w:val="Heading1"/>
      </w:pPr>
      <w:r>
        <w:t>C-RISK-003 — Excessive patient-record access</w:t>
      </w:r>
    </w:p>
    <w:p>
      <w:r>
        <w:t>Inherent rating: 12/25 (High). Simulated IAM team reports reviewing 45 employees, removing 12 unnecessary permissions, approving an updated RBAC policy, and planning quarterly reviews. Missing: system-generated proof of all 12 removals and reconciliation of remaining direct and inherited permissions to authorized job responsibilities.</w:t>
      </w:r>
    </w:p>
    <w:p>
      <w:r>
        <w:t>Required verification: IAM exports and audit logs, effective-access testing, documented owner-approved authorizations, and independent GRC review. Proposed accountable owner: Director of Health Information Management; implementation: IT/IAM Manager. Proposed target: 15 business days for initial review/removals; not an organizational SLA. Recommendation: KEEP OPEN.</w:t>
      </w:r>
    </w:p>
    <w:p>
      <w:pPr>
        <w:pStyle w:val="Heading1"/>
      </w:pPr>
      <w:r>
        <w:t>C-RISK-004 — Critical scheduling-server vulnerability</w:t>
      </w:r>
    </w:p>
    <w:p>
      <w:r>
        <w:t>Inherent rating: 20/25 (Critical). Simulated Infrastructure team supplies an approved change ticket indicating deployment, updated OS-version screenshot, successful application functionality test, and a scan conducted before deployment. Missing: post-patch authenticated vulnerability scan or equivalent technical evidence confirming the original vulnerability is resolved.</w:t>
      </w:r>
    </w:p>
    <w:p>
      <w:r>
        <w:t>Required verification: post-patch scan with confirmed coverage/authentication, comparison to the original finding, patch/version verification, and operational evidence. Proposed accountable owner: Director of Clinical Operations; implementation: IT Infrastructure Manager. Proposed patch target: seven calendar days, subject to testing and maintenance window; not an organizational SLA. Recommendation: KEEP OPEN.</w:t>
      </w:r>
    </w:p>
    <w:p>
      <w:pPr>
        <w:pStyle w:val="Heading1"/>
      </w:pPr>
      <w:r>
        <w:t>Follow-up and escalation</w:t>
      </w:r>
    </w:p>
    <w:p>
      <w:r>
        <w:t>For both capstone findings, the accountable owners should confirm targets and direct technical teams to deliver the missing evidence. Record evidence references, validation results, owners, status, outstanding exposure, due dates, and next review date in the risk register. If a target is missed, record reasons, compensating controls, revised date, and escalation. Any temporary risk acceptance requires documented, time-limited approval by an authorized risk authority under organizational policy. Neither risk may be described as successfully closed, and no Low residual rating can be asserted.</w:t>
      </w:r>
    </w:p>
    <w:p>
      <w:pPr>
        <w:pStyle w:val="Heading1"/>
      </w:pPr>
      <w:r>
        <w:t>Method and source note</w:t>
      </w:r>
    </w:p>
    <w:p>
      <w:r>
        <w:t>Training methodology: inherent score = likelihood (1–5) × impact (1–5); Low 1–5, Medium 6–10, High 11–15, Critical 16–25. These illustrative thresholds are not NIST-mandated. Source: Project 02 sanitized risk register, portfolio review version 2.0, and user-completed simulated final capstone Sections A–D (50/50). No patient identifiers, credentials, or operational system records are included.</w:t>
      </w:r>
    </w:p>
    <w:sectPr w:rsidR="00FC693F" w:rsidRPr="0006063C" w:rsidSect="00034616">
      <w:footerReference w:type="default" r:id="rId9"/>
      <w:pgSz w:w="12240" w:h="15840"/>
      <w:pgMar w:top="835" w:right="1195" w:bottom="792"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PTHS | Project 02 | SIMULATED TRAINING ARTIFACT | Portfolio review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33752"/>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3375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3375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