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9352" w14:textId="77777777" w:rsidR="006F5A11" w:rsidRDefault="00000000">
      <w:pPr>
        <w:pStyle w:val="Heading1"/>
      </w:pPr>
      <w:r>
        <w:t>Table 1a. Demographic characteristics and co-morbidities (N = 101)</w:t>
      </w:r>
    </w:p>
    <w:tbl>
      <w:tblPr>
        <w:tblW w:w="3375" w:type="pct"/>
        <w:jc w:val="center"/>
        <w:tblLook w:val="0420" w:firstRow="1" w:lastRow="0" w:firstColumn="0" w:lastColumn="0" w:noHBand="0" w:noVBand="1"/>
      </w:tblPr>
      <w:tblGrid>
        <w:gridCol w:w="2161"/>
        <w:gridCol w:w="990"/>
        <w:gridCol w:w="990"/>
        <w:gridCol w:w="1170"/>
        <w:gridCol w:w="809"/>
      </w:tblGrid>
      <w:tr w:rsidR="006F5A11" w14:paraId="4725CE0B" w14:textId="77777777" w:rsidTr="0093208A">
        <w:trPr>
          <w:tblHeader/>
          <w:jc w:val="center"/>
        </w:trPr>
        <w:tc>
          <w:tcPr>
            <w:tcW w:w="176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5685D5"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809"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591C7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809"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A4C94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95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CAAB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662"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2C6B8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75302B0E" w14:textId="77777777" w:rsidTr="0093208A">
        <w:trPr>
          <w:jc w:val="center"/>
        </w:trPr>
        <w:tc>
          <w:tcPr>
            <w:tcW w:w="1765"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E5816"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Age group (years)</w:t>
            </w:r>
          </w:p>
        </w:tc>
        <w:tc>
          <w:tcPr>
            <w:tcW w:w="809"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6008A"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F589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77EDE"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AB9A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0.532</w:t>
            </w:r>
          </w:p>
        </w:tc>
      </w:tr>
      <w:tr w:rsidR="006F5A11" w14:paraId="7A6E7BD3"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0A2B5"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&lt;40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EE5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27 (26.7%)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5A05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 (24.0%)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4D48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 (34.6%)</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A8F0C"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5160309E"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13DE4"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40-59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057E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41 (40.6%)</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A01E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 (44.0%)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8D15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3D432"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282BDB65"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60EE9"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60-74</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707F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30 (29.7%)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96A5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22 (29.3%)</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2779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35EE2"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DE2FF88"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C7C9F"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75+</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5ABD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D326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3DCE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E864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66C19FDE"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1C9CA"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Sex</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72BD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AA330"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34379"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06D6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&gt;0.999</w:t>
            </w:r>
          </w:p>
        </w:tc>
      </w:tr>
      <w:tr w:rsidR="006F5A11" w14:paraId="671397B6"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F023C"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Male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719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52 (52.0%)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2A33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39 (52.0%)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D33A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 (52.0%)</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35513"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EA7B3C9"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00AD7"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Female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CBF4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48 (48.0%)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2293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36 (48.0%)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3B53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12 (48.0%)</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AD199"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93208A" w14:paraId="3D6A2950"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050B0" w14:textId="51AFAB38"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sidRPr="0093208A">
              <w:rPr>
                <w:rFonts w:ascii="Arial" w:eastAsia="Arial" w:hAnsi="Arial" w:cs="Arial"/>
                <w:b/>
                <w:color w:val="000000"/>
                <w:sz w:val="16"/>
                <w:szCs w:val="16"/>
              </w:rPr>
              <w:t>Comorbidities</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457CB"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8B0C9"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2BEAE"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9C5E8"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F6C5989"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8F601"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Diabetes mellitus</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26D9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35 (34.7%)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208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27 (36.0%)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BB34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9EC5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0.629</w:t>
            </w:r>
          </w:p>
        </w:tc>
      </w:tr>
      <w:tr w:rsidR="006F5A11" w14:paraId="4B617015"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C2E6"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Hypertension</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8BB2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 (9.9%)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FEF6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(6.7%)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10DE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(19.2%)</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F209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0.119</w:t>
            </w:r>
          </w:p>
        </w:tc>
      </w:tr>
      <w:tr w:rsidR="006F5A11" w14:paraId="37120C22"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5B6CF"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proofErr w:type="spellStart"/>
            <w:r w:rsidRPr="0093208A">
              <w:rPr>
                <w:rFonts w:ascii="Arial" w:eastAsia="Arial" w:hAnsi="Arial" w:cs="Arial"/>
                <w:color w:val="000000"/>
                <w:sz w:val="16"/>
                <w:szCs w:val="16"/>
              </w:rPr>
              <w:t>Ischaemic</w:t>
            </w:r>
            <w:proofErr w:type="spellEnd"/>
            <w:r w:rsidRPr="0093208A">
              <w:rPr>
                <w:rFonts w:ascii="Arial" w:eastAsia="Arial" w:hAnsi="Arial" w:cs="Arial"/>
                <w:color w:val="000000"/>
                <w:sz w:val="16"/>
                <w:szCs w:val="16"/>
              </w:rPr>
              <w:t xml:space="preserve"> heart disease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3139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 (5.9%)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3736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E1CD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 (15.4%)</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4579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0.037</w:t>
            </w:r>
          </w:p>
        </w:tc>
      </w:tr>
      <w:tr w:rsidR="006F5A11" w14:paraId="593182A3" w14:textId="77777777" w:rsidTr="0093208A">
        <w:trPr>
          <w:jc w:val="center"/>
        </w:trPr>
        <w:tc>
          <w:tcPr>
            <w:tcW w:w="1765"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6855FC"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COPD</w:t>
            </w:r>
          </w:p>
        </w:tc>
        <w:tc>
          <w:tcPr>
            <w:tcW w:w="809"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B772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809"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9E22F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(4.0%)</w:t>
            </w:r>
          </w:p>
        </w:tc>
        <w:tc>
          <w:tcPr>
            <w:tcW w:w="956"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B09FA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662"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E95A1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0.567</w:t>
            </w:r>
          </w:p>
        </w:tc>
      </w:tr>
      <w:tr w:rsidR="006F5A11" w14:paraId="1483B62C" w14:textId="77777777" w:rsidTr="0093208A">
        <w:trPr>
          <w:jc w:val="center"/>
        </w:trPr>
        <w:tc>
          <w:tcPr>
            <w:tcW w:w="5000" w:type="pct"/>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6D8B3E"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r w:rsidR="006F5A11" w14:paraId="73384C72" w14:textId="77777777" w:rsidTr="0093208A">
        <w:trPr>
          <w:jc w:val="center"/>
        </w:trPr>
        <w:tc>
          <w:tcPr>
            <w:tcW w:w="5000" w:type="pct"/>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F07800"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Fisher's exact test; Pearson's Chi-squared test</w:t>
            </w:r>
          </w:p>
        </w:tc>
      </w:tr>
    </w:tbl>
    <w:p w14:paraId="51D9B74F"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285A4251" w14:textId="641997CE" w:rsidR="006F5A11" w:rsidRDefault="006F5A11"/>
    <w:p w14:paraId="29AEF77E" w14:textId="77777777" w:rsidR="006F5A11" w:rsidRDefault="00000000">
      <w:pPr>
        <w:pStyle w:val="Heading1"/>
      </w:pPr>
      <w:r>
        <w:t>Table 1b. Source of infection and clinical management (N = 101)</w:t>
      </w:r>
    </w:p>
    <w:tbl>
      <w:tblPr>
        <w:tblW w:w="0" w:type="pct"/>
        <w:jc w:val="center"/>
        <w:tblLook w:val="0420" w:firstRow="1" w:lastRow="0" w:firstColumn="0" w:lastColumn="0" w:noHBand="0" w:noVBand="1"/>
      </w:tblPr>
      <w:tblGrid>
        <w:gridCol w:w="2343"/>
        <w:gridCol w:w="903"/>
        <w:gridCol w:w="903"/>
        <w:gridCol w:w="1116"/>
        <w:gridCol w:w="736"/>
      </w:tblGrid>
      <w:tr w:rsidR="006F5A11" w14:paraId="7E62AE5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595CF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5122E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B6208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0B0F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5797A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2E9783E8"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778C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Respiratory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057A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36 (35.6%)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FB62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28 (37.3%)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CB6A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7605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0.547</w:t>
            </w:r>
          </w:p>
        </w:tc>
      </w:tr>
      <w:tr w:rsidR="006F5A11" w14:paraId="34EF3B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C2BC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Urinary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7681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170E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40 (53.3%)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453D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 (34.6%)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1FCE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0.100</w:t>
            </w:r>
          </w:p>
        </w:tc>
      </w:tr>
      <w:tr w:rsidR="006F5A11" w14:paraId="475BE9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694F7"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Gastrointestinal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DAA8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5203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0D56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70BC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&gt;0.999</w:t>
            </w:r>
          </w:p>
        </w:tc>
      </w:tr>
      <w:tr w:rsidR="006F5A11" w14:paraId="3699DE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D1DF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2820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38B2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E48F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2C20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6B9285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80186"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Skin / soft tissue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F556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C6DE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1A2D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1F7F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0.162</w:t>
            </w:r>
          </w:p>
        </w:tc>
      </w:tr>
      <w:tr w:rsidR="006F5A11" w14:paraId="3968672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B0AC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98C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A53F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4AC0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8A5A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0.450</w:t>
            </w:r>
          </w:p>
        </w:tc>
      </w:tr>
      <w:tr w:rsidR="006F5A11" w14:paraId="3931B2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997A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Antimicrobial therapy started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B0D9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75 (74.3%)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5883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53 (70.7%)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7737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22 (84.6%)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5224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0.161</w:t>
            </w:r>
          </w:p>
        </w:tc>
      </w:tr>
      <w:tr w:rsidR="006F5A11" w14:paraId="5C0D3A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5193F"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Supplemental oxygen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6574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E62D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 (44.0%)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34A4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16 (61.5%)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503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0.123</w:t>
            </w:r>
          </w:p>
        </w:tc>
      </w:tr>
      <w:tr w:rsidR="006F5A11" w14:paraId="5A14CEDD"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97A3C7"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Vasopressor</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72AFF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D5195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3A903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(11.5%)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BCB91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0.016</w:t>
            </w:r>
          </w:p>
        </w:tc>
      </w:tr>
      <w:tr w:rsidR="006F5A11" w14:paraId="18C6735B"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50E0A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r w:rsidR="006F5A11" w14:paraId="22CE842E"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442F1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Pearson's Chi-squared test; Fisher's exact test</w:t>
            </w:r>
          </w:p>
        </w:tc>
      </w:tr>
    </w:tbl>
    <w:p w14:paraId="67B1ACDA"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Source of infection is not mutually exclusive - two patients had two sites recorded, so the site rows do not sum to N. Vasopressor use is taken from a SOFA cardiovascular sub-score of 2 or more.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264126BA" w14:textId="1D192374" w:rsidR="006F5A11" w:rsidRDefault="006F5A11"/>
    <w:p w14:paraId="2C7766E4" w14:textId="77777777" w:rsidR="006F5A11" w:rsidRDefault="00000000">
      <w:pPr>
        <w:pStyle w:val="Heading1"/>
      </w:pPr>
      <w:r>
        <w:t>Table 1c. Severity of illness scores (N = 101)</w:t>
      </w:r>
    </w:p>
    <w:tbl>
      <w:tblPr>
        <w:tblW w:w="3586" w:type="pct"/>
        <w:jc w:val="center"/>
        <w:tblLook w:val="0420" w:firstRow="1" w:lastRow="0" w:firstColumn="0" w:lastColumn="0" w:noHBand="0" w:noVBand="1"/>
      </w:tblPr>
      <w:tblGrid>
        <w:gridCol w:w="1188"/>
        <w:gridCol w:w="1526"/>
        <w:gridCol w:w="1526"/>
        <w:gridCol w:w="1526"/>
        <w:gridCol w:w="736"/>
      </w:tblGrid>
      <w:tr w:rsidR="006F5A11" w14:paraId="01301EAC" w14:textId="77777777" w:rsidTr="0093208A">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B310F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9DDE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77F0B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5ADC2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C69B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93208A" w14:paraId="1CAEEC70" w14:textId="77777777" w:rsidTr="0093208A">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55EC3" w14:textId="45226925"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NEWS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1341D" w14:textId="7ACA422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8F046" w14:textId="790CCABA"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6844F" w14:textId="0AABBA0A"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EA8D0" w14:textId="02AEE59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35F4138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132FD" w14:textId="319E65B8"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E1DDB" w14:textId="45CEAE6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8.00 (8.00-9.00)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C1D78" w14:textId="250643D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8.00 (8.00-9.00)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3664D" w14:textId="7C66854B"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10.50 (9.00-13.00)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86C6B" w14:textId="041492C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073F7F16"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EFC84" w14:textId="372912A3"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A3091" w14:textId="39E729B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6.00 (5.00-8.00)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5F1A3" w14:textId="7437717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6.00 (5.00-7.00)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3AE38" w14:textId="0E09FB31"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9.00 (8.00-11.00)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F5012" w14:textId="2FF64990"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23181102"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EB10E" w14:textId="1102E85F"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B661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5.00 (4.00-8.00)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756F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5.00 (4.00-5.00)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F414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13.00 (10.00-15.00)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91A7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55CCD251"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136CA" w14:textId="0D338902"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SOFA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FE50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4.00 (3.00-5.00)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160D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3.00 (3.00-4.00)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D975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5.50 (4.00-8.00)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2A55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20CBFD2B" w14:textId="77777777" w:rsidTr="0093208A">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AD489D" w14:textId="7BBCE0D4"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GCS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C78B0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 (14.00-15.00)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2E274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 (15.00-15.00)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A663A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13.00 (12.00-15.00)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49DDB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5E001F8" w14:textId="77777777" w:rsidTr="0093208A">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BC10DE"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Median (Q1-Q3)</w:t>
            </w:r>
          </w:p>
        </w:tc>
      </w:tr>
      <w:tr w:rsidR="0093208A" w14:paraId="057FA198" w14:textId="77777777" w:rsidTr="0093208A">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86175"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Wilcoxon rank sum test</w:t>
            </w:r>
          </w:p>
        </w:tc>
      </w:tr>
    </w:tbl>
    <w:p w14:paraId="0C6700C4"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NEWS, national early warning score; SOFA, sequential organ failure assessment; GCS, Glasgow coma scale. SOFA and GCS are day-0 values.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669509AF" w14:textId="44E194E0" w:rsidR="006F5A11" w:rsidRDefault="006F5A11"/>
    <w:p w14:paraId="7EA17E66" w14:textId="77777777" w:rsidR="006F5A11" w:rsidRDefault="00000000">
      <w:pPr>
        <w:pStyle w:val="Heading1"/>
      </w:pPr>
      <w:r>
        <w:lastRenderedPageBreak/>
        <w:t>Table 1d. Biochemical parameters (N = 101)</w:t>
      </w:r>
    </w:p>
    <w:tbl>
      <w:tblPr>
        <w:tblW w:w="0" w:type="pct"/>
        <w:jc w:val="center"/>
        <w:tblLook w:val="0420" w:firstRow="1" w:lastRow="0" w:firstColumn="0" w:lastColumn="0" w:noHBand="0" w:noVBand="1"/>
      </w:tblPr>
      <w:tblGrid>
        <w:gridCol w:w="2609"/>
        <w:gridCol w:w="1793"/>
        <w:gridCol w:w="1793"/>
        <w:gridCol w:w="1793"/>
        <w:gridCol w:w="736"/>
      </w:tblGrid>
      <w:tr w:rsidR="006F5A11" w14:paraId="51363046"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7B0A9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52F0B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EA7C5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B1153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8778E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43B8B06E"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6DF19"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Creatinine (mg/dL)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98A9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1.91 (0.86)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77C4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1.82 (0.82)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7A86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2.15 (0.92)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55F5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0.117</w:t>
            </w:r>
          </w:p>
        </w:tc>
      </w:tr>
      <w:tr w:rsidR="006F5A11" w14:paraId="069294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53B9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Total bilirubin (mg/dL)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CACB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0.97 (0.89)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B72B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0.91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C25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 (1.10)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55B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0.340</w:t>
            </w:r>
          </w:p>
        </w:tc>
      </w:tr>
      <w:tr w:rsidR="006F5A11" w14:paraId="6288DD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B342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PaO2/FiO2 (mmHg)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BB69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319.23 (68.70)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7DE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327.97 (60.17)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E587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294.00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57CF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0.069</w:t>
            </w:r>
          </w:p>
        </w:tc>
      </w:tr>
      <w:tr w:rsidR="006F5A11" w14:paraId="3C21EF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8F1DA"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ALT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301D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AD0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C028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(39.00-55.00)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AF1F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0.799</w:t>
            </w:r>
          </w:p>
        </w:tc>
      </w:tr>
      <w:tr w:rsidR="006F5A11" w14:paraId="5E7572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7CF8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AST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1F9C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787D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2AFA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34.00 (32.00-38.00)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85E4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0.223</w:t>
            </w:r>
          </w:p>
        </w:tc>
      </w:tr>
      <w:tr w:rsidR="006F5A11" w14:paraId="352C7D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2C47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Sodium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8DEE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(134.00-144.00)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C288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(136.00-144.00)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C5A8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132.50 (130.00-138.00)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9B47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125D10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ACD3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Potassium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F9C2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4.20 (3.80-4.70)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5A66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 (3.70-4.80)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EC14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3.90 (3.80-4.30)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86E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0.536</w:t>
            </w:r>
          </w:p>
        </w:tc>
      </w:tr>
      <w:tr w:rsidR="006F5A11" w14:paraId="77E686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CB64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Random blood glucose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A241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6.40 (5.80-7.80)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6DC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6.30 (5.70-7.20)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393F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7.85 (6.30-13.20)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0570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0.001</w:t>
            </w:r>
          </w:p>
        </w:tc>
      </w:tr>
      <w:tr w:rsidR="006F5A11" w14:paraId="0D1FDDD7"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D1EE9C"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Lactate (mmol/L)</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BBB46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(0.50-0.91)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04DC8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(0.50-0.50)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8D5D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1.31 (0.50-3.28)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3750B4"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5AD7BD12"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8E296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Mean (SD); Median (Q1-Q3)</w:t>
            </w:r>
          </w:p>
        </w:tc>
      </w:tr>
      <w:tr w:rsidR="006F5A11" w14:paraId="5B6CFC4C"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7D352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Welch Two Sample t-test; Wilcoxon rank sum test</w:t>
            </w:r>
          </w:p>
        </w:tc>
      </w:tr>
    </w:tbl>
    <w:p w14:paraId="7F17D55C"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Creatinine, total bilirubin and PaO2/FiO2 are mean (SD) and compared by t test, as in the reference paper; the rest are median (IQR).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50611DE3" w14:textId="6871D6F4" w:rsidR="006F5A11" w:rsidRDefault="006F5A11"/>
    <w:p w14:paraId="38C463DC" w14:textId="77777777" w:rsidR="006F5A11" w:rsidRDefault="00000000">
      <w:pPr>
        <w:pStyle w:val="Heading1"/>
      </w:pPr>
      <w:r>
        <w:t xml:space="preserve">Table 1e. </w:t>
      </w:r>
      <w:proofErr w:type="spellStart"/>
      <w:r>
        <w:t>Haematological</w:t>
      </w:r>
      <w:proofErr w:type="spellEnd"/>
      <w:r>
        <w:t xml:space="preserve"> parameters and derived ratios (N = 101)</w:t>
      </w:r>
    </w:p>
    <w:tbl>
      <w:tblPr>
        <w:tblW w:w="4233" w:type="pct"/>
        <w:jc w:val="center"/>
        <w:tblLook w:val="0420" w:firstRow="1" w:lastRow="0" w:firstColumn="0" w:lastColumn="0" w:noHBand="0" w:noVBand="1"/>
      </w:tblPr>
      <w:tblGrid>
        <w:gridCol w:w="1250"/>
        <w:gridCol w:w="1884"/>
        <w:gridCol w:w="1884"/>
        <w:gridCol w:w="1884"/>
        <w:gridCol w:w="773"/>
      </w:tblGrid>
      <w:tr w:rsidR="006F5A11" w14:paraId="00BBF7C3" w14:textId="77777777" w:rsidTr="0093208A">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37B2F4"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D9382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84BC6C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16546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B0DA8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93208A" w14:paraId="663AE03B" w14:textId="77777777" w:rsidTr="0093208A">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CA657" w14:textId="040852B3"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Neutrophil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641C7" w14:textId="5971CB5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6635B" w14:textId="78E7388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E81C3" w14:textId="0484E238"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4D84E" w14:textId="61152DA4"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93208A" w14:paraId="4B03D64F"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9249A" w14:textId="50FF92BA"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E1ABD" w14:textId="617D63CD"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11.36 (9.75-15.99)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482A1" w14:textId="226AA749"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11.31 (9.36-13.95)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41648" w14:textId="70A06000"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14.55 (10.47-18.50)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7A00D" w14:textId="538FE0F3"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color w:val="000000"/>
                <w:sz w:val="16"/>
                <w:szCs w:val="16"/>
              </w:rPr>
              <w:t>0.056</w:t>
            </w:r>
          </w:p>
        </w:tc>
      </w:tr>
      <w:tr w:rsidR="0093208A" w14:paraId="54B4CE88"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CAA8A" w14:textId="3C2749EB"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75A88" w14:textId="43E0FC7B"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11.25 (8.87-15.30)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8EA8D" w14:textId="2942C889"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10.83 (8.56-13.12)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AE037" w14:textId="0213FF0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13.30 (10.60-18.62)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87247" w14:textId="542C2994"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0.020</w:t>
            </w:r>
          </w:p>
        </w:tc>
      </w:tr>
      <w:tr w:rsidR="0093208A" w14:paraId="0CDF00A7"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16864" w14:textId="4EC8FE91"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EC06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10.26 (8.08-13.50)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84E3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9.72 (7.74-11.49)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C83A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14.94 (12.00-19.35)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4229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008D5DA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0778C" w14:textId="0FDAE6F5"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Lymphocyte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70EA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9D98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A3CF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0FF4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03953885"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8B054" w14:textId="7A223C5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1600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0.79 (0.61-1.04)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ED54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0.80 (0.61-1.06)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7BBC4"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0.72 (0.60-0.99)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F49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0.641</w:t>
            </w:r>
          </w:p>
        </w:tc>
      </w:tr>
      <w:tr w:rsidR="0093208A" w14:paraId="4FE4CD23"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5F1A1" w14:textId="5EB777DD"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3608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A762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48E7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0.89 (0.73-1.26)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A373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0.966</w:t>
            </w:r>
          </w:p>
        </w:tc>
      </w:tr>
      <w:tr w:rsidR="0093208A" w14:paraId="16346F1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E8C3D" w14:textId="6C530C8E"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6AF7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1.10 (0.85-1.20)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54D2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1.10 (1.00-1.21)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CC4F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0.75 (0.57-0.99)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D8A6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7E4BB937"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3D353" w14:textId="491597E0"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Platelet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EE29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82AC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DDF4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C39A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3DF5F371"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75425" w14:textId="59B883D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3FA8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150.00 (130.00-190.00)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E6329"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149.00 (130.00-180.00)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EE13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178.00 (115.00-211.00)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2626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0.047</w:t>
            </w:r>
          </w:p>
        </w:tc>
      </w:tr>
      <w:tr w:rsidR="0093208A" w14:paraId="0447FB35"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910B7" w14:textId="303F88F1"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30E1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172.00 (130.00-205.00)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FE7B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180.00 (150.00-205.00)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81D4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151.50 (105.00-200.00)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844E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0.193</w:t>
            </w:r>
          </w:p>
        </w:tc>
      </w:tr>
      <w:tr w:rsidR="0093208A" w14:paraId="01B08A42"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CD6F3" w14:textId="0212CE6B"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F190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230.00 (182.00-280.00)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0A30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235.00 (210.00-280.00)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9EEF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149.00 (95.00-190.00)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1943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EE71536"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FC6FF" w14:textId="7D6D2D06"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NLPR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1E5E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D8A6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3C08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DC18D"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22FA9A74"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10ACE" w14:textId="275FE2C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844A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10.23 (8.76-12.23)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E568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10.51 (9.05-12.69)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ADBD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9.90 (7.28-11.98)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10D5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0.527</w:t>
            </w:r>
          </w:p>
        </w:tc>
      </w:tr>
      <w:tr w:rsidR="0093208A" w14:paraId="1FC3776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41CAD" w14:textId="3D4C34D7"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CC5B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7.32 (6.11-9.18)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A6934"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7.04 (5.96-7.89)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2F1A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9.42 (8.50-10.89)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DF7A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19EDD45" w14:textId="77777777" w:rsidTr="0093208A">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C94054" w14:textId="57AB94FA"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B5A50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3.82 (3.11-8.62)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89584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3.51 (2.94-4.16)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0BBDD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12.21 (10.47-16.14)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7E76C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39E4D9CF" w14:textId="77777777" w:rsidTr="0093208A">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9B9661"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Median (Q1-Q3)</w:t>
            </w:r>
          </w:p>
        </w:tc>
      </w:tr>
      <w:tr w:rsidR="0093208A" w14:paraId="4DF2EA2F" w14:textId="77777777" w:rsidTr="0093208A">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84BA7C"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Wilcoxon rank sum test</w:t>
            </w:r>
          </w:p>
        </w:tc>
      </w:tr>
    </w:tbl>
    <w:p w14:paraId="7B0EDD52"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Neutrophil, lymphocyte and platelet counts are 10^9/L. NLR = neutrophil / lymphocyte; NLPR = NLR x 100 / platelet count. Day-3 platelet count and NLPR are missing for two patients whose recorded platelet value was implausible and was voided in cleaning.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044D813D" w14:textId="72504938" w:rsidR="006F5A11" w:rsidRDefault="006F5A11"/>
    <w:p w14:paraId="2C63AABF" w14:textId="77777777" w:rsidR="006F5A11" w:rsidRDefault="00000000">
      <w:pPr>
        <w:pStyle w:val="Heading1"/>
      </w:pPr>
      <w:r>
        <w:t>Table 2. Multivariable logistic regression exploring the association of NEWS (d5) with in-hospital mortality</w:t>
      </w:r>
    </w:p>
    <w:tbl>
      <w:tblPr>
        <w:tblW w:w="0" w:type="auto"/>
        <w:jc w:val="center"/>
        <w:tblLayout w:type="fixed"/>
        <w:tblLook w:val="0420" w:firstRow="1" w:lastRow="0" w:firstColumn="0" w:lastColumn="0" w:noHBand="0" w:noVBand="1"/>
      </w:tblPr>
      <w:tblGrid>
        <w:gridCol w:w="1980"/>
        <w:gridCol w:w="1204"/>
        <w:gridCol w:w="1570"/>
        <w:gridCol w:w="860"/>
      </w:tblGrid>
      <w:tr w:rsidR="006F5A11" w14:paraId="03616456"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A33F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81E4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Odds ratio</w:t>
            </w:r>
          </w:p>
        </w:tc>
        <w:tc>
          <w:tcPr>
            <w:tcW w:w="1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EC00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9501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0DB378DE"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E7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D8BD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2.964</w:t>
            </w:r>
          </w:p>
        </w:tc>
        <w:tc>
          <w:tcPr>
            <w:tcW w:w="15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B9D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1.891-25.288</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B8E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&lt;0.001</w:t>
            </w:r>
          </w:p>
        </w:tc>
      </w:tr>
      <w:tr w:rsidR="006F5A11" w14:paraId="5612B3EF"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8A0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D17C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2.288</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5D4D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0.013-&gt;1000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3ABC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0.673</w:t>
            </w:r>
          </w:p>
        </w:tc>
      </w:tr>
      <w:tr w:rsidR="006F5A11" w14:paraId="013C01F2"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B73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ED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0.173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0294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&lt;0.001-51.877</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B2E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0.423</w:t>
            </w:r>
          </w:p>
        </w:tc>
      </w:tr>
      <w:tr w:rsidR="006F5A11" w14:paraId="1190C2BC"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35E3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E10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0.563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3DEA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0.003-68.819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2981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0.716</w:t>
            </w:r>
          </w:p>
        </w:tc>
      </w:tr>
      <w:tr w:rsidR="006F5A11" w14:paraId="410688A0"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51C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407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1.755</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0F51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&lt;0.001-642.419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06B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0.790</w:t>
            </w:r>
          </w:p>
        </w:tc>
      </w:tr>
      <w:tr w:rsidR="006F5A11" w14:paraId="61005F4D"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43C9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4435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1.598</w:t>
            </w:r>
          </w:p>
        </w:tc>
        <w:tc>
          <w:tcPr>
            <w:tcW w:w="15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94BE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0.043-16.682</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2E1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0.627</w:t>
            </w:r>
          </w:p>
        </w:tc>
      </w:tr>
    </w:tbl>
    <w:p w14:paraId="6654F3EC"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lastRenderedPageBreak/>
        <w:t>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641E949A" w14:textId="77777777" w:rsidR="006F5A11" w:rsidRDefault="006F5A11"/>
    <w:p w14:paraId="0437B90E" w14:textId="77777777" w:rsidR="006F5A11" w:rsidRDefault="00000000">
      <w:pPr>
        <w:pStyle w:val="Heading1"/>
      </w:pPr>
      <w:r>
        <w:t>Table 3. Multivariable logistic regression exploring the association of NLPR (d5) with in-hospital mortality</w:t>
      </w:r>
    </w:p>
    <w:tbl>
      <w:tblPr>
        <w:tblW w:w="0" w:type="auto"/>
        <w:jc w:val="center"/>
        <w:tblLayout w:type="fixed"/>
        <w:tblLook w:val="0420" w:firstRow="1" w:lastRow="0" w:firstColumn="0" w:lastColumn="0" w:noHBand="0" w:noVBand="1"/>
      </w:tblPr>
      <w:tblGrid>
        <w:gridCol w:w="1980"/>
        <w:gridCol w:w="1204"/>
        <w:gridCol w:w="1470"/>
        <w:gridCol w:w="860"/>
      </w:tblGrid>
      <w:tr w:rsidR="006F5A11" w14:paraId="79D88202"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3112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75A81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Odds ratio</w:t>
            </w:r>
          </w:p>
        </w:tc>
        <w:tc>
          <w:tcPr>
            <w:tcW w:w="14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E203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5ED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1B695ABF"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083F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2F6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2.372</w:t>
            </w:r>
          </w:p>
        </w:tc>
        <w:tc>
          <w:tcPr>
            <w:tcW w:w="14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087F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1.654-8.554</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C70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&lt;0.001</w:t>
            </w:r>
          </w:p>
        </w:tc>
      </w:tr>
      <w:tr w:rsidR="006F5A11" w14:paraId="0D1EE92A"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06E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007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1.927</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B27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0.016-357.937</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4716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0.706</w:t>
            </w:r>
          </w:p>
        </w:tc>
      </w:tr>
      <w:tr w:rsidR="006F5A11" w14:paraId="123D2A39"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AFF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1BFE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0.320</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53B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&lt;0.001-74.898</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83F3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0.574</w:t>
            </w:r>
          </w:p>
        </w:tc>
      </w:tr>
      <w:tr w:rsidR="006F5A11" w14:paraId="2FB75D37"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98F7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1C25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0.690</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A467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0.001-189.280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5DF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0.859</w:t>
            </w:r>
          </w:p>
        </w:tc>
      </w:tr>
      <w:tr w:rsidR="006F5A11" w14:paraId="52DE84C3"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FDF5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72C8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0.634</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D5F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&lt;0.001-89.469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06B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0.858</w:t>
            </w:r>
          </w:p>
        </w:tc>
      </w:tr>
      <w:tr w:rsidR="006F5A11" w14:paraId="2406A914"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8155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8798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1.151</w:t>
            </w:r>
          </w:p>
        </w:tc>
        <w:tc>
          <w:tcPr>
            <w:tcW w:w="14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B541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0.268-20.919</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B4B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0.816</w:t>
            </w:r>
          </w:p>
        </w:tc>
      </w:tr>
    </w:tbl>
    <w:p w14:paraId="2E9125D4"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11650D63" w14:textId="0D15EFD8" w:rsidR="006F5A11" w:rsidRDefault="006F5A11"/>
    <w:p w14:paraId="6CBF3A7F" w14:textId="77777777" w:rsidR="006F5A11" w:rsidRDefault="00000000">
      <w:pPr>
        <w:pStyle w:val="Heading1"/>
      </w:pPr>
      <w:r>
        <w:t>Table 4. Predictive value of NEWS and NLPR at different time points for in-hospital mortality of sepsis patients</w:t>
      </w:r>
    </w:p>
    <w:tbl>
      <w:tblPr>
        <w:tblW w:w="5000" w:type="pct"/>
        <w:jc w:val="center"/>
        <w:tblLook w:val="0420" w:firstRow="1" w:lastRow="0" w:firstColumn="0" w:lastColumn="0" w:noHBand="0" w:noVBand="1"/>
      </w:tblPr>
      <w:tblGrid>
        <w:gridCol w:w="2233"/>
        <w:gridCol w:w="1238"/>
        <w:gridCol w:w="1036"/>
        <w:gridCol w:w="1036"/>
        <w:gridCol w:w="580"/>
        <w:gridCol w:w="580"/>
        <w:gridCol w:w="580"/>
        <w:gridCol w:w="1097"/>
        <w:gridCol w:w="686"/>
      </w:tblGrid>
      <w:tr w:rsidR="006F5A11" w14:paraId="4D0BA07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086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44C3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Cut-off value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5B9A6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Specificity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EB6B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Sensitivity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4296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6151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NPV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4BD3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AUC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B01D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1F39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2AE95A1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7AD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0C89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9.500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7EE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0.933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033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FF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0.792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1DD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0.909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336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7A5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0.820-0.969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C39F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6B9BB5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2845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EE5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746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D0D8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DA0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D3E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EF7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FBC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0.923-1.000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EC2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3B545E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C9F5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DC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517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A10F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8899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2A3B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EAE9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CC94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43E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7FF77C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481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1F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14.228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FB1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1C4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728C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4820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E478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C3D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0.317-0.599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8A32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0.560</w:t>
            </w:r>
          </w:p>
        </w:tc>
      </w:tr>
      <w:tr w:rsidR="006F5A11" w14:paraId="1B35B3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FF2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605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8.487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31F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9F5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D483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717D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EBC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D6A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0.625-0.877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B09D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6084FC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53D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51D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E8B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A4F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7F0A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7E45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091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DB6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F76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44E50B3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315A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 &amp; age &amp; SOFA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30CC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3ED97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A28B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7BC1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74AC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D2D6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4AD2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382F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bl>
    <w:p w14:paraId="21ECE925"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Cut-off is the Youden-optimal point. NEWS is an integer score, so its cut-off falls between two whole numbers. The AUC confidence interval and the test of AUC = 0.5 use the DeLong method; where the AUC is exactly 1 that variance is zero and the equivalent exact Mann-Whitney test is reported instead. The combined row is on the predicted-probability scale of a Firth logistic model containing NLPR (d5), age group and SOFA; at that cut-off, for the &lt;</w:t>
      </w:r>
      <w:proofErr w:type="gramStart"/>
      <w:r>
        <w:rPr>
          <w:rFonts w:ascii="Arial" w:eastAsia="Arial" w:hAnsi="Arial" w:cs="Arial"/>
          <w:i/>
          <w:color w:val="000000"/>
          <w:sz w:val="16"/>
          <w:szCs w:val="16"/>
        </w:rPr>
        <w:t>40 year</w:t>
      </w:r>
      <w:proofErr w:type="gramEnd"/>
      <w:r>
        <w:rPr>
          <w:rFonts w:ascii="Arial" w:eastAsia="Arial" w:hAnsi="Arial" w:cs="Arial"/>
          <w:i/>
          <w:color w:val="000000"/>
          <w:sz w:val="16"/>
          <w:szCs w:val="16"/>
        </w:rPr>
        <w:t xml:space="preserve"> age group and SOFA at its median (4), the corresponding NLPR (d5) is 7.74. PPV and NPV are evaluated at the same cut-off and therefore embed this cohort's in-hospital mortality of 25.7% as the prior; they do not transfer to a population with a different death rate, whereas sensitivity, specificity and the AUC do. AUC, area under the ROC curve; CI, confidence interval; PPV, positive predictive value; NPV, negative predictive value.</w:t>
      </w:r>
    </w:p>
    <w:sectPr w:rsidR="006F5A1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0423712">
    <w:abstractNumId w:val="1"/>
  </w:num>
  <w:num w:numId="2" w16cid:durableId="587081199">
    <w:abstractNumId w:val="2"/>
  </w:num>
  <w:num w:numId="3" w16cid:durableId="43956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4158F9"/>
    <w:rsid w:val="00457CF1"/>
    <w:rsid w:val="006F5A11"/>
    <w:rsid w:val="00747CCE"/>
    <w:rsid w:val="007B3E96"/>
    <w:rsid w:val="007E2B36"/>
    <w:rsid w:val="008F1F48"/>
    <w:rsid w:val="00901463"/>
    <w:rsid w:val="0093208A"/>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CD464"/>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1443</Words>
  <Characters>8230</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Ibrahim All-Mamun</cp:lastModifiedBy>
  <cp:revision>10</cp:revision>
  <dcterms:created xsi:type="dcterms:W3CDTF">2017-02-28T11:18:00Z</dcterms:created>
  <dcterms:modified xsi:type="dcterms:W3CDTF">2026-09-04T19:04:00Z</dcterms:modified>
  <cp:category/>
</cp:coreProperties>
</file>