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Table 5. Multivariable logistic regression of factors associated with refractive error and anterior-segment disease among Garo adults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Refractive error aOR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Anterior-segment disease aOR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p-value 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group (years)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  18-30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  31-49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1.104 (0.328-3.782)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6.681 (1.831-27.665)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0.005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  &gt;49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9.875 (2.248-51.761)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18.604 (4.224-98.943)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  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  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0.297 (0.075-1.053)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1.256 (0.332-4.942)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0.738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History of ocular 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  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  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4.291 (0.406-109.708)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1.154 (0.124-14.823)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0.904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History of ocular injury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  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  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2.750 (0.372-27.300)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2.810 (0.267-50.399)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0.433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Smoking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  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  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0.255 (0.055-1.048)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3.252 (0.759-16.058)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0.126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Alcohol consumption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  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  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0.415 (0.106-1.511)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0.911 (0.213-3.915)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0.898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Betel nut/leaf consumption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  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  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3.042 (0.783-13.253)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0.873 (0.211-3.273)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0.844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Family history of ocular 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  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  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6.522 (2.243-20.918)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0.231 (0.058-0.774)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0.025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Family history of systemic 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  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  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0.847 (0.248-2.829)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6.164 (1.496-30.230)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0.016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Housing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  Brick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  Bamboo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0.772 (0.051-11.025)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4.884 (0.491-50.414)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0.170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  Wood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0.165 (0.012-1.260)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3.466 (0.558-22.019)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0.179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Use of sanitary latrine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  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  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1.216 (0.070-20.993)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0.975 (0.080-9.822)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Proper nutrition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  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  Yes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2.698 (0.474-17.443)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0.270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0.685 (0.147-3.372)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0.629</w:t>
            </w:r>
          </w:p>
        </w:tc>
      </w:tr>
    </w:tbl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6"/>
          <w:szCs w:val="16"/>
          <w:color w:val="000000"/>
        </w:rPr>
        <w:t xml:space="preserve">aOR = adjusted odds ratio; CI = confidence interval. Multivariable logistic regression fitted separately for each outcome, using the same variable set as Table 5 of the source document. Age enters as a three-level group (18-30 / 31-49 / &gt;49) rather than as a continuous year count, with 18-30 years as the reference. Profile-likelihood confidence intervals. Model n = 110 (refractive error) and 110 (anterior-segment disease) complete cases of 111; rows with a blank betel-nut or family-history-of-systemic-disease entry drop out. Proper nutrition is perfectly collinear with use of a sanitary latrine - the same 15 participants lack both and the same 94 have both - so it cannot be estimated separately and the sanitary-latrine odds ratio stands for both. The source document reports an identical odds ratio on those two rows for the same reason. p &lt; 0.05 in bold.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6"/>
          <w:szCs w:val="16"/>
          <w:color w:val="000000"/>
        </w:rPr>
        <w:t xml:space="preserve">NOTE ON OUTCOME COUNTS. Table 3 of the source document reports 56 refractive errors and 61 anterior-segment diseases. Those are counts of DIAGNOSES, not of participants: 7 people carry both myopia and astigmatism, and 11 carry two or three anterior-segment conditions. A regression outcome is one row per participant, so the models below use 49 refractive-error and 49 anterior-segment cases out of 111. Posterior-segment disease is unaffected at 10. Estimates therefore differ from the published tables for this reason as well as the change in how age is modelled.</w:t>
      </w:r>
    </w:p>
    <w:p>
      <w:pPr/>
      <w:r>
        <w:br w:type="page"/>
      </w:r>
    </w:p>
    <w:p>
      <w:pPr>
        <w:pStyle w:val="Titre1"/>
      </w:pPr>
      <w:r>
        <w:t xml:space="preserve">Table 6. Logistic regression of factors associated with posterior-segment disease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COR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Firth aOR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p-value 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group (years)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  18-30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  31-49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0.781 (0.099-4.968)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0.704 (0.107-4.012)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0.690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  &gt;49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2.733 (0.617-14.270)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0.332 (0.002-4.228)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0.440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  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  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0.870 (0.229-3.307)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0.907 (0.199-4.220)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0.897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History of ocular 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  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  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24.250 (5.063-130.780)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32.885 (2.437-&gt;1000)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0.006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Family history of ocular 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  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  Yes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17.735 (3.145-333.880)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0.007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9.269 (1.839-93.635)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0.005</w:t>
            </w:r>
          </w:p>
        </w:tc>
      </w:tr>
    </w:tbl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6"/>
          <w:szCs w:val="16"/>
          <w:color w:val="000000"/>
        </w:rPr>
        <w:t xml:space="preserve">COR = crude odds ratio; aOR = adjusted odds ratio; CI = confidence interval. Crude odds ratios come from one univariable logistic model per variable; the adjusted column is Firth penalized logistic regression, used because only 10 participants had posterior-segment disease. Age enters as a three-level group with 18-30 years as the reference. p &lt; 0.05 in bold.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2026-09-05T01:36:57Z</dcterms:modified>
  <cp:category/>
</cp:coreProperties>
</file>