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t xml:space="preserve">Table 1: Socio-demographic and clinical characteristics of breast cancer patients (n = 206)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45"/>
        <w:gridCol w:w="1926"/>
      </w:tblGrid>
      <w:tr>
        <w:trPr>
          <w:trHeight w:val="6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 (%)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(years), Mean ± SD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± 11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group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≤29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30–39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40–49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(32%)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50–59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60–69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(2.9%)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 (98%)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Illiterate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≤5 years schooling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5–10 years schooling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10–12 years schooling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(12%)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Graduate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(3.4%)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Occupation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Housewife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(92%)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Agriculture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(3.4%)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 (99%)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Monthly income (BDT)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5001–10000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(67%)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10001–15000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(18%)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&gt;15000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Smokeless tobacco (SLT)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(36%)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Comorbidities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 (79%)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(7.8%)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(6.8%)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malignancy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Cancer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(42%)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IV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(18%)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± SD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2: Symptom profile and healthcare-seeking behavior among breast cancer patients (n = 206) – Presenting symptoms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085"/>
        <w:gridCol w:w="1926"/>
      </w:tblGrid>
      <w:tr>
        <w:trPr>
          <w:trHeight w:val="614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Presenting symptoms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Breast lump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(100)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Axillary lump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(10.68)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Metastatic symptoms (bone pain/SOB/headache/jaundice)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(1.46)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Nipple discharge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(0.97)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symptoms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(1.94)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2 (cont.): First symptom noticed, first provider consulted, time to seek care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86"/>
        <w:gridCol w:w="1926"/>
      </w:tblGrid>
      <w:tr>
        <w:trPr>
          <w:trHeight w:val="6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 (%)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First symptom noticed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Breast lump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 (98%)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Breast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Axillary lump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First healthcare provider consulted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Homeopathy practitioner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(46%)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Surgeon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(39%)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Gynecologist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(7.8%)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Medicine specialist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General practitioner (GP)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Medicine shop/pharmacy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 hospital 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 to seek medical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0–1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(30%)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1–3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3–6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(30%)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6–12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(16%)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&gt;12 months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(6.8%)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3: Causes of delay in seeking medical care and treatment initiation – A. Delay in seeking medical care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11"/>
        <w:gridCol w:w="1926"/>
      </w:tblGrid>
      <w:tr>
        <w:trPr>
          <w:trHeight w:val="617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A. Delay in seeking medical care (n = 123)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Cause of delay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Use of traditional treatment (homeopathy)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(77.24)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Misinterpretation of symptoms as non-serious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(24.39)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Belief symptoms would resolve spontaneously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(2.44)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Financial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(4.07)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Social stigma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(2.44)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cancer diagnosis/treatment 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(0.81)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(1.63)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3 (cont.): B. Delay in treatment initiation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42"/>
        <w:gridCol w:w="1926"/>
      </w:tblGrid>
      <w:tr>
        <w:trPr>
          <w:trHeight w:val="617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B. Delay in treatment initiation (n = 28)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Cause of delay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Frequency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Financial constraints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(25)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chemotherapy/radiotherapy/surgery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(17.86)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Doctor did not advise timely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(14.29)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Continued use of homeopathy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(32.14)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4: Association between socio-demographic/clinical factors and delay in seeking medical care (n = 178)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6"/>
        <w:gridCol w:w="1328"/>
        <w:gridCol w:w="1426"/>
        <w:gridCol w:w="1181"/>
        <w:gridCol w:w="1756"/>
        <w:gridCol w:w="2859"/>
      </w:tblGrid>
      <w:tr>
        <w:trPr>
          <w:trHeight w:val="6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 delay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Delay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 statistic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Effect size (Cramér's V)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Residence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Monthly income (BDT)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Occupation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Housewife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Smokeless tobacco use (SLT)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Cancer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χ²(3) = 17.27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χ²(3) = 17.27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χ²(3) = 17.27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χ²(3) = 17.27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χ²(3) = 17.27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χ²(1) =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First healthcare provider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χ²(2) = 83.35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Surgeon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χ²(2) = 83.35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χ²(2) = 83.35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χ²(2) = 83.35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 (without continuity correction)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centered"/>
      </w:pPr>
      <w:r>
        <w:t xml:space="preserve">Table 5: Binary logistic regression analysis of factors associated with delay in seeking medical care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6"/>
        <w:gridCol w:w="778"/>
        <w:gridCol w:w="839"/>
        <w:gridCol w:w="1389"/>
        <w:gridCol w:w="1181"/>
        <w:gridCol w:w="839"/>
        <w:gridCol w:w="1389"/>
        <w:gridCol w:w="1181"/>
      </w:tblGrid>
      <w:tr>
        <w:trPr>
          <w:trHeight w:val="6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COR (95% CI)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AOR (95% CI)</w:t>
            </w:r>
          </w:p>
        </w:tc>
      </w:tr>
      <w:tr>
        <w:trPr>
          <w:trHeight w:val="61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≤29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30–39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40–49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50–59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60–69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Monthly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Occupation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Housewife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Smokeless tobacco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First healthcare provider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Surgeon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15.2, 96.9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19.7, 163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1.04, 6.03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1.10, 7.27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2026-07-25T00:47:07Z</dcterms:modified>
  <cp:category/>
</cp:coreProperties>
</file>