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3.** Treatment patterns by MBC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426"/>
        <w:gridCol w:w="1963"/>
        <w:gridCol w:w="2134"/>
        <w:gridCol w:w="1242"/>
      </w:tblGrid>
      <w:tr>
        <w:trPr>
          <w:trHeight w:val="457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MBC 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134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 novo MBC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Recurrent MBC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Any systemic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(97%)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(98%)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(96%)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Chemotherapy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Hormonal 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Targeted 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Palliative radiotherapy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Zoledronic acid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Delay in treatment initiation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Symptomatic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Adequate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Inadequate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Radiological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Progressive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Partial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Adherent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Adherent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(54%)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2026-06-17T01:25:41Z</dcterms:modified>
  <cp:category/>
</cp:coreProperties>
</file>