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5.** Hazard ratios by MBC type and prior disease stage in HR+ patients (sub-analysis)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5"/>
        <w:gridCol w:w="839"/>
        <w:gridCol w:w="1389"/>
        <w:gridCol w:w="1181"/>
      </w:tblGrid>
      <w:tr>
        <w:trPr>
          <w:trHeight w:val="45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MBC group / prior stage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 novo MBC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Recurrent – Prior Stage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Recurrent – Prior Stage 1/2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Recurrent – Stage 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0.03, 1.76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HR = Hazard Ratio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2026-06-17T01:25:43Z</dcterms:modified>
  <cp:category/>
</cp:coreProperties>
</file>