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60"/>
        <w:gridCol w:w="1632"/>
      </w:tblGrid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340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29.90 ± 6.77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Divorced/Widowed/Separated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(5.3%)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 (80%)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(15%)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secondary+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(5.0%)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 (45%)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(34%)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(16%)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Monthly 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&lt;10k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 (49%)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&gt;20k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(11%)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10–20k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(39%)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Don't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(1.2%)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Place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Dhaka 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 (59%)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Outside city but works in Dhaka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(39%)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living in Dhaka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7.11 ± 5.74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working construction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 (69%)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3–12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(20%)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Primary job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Brick breaking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(26%)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laborer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(20%)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Material carrying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 (33%)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(5.9%)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Working hours per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&lt;6 hrs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(9.4%)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&gt;8 hrs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(25%)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6–8 hrs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 (65%)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Working days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&lt;5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(11%)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5–6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 (72%)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(17%)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Workplace toilet availability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Clean/private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(16%)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 (41%)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Unclean/shared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 (43%)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Workplace drinking water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 (51%)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 (49%)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at menarche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(16%)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(31%)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(30%)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(13%)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(7.6%)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Menstrual cycle regularity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Fairly 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 (39%)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 (37%)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(24%)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menstrual period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(8.8%)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(24%)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(27%)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(25%)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(11%)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(2.1%)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Missed menstrual period last 6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(78%)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Pregnant/postpartum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(4.7%)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(17%)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absorbent 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(17%)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 (50%)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(32%)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Afford sanitary pads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(23%)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 difficult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 (52%)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(24%)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Menstrual pain experience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(18%)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(25%)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 (57%)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Menstrual pain severity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(7.4%)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(15%)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(16%)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(14%)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(14%)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 of menstrual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Every cycle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(22%)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(21%)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(19%)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(38%)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Missed or reduced work due to menstrual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(12%)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 (56%)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(32%)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Burning or pain during urination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 (48%)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Frequent or urgent urination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(42%)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abdominal pain or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(34%)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back or flank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(29%)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Cloudy dark or bloody urine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Abnormal vaginal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(22%)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Foul smelling vaginal odor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Genital itching or irritation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(11%)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Pain or discomfort during sexual intercourse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 (73%)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sexually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(19%)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(8.2%)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Reduced fluid intake during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(26%)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Often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 (43%)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 (31%)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 of urination during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(29%)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(17%)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1–2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 (54%)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Delaying urination at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Delay long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(26%)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Delay 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 (49%)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Immediately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(25%)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Sought medical care for urinary or reproductive symptoms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(38%)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Reasons for not seeking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(18%)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Stigma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Place of seeking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(20%)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Pharmacy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(25%)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Time taken to seek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&lt;1 wk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&gt;2 wks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1–2 wks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(25%)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Only when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(25%)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Satisfaction with healthcare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(28%)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(37%)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Unsatisfied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(35%)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Received medication or treatment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(48%)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2026-04-28T00:17:24Z</dcterms:modified>
  <cp:category/>
</cp:coreProperties>
</file>