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1597"/>
        <w:gridCol w:w="1597"/>
        <w:gridCol w:w="1597"/>
        <w:gridCol w:w="1597"/>
        <w:gridCol w:w="2343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Mild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Moderate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Severe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Extremely severe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22.09 (1.87)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21.91 (1.72)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21.87 (1.67)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21.95 (1.55)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22.29 (1.82)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University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Master’s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Living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 campus/Hostel/Home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campus/Hall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50,000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50,000 - 100,000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Above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5000 to 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 than 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Paying for your tuition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Access to mental 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socioeconomic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support you financially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Taken any antidepressants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sleeping hours per 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6.63 (1.16)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6.66 (1.09)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6.75 (1.17)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6.67 (1.06)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6.69 (1.38)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physical 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Anxiety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 Severity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Extremely 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FGDS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 (1.97)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8.17 (2.19)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7.72 (1.76)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8.14 (1.79)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7.81 (1.69)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4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Diet Diversity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10.79 (2.83)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10.74 (2.64)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10.93 (2.33)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11.20 (2.82)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10.76 (2.72)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(51%)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(62%)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(57%)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One-way analysis of means; Pearson's Chi-squared test; Fisher's exact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2025-05-06T04:43:17Z</dcterms:modified>
  <cp:category/>
</cp:coreProperties>
</file>