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43"/>
        <w:gridCol w:w="1597"/>
        <w:gridCol w:w="1597"/>
        <w:gridCol w:w="1597"/>
        <w:gridCol w:w="1597"/>
        <w:gridCol w:w="2343"/>
        <w:gridCol w:w="1181"/>
      </w:tblGrid>
      <w:tr>
        <w:trPr>
          <w:trHeight w:val="77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Normal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130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Mild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Moderate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71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Severe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Extremely severe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21.93 (1.92)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22.05 (1.79)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22.13 (1.59)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21.98 (1.89)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22.32 (1.49)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University 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Barisal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Dhaka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 of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First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Third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Fourth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Master’s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Living situation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 campus/Hostel/Home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 campus/Hall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Household income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Household income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Below 50,000 BDT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50,000 - 100,000 BDT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Above 100,000 BDT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Monthly income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Less than 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5000 to 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More than 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Working hours per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1-2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2-4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5-6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Paying for your tuition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Access to mental health 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7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Perceived socioeconomic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Family support you financially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Taken any antidepressants in the last 12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Average sleeping hours per night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6.63 (1.19)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6.80 (1.19)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6.90 (0.99)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6.46 (1.34)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6.60 (1.29)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4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Perceived physical activity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Sedentary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Moderately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 (76%)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Smoke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Depression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Anxiety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Stress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Anxiety Severity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Extremely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Stress Severity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Extremely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FGDS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7.89 (1.98)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8.03 (1.95)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8.06 (1.84)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7.58 (1.89)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7.91 (1.53)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4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Diet Diversity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Inadequate Dietary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Adequate Dietary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GDR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10.75 (2.79)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11.14 (2.74)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11.11 (2.41)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10.93 (2.51)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10.54 (2.85)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Employment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Unemployed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 (51%)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(65%)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 (65%)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(60%)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(51%)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footer 2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One-way analysis of means; Pearson's Chi-squared test; Fisher's exact test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2025-05-06T04:43:03Z</dcterms:modified>
  <cp:category/>
</cp:coreProperties>
</file>