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43"/>
        <w:gridCol w:w="1597"/>
        <w:gridCol w:w="1597"/>
        <w:gridCol w:w="1597"/>
        <w:gridCol w:w="1597"/>
        <w:gridCol w:w="2343"/>
        <w:gridCol w:w="1181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Normal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Mild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Moderate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Severe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Extremely severe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21.92 (1.82)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22.13 (1.71)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22.08 (1.85)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22.51 (1.44)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 (1.71)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University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 of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First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Third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Fourth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Master’s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Living 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 campus/Hostel/Home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 campus/Hall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Below 50,000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50,000 - 100,000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Above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Monthly income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 than 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5000 to 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 than 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Working hours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1-2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2-4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5-6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Paying for your tuition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Access to mental health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socioeconomic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Family support you financially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Taken any antidepressants in the last 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Average sleeping hours per night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6.70 (1.14)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6.72 (1.12)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6.69 (1.22)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6.71 (1.49)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6.19 (0.86)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physical activity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Sedentary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Anxiety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Stress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Anxiety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FGDS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7.95 (1.93)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8.11 (1.74)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7.64 (1.88)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7.77 (1.75)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8.11 (1.71)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4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Diet Diversity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Inadequate Dietary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Adequate Dietary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GDR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10.92 (2.80)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11.03 (2.30)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10.77 (2.32)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10.43 (2.57)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11.28 (3.48)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Unemployed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(55%)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(66%)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(60%)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(57%)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(39%)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One-way analysis of means; Pearson's Chi-squared test; Fisher's exact test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2025-05-06T04:43:34Z</dcterms:modified>
  <cp:category/>
</cp:coreProperties>
</file>