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00"/>
        <w:gridCol w:w="1842"/>
        <w:gridCol w:w="1792"/>
        <w:gridCol w:w="1181"/>
      </w:tblGrid>
      <w:tr>
        <w:trPr>
          <w:trHeight w:val="73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Isoflurane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Sevoflurane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48.33 (12.16)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45.07 (10.79)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58.41 (12.32)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66.10 (13.29)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ASA_Class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Biliary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Choledocolithotomy &amp; Billary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Distal Pancreatectomy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Double Duct Anastomosis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Drainage of Liver Abscess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Extended 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Extended Cholecystectomy &amp; Billary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Lap. Hysterectomy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Laparoscopic cholecystectomy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Laparotomy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Laparotomy &amp; Hernioplasty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Laparotomy Followed by Colostomy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Liver Abcuss Drainage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Nephro-lithotomy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cholecystectomy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Cholecystectomy &amp; haemangioma &amp; Liver Resection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Cholecystectomy &amp; hepatic Bi-segmentectomy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PLPJ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Resection of Lf ureteric man &amp;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Tripple Bypass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Whipples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Whipples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Hb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11.76 (1.80)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11.37 (1.55)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Creatinine(mg/dl)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Sodium(Na+)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132.31 (25.21)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137.77 (4.29)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Potassium(K+)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Chloride(Cl-)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101.30 (3.57)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103.47 (3.08)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Bi-Carbonate(HCO3-)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24.22 (2.26)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23.67 (2.73)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CXR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B/L Lower Zone -inflammatory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Cardiomegaly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Left Sided Palmonary lesion &amp; Apical Pleural thickening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Left Sided Pleural Effusion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 Cardiomegaly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Patchy Opacity in Rt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Promonent Bronchovascular Markings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LBBB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Leteral Ischemia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LVH,Normal Sinus Rhythm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Sinus Rhythm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Sinus rhythm,Finversion in V1-V2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Sinus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ST-Segment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Blood Sugar(Pre-induction)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Blood Sugar(30 min after incision)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7.11 (1.43)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body63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Blood Sugar(Immidiate after recovery)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9.43 (4.07)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 (2.72)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2025-08-08T01:08:01Z</dcterms:modified>
  <cp:category/>
</cp:coreProperties>
</file>