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Table 1a. Demographic characteristics and co-morbidities (N = 101)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Overall</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101</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75</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Non-survivor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26</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p-value</w:t>
            </w:r>
            <w:r>
              <w:rPr>
                <w:rFonts w:ascii="Arial" w:hAnsi="Arial" w:eastAsia="Arial" w:cs="Arial"/>
                <w:i w:val="false"/>
                <w:b w:val="false"/>
                <w:u w:val="none"/>
                <w:strike w:val="false"/>
                <w:vertAlign w:val="superscript"/>
                <w:sz w:val="16"/>
                <w:szCs w:val="16"/>
                <w:color w:val="000000"/>
              </w:rPr>
              <w:t xml:space="preserve">2</w:t>
            </w:r>
          </w:p>
        </w:tc>
      </w:tr>
      <w:tr>
        <w:trPr>
          <w:trHeight w:val="33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Age group (years)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0.532</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&gt;0.999</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 (52.0%)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0.629</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 (19.2%)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0.119</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Ischaemic heart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 (15.4%)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0.037</w:t>
            </w:r>
          </w:p>
        </w:tc>
      </w:tr>
      <w:tr>
        <w:trPr>
          <w:trHeight w:val="346"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COPD</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 (3.0%)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 (4.0%)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 (0.0%)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0.567</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1</w:t>
            </w:r>
            <w:r>
              <w:rPr>
                <w:rFonts w:ascii="Arial" w:hAnsi="Arial" w:eastAsia="Arial" w:cs="Arial"/>
                <w:i w:val="false"/>
                <w:b w:val="false"/>
                <w:u w:val="none"/>
                <w:strike w:val="false"/>
                <w:sz w:val="16"/>
                <w:szCs w:val="16"/>
                <w:color w:val="000000"/>
              </w:rPr>
              <w:t xml:space="preserve">n (%)</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2</w:t>
            </w:r>
            <w:r>
              <w:rPr>
                <w:rFonts w:ascii="Arial" w:hAnsi="Arial" w:eastAsia="Arial" w:cs="Arial"/>
                <w:i w:val="false"/>
                <w:b w:val="false"/>
                <w:u w:val="none"/>
                <w:strike w:val="false"/>
                <w:sz w:val="16"/>
                <w:szCs w:val="16"/>
                <w:color w:val="000000"/>
              </w:rPr>
              <w:t xml:space="preserve">Fisher's exact test; Pearson's Chi-squared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Values are median (IQR) or n (%). P values: Mann-Whitney U test for median (IQR) rows, chi-square or Fisher exact test for categorical rows. One patient with an unrecorded outcome is excluded from every panel, and one with unrecorded sex from the sex row. IQR, interquartile range.</w:t>
      </w:r>
    </w:p>
    <w:p>
      <w:pPr/>
      <w:r>
        <w:br w:type="page"/>
      </w:r>
    </w:p>
    <w:p>
      <w:pPr>
        <w:pStyle w:val="Titre1"/>
      </w:pPr>
      <w:r>
        <w:t xml:space="preserve">Table 1b. Source of infection and clinical management (N = 101)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Overall</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101</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75</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Non-survivor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26</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p-value</w:t>
            </w:r>
            <w:r>
              <w:rPr>
                <w:rFonts w:ascii="Arial" w:hAnsi="Arial" w:eastAsia="Arial" w:cs="Arial"/>
                <w:i w:val="false"/>
                <w:b w:val="false"/>
                <w:u w:val="none"/>
                <w:strike w:val="false"/>
                <w:vertAlign w:val="superscript"/>
                <w:sz w:val="16"/>
                <w:szCs w:val="16"/>
                <w:color w:val="000000"/>
              </w:rPr>
              <w:t xml:space="preserve">2</w:t>
            </w:r>
          </w:p>
        </w:tc>
      </w:tr>
      <w:tr>
        <w:trPr>
          <w:trHeight w:val="33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Respiratory</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(35.6%)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(37.3%)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(30.8%)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0.547</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Urinary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 (48.5%)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0.100</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Gastrointestinal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&gt;0.999</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 (26.9%)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Skin / soft tissue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0.162</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0.450</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Antimicrobial therapy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 (74.3%)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 (70.7%)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0.161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Supplemental oxygen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 (48.5%)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0.123</w:t>
            </w:r>
          </w:p>
        </w:tc>
      </w:tr>
      <w:tr>
        <w:trPr>
          <w:trHeight w:val="346"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Vasopressor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 (3.0%)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 (0.0%)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 (11.5%)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0.016</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1</w:t>
            </w:r>
            <w:r>
              <w:rPr>
                <w:rFonts w:ascii="Arial" w:hAnsi="Arial" w:eastAsia="Arial" w:cs="Arial"/>
                <w:i w:val="false"/>
                <w:b w:val="false"/>
                <w:u w:val="none"/>
                <w:strike w:val="false"/>
                <w:sz w:val="16"/>
                <w:szCs w:val="16"/>
                <w:color w:val="000000"/>
              </w:rPr>
              <w:t xml:space="preserve">n (%)</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2</w:t>
            </w:r>
            <w:r>
              <w:rPr>
                <w:rFonts w:ascii="Arial" w:hAnsi="Arial" w:eastAsia="Arial" w:cs="Arial"/>
                <w:i w:val="false"/>
                <w:b w:val="false"/>
                <w:u w:val="none"/>
                <w:strike w:val="false"/>
                <w:sz w:val="16"/>
                <w:szCs w:val="16"/>
                <w:color w:val="000000"/>
              </w:rPr>
              <w:t xml:space="preserve">Pearson's Chi-squared test; Fisher's exact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Source of infection is not mutually exclusive - two patients had two sites recorded, so the site rows do not sum to N. Vasopressor use is taken from a SOFA cardiovascular sub-score of 2 or more. Values are median (IQR) or n (%). P values: Mann-Whitney U test for median (IQR) rows, chi-square or Fisher exact test for categorical rows. One patient with an unrecorded outcome is excluded from every panel, and one with unrecorded sex from the sex row. IQR, interquartile range.</w:t>
      </w:r>
    </w:p>
    <w:p>
      <w:pPr/>
      <w:r>
        <w:br w:type="page"/>
      </w:r>
    </w:p>
    <w:p>
      <w:pPr>
        <w:pStyle w:val="Titre1"/>
      </w:pPr>
      <w:r>
        <w:t xml:space="preserve">Table 1c. Severity of illness scores (N = 101)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Overall</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101</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75</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Non-survivor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26</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p-value</w:t>
            </w:r>
            <w:r>
              <w:rPr>
                <w:rFonts w:ascii="Arial" w:hAnsi="Arial" w:eastAsia="Arial" w:cs="Arial"/>
                <w:i w:val="false"/>
                <w:b w:val="false"/>
                <w:u w:val="none"/>
                <w:strike w:val="false"/>
                <w:vertAlign w:val="superscript"/>
                <w:sz w:val="16"/>
                <w:szCs w:val="16"/>
                <w:color w:val="000000"/>
              </w:rPr>
              <w:t xml:space="preserve">2</w:t>
            </w:r>
          </w:p>
        </w:tc>
      </w:tr>
      <w:tr>
        <w:trPr>
          <w:trHeight w:val="33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NEWS, day 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8.00 (7.00-9.00)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7.00 (7.00-8.00)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11.50 (10.00-14.00)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NEWS, day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4.00 (3.00-8.00)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4.00 (3.00-5.00)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11.00 (10.00-13.00)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NEWS, day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2.00 (1.00-11.00)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2.00 (1.00-2.00)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16.00 (13.00-18.00)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SOFA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4.00 (3.00-5.00)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3.00 (3.00-4.00)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5.50 (4.00-8.00)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46"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GCS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15.00 (14.00-15.00)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15.00 (15.00-15.00)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13.00 (12.00-15.00)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1</w:t>
            </w:r>
            <w:r>
              <w:rPr>
                <w:rFonts w:ascii="Arial" w:hAnsi="Arial" w:eastAsia="Arial" w:cs="Arial"/>
                <w:i w:val="false"/>
                <w:b w:val="false"/>
                <w:u w:val="none"/>
                <w:strike w:val="false"/>
                <w:sz w:val="16"/>
                <w:szCs w:val="16"/>
                <w:color w:val="000000"/>
              </w:rPr>
              <w:t xml:space="preserve">Median (Q1-Q3)</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2</w:t>
            </w:r>
            <w:r>
              <w:rPr>
                <w:rFonts w:ascii="Arial" w:hAnsi="Arial" w:eastAsia="Arial" w:cs="Arial"/>
                <w:i w:val="false"/>
                <w:b w:val="false"/>
                <w:u w:val="none"/>
                <w:strike w:val="false"/>
                <w:sz w:val="16"/>
                <w:szCs w:val="16"/>
                <w:color w:val="000000"/>
              </w:rPr>
              <w:t xml:space="preserve">Wilcoxon rank sum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NEWS, national early warning score; SOFA, sequential organ failure assessment; GCS, Glasgow coma scale. SOFA and GCS are day-0 values. Values are median (IQR) or n (%). P values: Mann-Whitney U test for median (IQR) rows, chi-square or Fisher exact test for categorical rows. One patient with an unrecorded outcome is excluded from every panel, and one with unrecorded sex from the sex row. IQR, interquartile range.</w:t>
      </w:r>
    </w:p>
    <w:p>
      <w:pPr/>
      <w:r>
        <w:br w:type="page"/>
      </w:r>
    </w:p>
    <w:p>
      <w:pPr>
        <w:pStyle w:val="Titre1"/>
      </w:pPr>
      <w:r>
        <w:t xml:space="preserve">Table 1d. Biochemical parameters (N = 101)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Overall</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101</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75</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Non-survivor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26</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p-value</w:t>
            </w:r>
            <w:r>
              <w:rPr>
                <w:rFonts w:ascii="Arial" w:hAnsi="Arial" w:eastAsia="Arial" w:cs="Arial"/>
                <w:i w:val="false"/>
                <w:b w:val="false"/>
                <w:u w:val="none"/>
                <w:strike w:val="false"/>
                <w:vertAlign w:val="superscript"/>
                <w:sz w:val="16"/>
                <w:szCs w:val="16"/>
                <w:color w:val="000000"/>
              </w:rPr>
              <w:t xml:space="preserve">2</w:t>
            </w:r>
          </w:p>
        </w:tc>
      </w:tr>
      <w:tr>
        <w:trPr>
          <w:trHeight w:val="33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Creatinine (mg/dL)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1.91 (0.86)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1.82 (0.82)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2.15 (0.92)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0.117</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Total bilirubin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0.97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0.91 (0.81)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0.340</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PaO2/FiO2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319.23 (68.70)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327.97 (60.17)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294.00 (85.25)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0.069</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ALT (U/L)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43.00 (41.00-47.00)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43.00 (41.00-46.00)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43.00 (39.00-55.00)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0.799</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AST (U/L)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33.00 (32.00-37.00)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33.00 (32.00-36.00)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34.00 (32.00-38.00)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0.223</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Sodium (mmol/L)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138.00 (134.00-144.00)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138.00 (136.00-144.00)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132.50 (130.00-138.00)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Potassium (mmol/L)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4.20 (3.80-4.70)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4.30 (3.70-4.80)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3.90 (3.80-4.30)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0.536</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Random blood glucose (mmol/L)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6.40 (5.80-7.80)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6.30 (5.70-7.20)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7.85 (6.30-13.20)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0.001</w:t>
            </w:r>
          </w:p>
        </w:tc>
      </w:tr>
      <w:tr>
        <w:trPr>
          <w:trHeight w:val="346"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Lactate (mmol/L)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0.50 (0.50-0.91)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0.50 (0.50-0.50)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1.31 (0.50-3.28)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1</w:t>
            </w:r>
            <w:r>
              <w:rPr>
                <w:rFonts w:ascii="Arial" w:hAnsi="Arial" w:eastAsia="Arial" w:cs="Arial"/>
                <w:i w:val="false"/>
                <w:b w:val="false"/>
                <w:u w:val="none"/>
                <w:strike w:val="false"/>
                <w:sz w:val="16"/>
                <w:szCs w:val="16"/>
                <w:color w:val="000000"/>
              </w:rPr>
              <w:t xml:space="preserve">Mean (SD); Median (Q1-Q3)</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2</w:t>
            </w:r>
            <w:r>
              <w:rPr>
                <w:rFonts w:ascii="Arial" w:hAnsi="Arial" w:eastAsia="Arial" w:cs="Arial"/>
                <w:i w:val="false"/>
                <w:b w:val="false"/>
                <w:u w:val="none"/>
                <w:strike w:val="false"/>
                <w:sz w:val="16"/>
                <w:szCs w:val="16"/>
                <w:color w:val="000000"/>
              </w:rPr>
              <w:t xml:space="preserve">Welch Two Sample t-test; Wilcoxon rank sum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Creatinine, total bilirubin and PaO2/FiO2 are mean (SD) and compared by t test, as in the reference paper; the rest are median (IQR). Values are median (IQR) or n (%). P values: Mann-Whitney U test for median (IQR) rows, chi-square or Fisher exact test for categorical rows. One patient with an unrecorded outcome is excluded from every panel, and one with unrecorded sex from the sex row. IQR, interquartile range.</w:t>
      </w:r>
    </w:p>
    <w:p>
      <w:pPr/>
      <w:r>
        <w:br w:type="page"/>
      </w:r>
    </w:p>
    <w:p>
      <w:pPr>
        <w:pStyle w:val="Titre1"/>
      </w:pPr>
      <w:r>
        <w:t xml:space="preserve">Table 1e. Haematological parameters and derived ratios (N = 101)</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Overall</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101</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75</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Non-survivor</w:t>
            </w:r>
            <w:r>
              <w:rPr>
                <w:rFonts w:ascii="Arial" w:hAnsi="Arial" w:eastAsia="Arial" w:cs="Arial"/>
                <w:i w:val="false"/>
                <w:b w:val="false"/>
                <w:u w:val="none"/>
                <w:strike w:val="false"/>
                <w:sz w:val="16"/>
                <w:szCs w:val="16"/>
                <w:color w:val="000000"/>
              </w:rPr>
              <w:t xml:space="preserve">  </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N = 26</w:t>
            </w:r>
            <w:r>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true"/>
                <w:u w:val="none"/>
                <w:strike w:val="false"/>
                <w:sz w:val="16"/>
                <w:szCs w:val="16"/>
                <w:color w:val="000000"/>
              </w:rPr>
              <w:t xml:space="preserve">p-value</w:t>
            </w:r>
            <w:r>
              <w:rPr>
                <w:rFonts w:ascii="Arial" w:hAnsi="Arial" w:eastAsia="Arial" w:cs="Arial"/>
                <w:i w:val="false"/>
                <w:b w:val="false"/>
                <w:u w:val="none"/>
                <w:strike w:val="false"/>
                <w:vertAlign w:val="superscript"/>
                <w:sz w:val="16"/>
                <w:szCs w:val="16"/>
                <w:color w:val="000000"/>
              </w:rPr>
              <w:t xml:space="preserve">2</w:t>
            </w:r>
          </w:p>
        </w:tc>
      </w:tr>
      <w:tr>
        <w:trPr>
          <w:trHeight w:val="33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Neutrophil, day 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11.36 (9.75-15.99)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11.31 (9.36-13.95)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14.55 (10.47-18.50)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0.056</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Neutrophil, day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11.25 (8.87-15.30)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10.83 (8.56-13.12)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13.30 (10.60-18.62)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0.020</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Neutrophil, day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10.26 (8.08-13.50)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9.72 (7.74-11.49)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14.94 (12.00-19.35)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Lymphocyte, day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0.79 (0.61-1.04)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0.80 (0.61-1.06)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0.72 (0.60-0.99)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0.641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Lymphocyte, day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0.90 (0.74-1.21)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0.90 (0.74-1.21)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0.89 (0.73-1.26)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0.966</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Lymphocyte, day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(0.85-1.20)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(1.00-1.21)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0.75 (0.57-0.99)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Platelet, day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150.00 (130.00-190.00)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149.00 (130.00-180.00)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178.00 (115.00-211.00)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0.047</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Platelet, day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172.00 (130.00-205.00)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180.00 (150.00-205.00)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151.50 (105.00-200.00)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0.193</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Platelet, day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230.00 (182.00-280.00)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235.00 (210.00-280.00)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149.00 (95.00-190.00)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NLR, day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16.00 (12.82-19.49)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14.95 (12.76-18.36)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18.06 (13.18-22.24)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0.094</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NLR, day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12.64 (9.69-14.83)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12.05 (9.69-14.33)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14.22 (9.88-17.80)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0.077</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NLR, day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9.00 (7.80-12.86)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8.41 (7.31-9.33)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18.00 (13.66-22.83)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NLPR, day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10.23 (8.76-12.23)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10.51 (9.05-12.69)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9.90 (7.28-11.98)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0.527</w:t>
            </w:r>
          </w:p>
        </w:tc>
      </w:tr>
      <w:tr>
        <w:trPr>
          <w:trHeight w:val="3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NLPR, day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7.32 (6.11-9.18)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7.04 (5.96-7.89)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9.42 (8.50-10.89)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46"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NLPR, day 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3.82 (3.11-8.62)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3.51 (2.94-4.16)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12.21 (10.47-16.14)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&lt;0.001</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1</w:t>
            </w:r>
            <w:r>
              <w:rPr>
                <w:rFonts w:ascii="Arial" w:hAnsi="Arial" w:eastAsia="Arial" w:cs="Arial"/>
                <w:i w:val="false"/>
                <w:b w:val="false"/>
                <w:u w:val="none"/>
                <w:strike w:val="false"/>
                <w:sz w:val="16"/>
                <w:szCs w:val="16"/>
                <w:color w:val="000000"/>
              </w:rPr>
              <w:t xml:space="preserve">Median (Q1-Q3)</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2</w:t>
            </w:r>
            <w:r>
              <w:rPr>
                <w:rFonts w:ascii="Arial" w:hAnsi="Arial" w:eastAsia="Arial" w:cs="Arial"/>
                <w:i w:val="false"/>
                <w:b w:val="false"/>
                <w:u w:val="none"/>
                <w:strike w:val="false"/>
                <w:sz w:val="16"/>
                <w:szCs w:val="16"/>
                <w:color w:val="000000"/>
              </w:rPr>
              <w:t xml:space="preserve">Wilcoxon rank sum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Neutrophil, lymphocyte and platelet counts are 10^9/L. NLR = neutrophil / lymphocyte; NLPR = NLR x 100 / platelet count. Day-3 platelet count and NLPR are missing for two patients whose recorded platelet value was implausible and was voided in cleaning. Values are median (IQR) or n (%). P values: Mann-Whitney U test for median (IQR) rows, chi-square or Fisher exact test for categorical rows. One patient with an unrecorded outcome is excluded from every panel, and one with unrecorded sex from the sex row. IQR, interquartile range.</w:t>
      </w:r>
    </w:p>
    <w:p>
      <w:pPr/>
      <w:r>
        <w:br w:type="page"/>
      </w:r>
    </w:p>
    <w:p>
      <w:pPr>
        <w:pStyle w:val="Titre1"/>
      </w:pPr>
      <w:r>
        <w:t xml:space="preserve">Table 2. Multivariable logistic regression exploring the association of NEWS (d5) with in-hospital mortality</w:t>
      </w:r>
    </w:p>
    <w:tbl xmlns:a="http://schemas.openxmlformats.org/drawingml/2006/main" xmlns:pic="http://schemas.openxmlformats.org/drawingml/2006/picture">
      <w:tblPr>
        <w:tblLayout w:type="fixed"/>
        <w:jc w:val="center"/>
        <w:tblLook w:firstRow="1" w:lastRow="0" w:firstColumn="0" w:lastColumn="0" w:noHBand="0" w:noVBand="1"/>
      </w:tblPr>
      <w:tblGrid>
        <w:gridCol w:w="1980"/>
        <w:gridCol w:w="1204"/>
        <w:gridCol w:w="1570"/>
        <w:gridCol w:w="860"/>
      </w:tblGrid>
      <w:tr>
        <w:trPr>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Factor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Odds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w:t>
            </w:r>
          </w:p>
        </w:tc>
      </w:tr>
      <w:tr>
        <w:trPr>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NEWS (d5)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1.396-5.906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&lt;0.001</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Sex (male 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0.009-&gt;1000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0.846</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Age 40-59 y (vs &lt;40)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&lt;0.001-369.057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0.734</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Age 60-74 y (vs &lt;40)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0.003-261.827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0.847</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Age 75+ y (vs &lt;40)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&lt;0.001-&gt;1000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0.485</w:t>
            </w:r>
          </w:p>
        </w:tc>
      </w:tr>
      <w:tr>
        <w:trPr>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SOFA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0.059-9.388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0.556</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Firth penalized-likelihood logistic regression with profile-likelihood confidence intervals, used because both NEWS (d5) and NLPR (d5) separate the two outcome groups completely and ordinary maximum likelihood does not converge. Adjusted for sex, age group and SOFA, with age &lt;40 years as the reference group. The APACHE II term of the reference paper has no counterpart here and is omitted: APACHE II was not recorded in this study. A confidence bound shown as "&gt;1000" or "&lt;0.001" is not estimable: the profile likelihood is flat in that direction once a perfect separator is in the model. Female sex is the reference category. CI, confidence interval.</w:t>
      </w:r>
    </w:p>
    <w:p>
      <w:pPr>
        <w:pStyle w:val=""/>
      </w:pPr>
      <w:r>
        <w:t xml:space="preserve"/>
      </w:r>
    </w:p>
    <w:p>
      <w:pPr>
        <w:pStyle w:val="Titre1"/>
      </w:pPr>
      <w:r>
        <w:t xml:space="preserve">Table 3. Multivariable logistic regression exploring the association of NLPR (d5) with in-hospital mortality</w:t>
      </w:r>
    </w:p>
    <w:tbl xmlns:a="http://schemas.openxmlformats.org/drawingml/2006/main" xmlns:pic="http://schemas.openxmlformats.org/drawingml/2006/picture">
      <w:tblPr>
        <w:tblLayout w:type="fixed"/>
        <w:jc w:val="center"/>
        <w:tblLook w:firstRow="1" w:lastRow="0" w:firstColumn="0" w:lastColumn="0" w:noHBand="0" w:noVBand="1"/>
      </w:tblPr>
      <w:tblGrid>
        <w:gridCol w:w="1980"/>
        <w:gridCol w:w="1204"/>
        <w:gridCol w:w="1470"/>
        <w:gridCol w:w="860"/>
      </w:tblGrid>
      <w:tr>
        <w:trPr>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Factor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Odds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w:t>
            </w:r>
          </w:p>
        </w:tc>
      </w:tr>
      <w:tr>
        <w:trPr>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NLPR (d5)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1.654-8.554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&lt;0.001</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Sex (male 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0.016-357.937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0.706</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Age 40-59 y (vs &lt;40)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&lt;0.001-74.898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0.574</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Age 60-74 y (vs &lt;40)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0.001-189.280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0.859</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Age 75+ y (vs &lt;40)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&lt;0.001-89.469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0.858</w:t>
            </w:r>
          </w:p>
        </w:tc>
      </w:tr>
      <w:tr>
        <w:trPr>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SOFA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0.268-20.919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0.816</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Firth penalized-likelihood logistic regression with profile-likelihood confidence intervals, used because both NEWS (d5) and NLPR (d5) separate the two outcome groups completely and ordinary maximum likelihood does not converge. Adjusted for sex, age group and SOFA, with age &lt;40 years as the reference group. The APACHE II term of the reference paper has no counterpart here and is omitted: APACHE II was not recorded in this study. A confidence bound shown as "&gt;1000" or "&lt;0.001" is not estimable: the profile likelihood is flat in that direction once a perfect separator is in the model. Female sex is the reference category. CI, confidence interval.</w:t>
      </w:r>
    </w:p>
    <w:p>
      <w:pPr/>
      <w:r>
        <w:br w:type="page"/>
      </w:r>
    </w:p>
    <w:p>
      <w:pPr>
        <w:pStyle w:val="Titre1"/>
      </w:pPr>
      <w:r>
        <w:t xml:space="preserve">Table 4. Predictive value of NEWS and NLPR at different time points for in-hospital mortality of sepsis patients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Cut-off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Specificity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Sensitivity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PPV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NPV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AUC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NEWS (d1)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0.991-1.000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NEWS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NEWS (d5)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NLPR (d1)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0.317-0.599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NLPR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0.625-0.877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NLPR (d5)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NLPR (d5) &amp; age &amp; SOFA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1.000-1.000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Cut-off is the Youden-optimal point. NEWS is an integer score, so its cut-off falls between two whole numbers. The AUC confidence interval and the test of AUC = 0.5 use the DeLong method; where the AUC is exactly 1 that variance is zero and the equivalent exact Mann-Whitney test is reported instead. The combined row is on the predicted-probability scale of a Firth logistic model containing NLPR (d5), age group and SOFA; at that cut-off, for the &lt;40 year age group and SOFA at its median (4), the corresponding NLPR (d5) is 7.74. PPV and NPV are evaluated at the same cut-off and therefore embed this cohort's in-hospital mortality of 25.7% as the prior; they do not transfer to a population with a different death rate, whereas sensitivity, specificity and the AUC do. AUC, area under the ROC curve; CI, confidence interval; PPV, positive predictive value; NPV, negative predictive value.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2026-08-30T23:48:46Z</dcterms:modified>
  <cp:category/>
</cp:coreProperties>
</file>